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overflowPunct/>
        <w:topLinePunct w:val="0"/>
        <w:bidi w:val="0"/>
        <w:spacing w:line="600" w:lineRule="atLeast"/>
        <w:ind w:left="0" w:right="0"/>
        <w:jc w:val="center"/>
        <w:textAlignment w:val="auto"/>
        <w:rPr>
          <w:rFonts w:ascii="方正仿宋_GBK" w:eastAsia="方正仿宋_GBK" w:cs="方正仿宋_GBK" w:hint="eastAsia"/>
          <w:sz w:val="32"/>
          <w:szCs w:val="32"/>
          <w:lang w:eastAsia="zh-CN"/>
        </w:rPr>
      </w:pPr>
    </w:p>
    <w:p>
      <w:pPr>
        <w:keepNext w:val="0"/>
        <w:keepLines w:val="0"/>
        <w:pageBreakBefore w:val="0"/>
        <w:widowControl w:val="0"/>
        <w:kinsoku/>
        <w:overflowPunct/>
        <w:topLinePunct w:val="0"/>
        <w:bidi w:val="0"/>
        <w:spacing w:line="600" w:lineRule="atLeast"/>
        <w:ind w:left="0" w:right="0"/>
        <w:jc w:val="center"/>
        <w:textAlignment w:val="auto"/>
        <w:rPr>
          <w:rFonts w:ascii="方正仿宋_GBK" w:eastAsia="方正仿宋_GBK" w:cs="方正仿宋_GBK" w:hint="eastAsia"/>
          <w:sz w:val="32"/>
          <w:szCs w:val="32"/>
          <w:lang w:eastAsia="zh-CN"/>
        </w:rPr>
      </w:pPr>
      <w:r>
        <w:rPr>
          <w:rFonts w:ascii="方正仿宋_GBK" w:eastAsia="方正仿宋_GBK" w:cs="方正仿宋_GBK" w:hint="eastAsia"/>
          <w:sz w:val="32"/>
          <w:szCs w:val="32"/>
          <w:lang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Style w:val="19"/>
          <w:rFonts w:ascii="方正小标宋_GBK" w:eastAsia="方正小标宋_GBK" w:cs="方正小标宋_GBK" w:hint="eastAsia"/>
          <w:b w:val="0"/>
          <w:kern w:val="2"/>
          <w:sz w:val="44"/>
          <w:szCs w:val="44"/>
          <w:shd w:val="clear" w:color="auto" w:fill="FFFFFF"/>
          <w:lang w:val="en-US" w:eastAsia="zh-CN" w:bidi="ar-SA"/>
        </w:rPr>
      </w:pPr>
      <w:r>
        <w:rPr>
          <w:rStyle w:val="19"/>
          <w:rFonts w:ascii="方正小标宋_GBK" w:eastAsia="方正小标宋_GBK" w:cs="方正小标宋_GBK" w:hint="eastAsia"/>
          <w:b w:val="0"/>
          <w:kern w:val="2"/>
          <w:sz w:val="44"/>
          <w:szCs w:val="44"/>
          <w:shd w:val="clear" w:color="auto" w:fill="FFFFFF"/>
          <w:lang w:val="en-US" w:eastAsia="zh-CN" w:bidi="ar-SA"/>
        </w:rPr>
        <w:t>重庆市</w:t>
      </w:r>
      <w:r>
        <w:rPr>
          <w:rStyle w:val="19"/>
          <w:rFonts w:ascii="方正小标宋_GBK" w:eastAsia="方正小标宋_GBK" w:cs="方正小标宋_GBK"/>
          <w:b w:val="0"/>
          <w:kern w:val="2"/>
          <w:sz w:val="44"/>
          <w:szCs w:val="44"/>
          <w:shd w:val="clear" w:color="auto" w:fill="FFFFFF"/>
          <w:lang w:val="en-US" w:eastAsia="zh-CN" w:bidi="ar-SA"/>
        </w:rPr>
        <w:t>江津区规划和自然资源局</w:t>
      </w:r>
    </w:p>
    <w:p>
      <w:pPr>
        <w:pStyle w:val="20"/>
        <w:keepNext w:val="0"/>
        <w:keepLines w:val="0"/>
        <w:pageBreakBefore w:val="0"/>
        <w:widowControl w:val="0"/>
        <w:kinsoku/>
        <w:wordWrap/>
        <w:overflowPunct/>
        <w:topLinePunct w:val="0"/>
        <w:autoSpaceDE/>
        <w:autoSpaceDN/>
        <w:adjustRightInd/>
        <w:snapToGrid/>
        <w:spacing w:line="540" w:lineRule="exact"/>
        <w:ind w:left="0"/>
        <w:jc w:val="center"/>
        <w:rPr>
          <w:rStyle w:val="19"/>
          <w:rFonts w:ascii="方正小标宋_GBK" w:eastAsia="方正小标宋_GBK" w:cs="方正小标宋_GBK" w:hint="eastAsia"/>
          <w:b w:val="0"/>
          <w:kern w:val="2"/>
          <w:sz w:val="44"/>
          <w:szCs w:val="44"/>
          <w:shd w:val="clear" w:color="auto" w:fill="FFFFFF"/>
        </w:rPr>
      </w:pPr>
      <w:r>
        <w:rPr>
          <w:rStyle w:val="19"/>
          <w:rFonts w:ascii="方正小标宋_GBK" w:eastAsia="方正小标宋_GBK" w:cs="方正小标宋_GBK"/>
          <w:b w:val="0"/>
          <w:kern w:val="2"/>
          <w:sz w:val="44"/>
          <w:szCs w:val="44"/>
          <w:shd w:val="clear" w:color="auto" w:fill="FFFFFF"/>
          <w:lang w:val="en-US" w:eastAsia="zh-CN" w:bidi="ar-SA"/>
        </w:rPr>
        <w:t>关于进一步规范管理农村建设用地复垦工作的通知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right="0"/>
        <w:jc w:val="center"/>
        <w:textAlignment w:val="auto"/>
        <w:rPr>
          <w:rFonts w:ascii="Times New Roman" w:eastAsia="方正仿宋_GBK" w:cs="Times New Roman" w:hAnsi="Times New Roman"/>
          <w:i w:val="0"/>
          <w:caps w:val="0"/>
          <w:smallCaps w:val="0"/>
          <w:color w:val="auto"/>
          <w:spacing w:val="0"/>
          <w:sz w:val="44"/>
          <w:szCs w:val="44"/>
          <w:shd w:val="clear" w:color="auto" w:fill="FFFFFF"/>
          <w:lang w:eastAsia="zh-CN"/>
        </w:rPr>
      </w:pPr>
      <w:r>
        <w:rPr>
          <w:rFonts w:ascii="Times New Roman" w:eastAsia="方正仿宋_GBK" w:cs="Times New Roman" w:hAnsi="Times New Roman"/>
          <w:sz w:val="32"/>
          <w:szCs w:val="32"/>
          <w:lang w:val="en-US" w:eastAsia="zh-CN"/>
        </w:rPr>
        <w:t>江津规资规范</w:t>
      </w:r>
      <w:r>
        <w:rPr>
          <w:rFonts w:ascii="Times New Roman" w:eastAsia="方正仿宋_GBK" w:cs="Times New Roman" w:hAnsi="Times New Roman" w:hint="eastAsia"/>
          <w:sz w:val="32"/>
          <w:szCs w:val="32"/>
          <w:lang w:val="en-US" w:eastAsia="zh-CN"/>
        </w:rPr>
        <w:t>〔202</w:t>
      </w:r>
      <w:r>
        <w:rPr>
          <w:rFonts w:ascii="Times New Roman" w:eastAsia="方正仿宋_GBK" w:cs="Times New Roman" w:hAnsi="Times New Roman"/>
          <w:sz w:val="32"/>
          <w:szCs w:val="32"/>
          <w:lang w:val="en-US" w:eastAsia="zh-CN"/>
        </w:rPr>
        <w:t>3</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sz w:val="32"/>
          <w:szCs w:val="32"/>
          <w:lang w:val="en-US" w:eastAsia="zh-CN"/>
        </w:rPr>
        <w:t>1</w:t>
      </w:r>
      <w:r>
        <w:rPr>
          <w:rFonts w:ascii="Times New Roman" w:eastAsia="方正仿宋_GBK" w:cs="Times New Roman" w:hAnsi="Times New Roman" w:hint="eastAsia"/>
          <w:sz w:val="32"/>
          <w:szCs w:val="32"/>
          <w:lang w:val="en-US" w:eastAsia="zh-CN"/>
        </w:rPr>
        <w:t>号</w:t>
      </w:r>
    </w:p>
    <w:p>
      <w:pPr>
        <w:keepNext w:val="0"/>
        <w:keepLines w:val="0"/>
        <w:pageBreakBefore w:val="0"/>
        <w:widowControl w:val="0"/>
        <w:kinsoku/>
        <w:overflowPunct/>
        <w:topLinePunct w:val="0"/>
        <w:bidi w:val="0"/>
        <w:spacing w:line="600" w:lineRule="atLeast"/>
        <w:ind w:left="0" w:right="0"/>
        <w:jc w:val="center"/>
        <w:textAlignment w:val="auto"/>
        <w:rPr>
          <w:rFonts w:ascii="宋体" w:eastAsia="宋体" w:cs="宋体" w:hint="eastAsia"/>
          <w:i w:val="0"/>
          <w:caps w:val="0"/>
          <w:smallCaps w:val="0"/>
          <w:color w:val="auto"/>
          <w:spacing w:val="0"/>
          <w:sz w:val="44"/>
          <w:szCs w:val="44"/>
          <w:shd w:val="clear" w:color="auto" w:fill="FFFFFF"/>
          <w:lang w:val="en-US" w:eastAsia="zh-CN"/>
        </w:rPr>
      </w:pPr>
    </w:p>
    <w:p>
      <w:pPr>
        <w:snapToGrid/>
        <w:rPr>
          <w:rFonts w:eastAsia="方正仿宋_GBK"/>
          <w:color w:val="000000"/>
          <w:sz w:val="32"/>
          <w:szCs w:val="32"/>
        </w:rPr>
      </w:pPr>
      <w:r>
        <w:rPr>
          <w:rFonts w:eastAsia="方正仿宋_GBK"/>
          <w:color w:val="000000"/>
          <w:sz w:val="32"/>
          <w:szCs w:val="32"/>
        </w:rPr>
        <w:t>各镇人民政府、街道办事处，区政府各部门，有关单位：</w:t>
      </w:r>
    </w:p>
    <w:p>
      <w:pPr>
        <w:snapToGrid/>
        <w:ind w:firstLineChars="200" w:firstLine="640"/>
        <w:rPr>
          <w:rFonts w:eastAsia="方正仿宋_GBK"/>
          <w:color w:val="000000"/>
          <w:sz w:val="32"/>
          <w:szCs w:val="32"/>
        </w:rPr>
      </w:pPr>
      <w:r>
        <w:rPr>
          <w:rFonts w:eastAsia="方正仿宋_GBK"/>
          <w:color w:val="000000"/>
          <w:sz w:val="32"/>
          <w:szCs w:val="32"/>
        </w:rPr>
        <w:t>农村建设用地复垦是盘活农村资源资产，美化乡村环境，助推乡村振兴的有力支撑。为了充分利用和盘活废弃闲置农村建设用地，改善村容村貌，壮大集体经济，发挥农村建设用地复垦在乡村振兴工作中的积极作用。根据《重庆市地票管理办法》（重庆市人民政府令295号）、《重庆市规划和自然资源局关于印发〈重庆市农村建设用地复垦项目管理办法〉的通知》（渝规资规范〔2021〕8号）和《重庆市规划和自然资源局关于印发〈重庆市农村建设用地复垦项目管理办法实施细则〉的通知》（渝规资〔2022〕357号）的相关规定，现将农村建设用地复垦相关事项通知如下：</w:t>
      </w:r>
    </w:p>
    <w:p>
      <w:pPr>
        <w:snapToGrid/>
        <w:ind w:firstLineChars="200" w:firstLine="640"/>
        <w:rPr>
          <w:rFonts w:eastAsia="方正黑体_GBK"/>
          <w:color w:val="000000"/>
          <w:sz w:val="32"/>
          <w:szCs w:val="32"/>
        </w:rPr>
      </w:pPr>
      <w:r>
        <w:rPr>
          <w:rFonts w:eastAsia="方正黑体_GBK"/>
          <w:color w:val="000000"/>
          <w:sz w:val="32"/>
          <w:szCs w:val="32"/>
        </w:rPr>
        <w:t>一、全面查清农村危旧房和闲置废弃宅基地现状</w:t>
      </w:r>
    </w:p>
    <w:p>
      <w:pPr>
        <w:snapToGrid/>
        <w:ind w:firstLineChars="200" w:firstLine="640"/>
        <w:rPr>
          <w:rFonts w:eastAsia="方正仿宋_GBK"/>
          <w:color w:val="000000"/>
          <w:sz w:val="32"/>
          <w:szCs w:val="32"/>
        </w:rPr>
      </w:pPr>
      <w:r>
        <w:rPr>
          <w:rFonts w:eastAsia="方正仿宋_GBK"/>
          <w:color w:val="000000"/>
          <w:sz w:val="32"/>
          <w:szCs w:val="32"/>
        </w:rPr>
        <w:t>各镇（街）要组织村（居）对农村危旧房、闲置废弃宅基地进行摸排调查，摸清复垦潜力，查清宅基地现状，主要包括：权利人，闲置房屋基本情况，新建房屋基本情况, 现居住情况等内容，并逐户登记造册，统计汇总。根据汇总情况及农户复垦意愿，区土地储备整治中心将潜在复垦资源纳入“十四五”土地复垦规划，指导镇（街）有序组装项目。</w:t>
      </w:r>
    </w:p>
    <w:p>
      <w:pPr>
        <w:snapToGrid/>
        <w:ind w:firstLineChars="200" w:firstLine="640"/>
        <w:rPr>
          <w:rFonts w:eastAsia="方正黑体_GBK"/>
          <w:color w:val="000000"/>
          <w:sz w:val="32"/>
          <w:szCs w:val="32"/>
        </w:rPr>
      </w:pPr>
      <w:r>
        <w:rPr>
          <w:rFonts w:eastAsia="方正黑体_GBK"/>
          <w:color w:val="000000"/>
          <w:sz w:val="32"/>
          <w:szCs w:val="32"/>
        </w:rPr>
        <w:t>二、充分利用盘活农村建设用地复垦资源</w:t>
      </w:r>
    </w:p>
    <w:p>
      <w:pPr>
        <w:snapToGrid/>
        <w:ind w:firstLineChars="200" w:firstLine="640"/>
        <w:rPr>
          <w:rFonts w:eastAsia="方正仿宋_GBK"/>
          <w:color w:val="00B0F0"/>
          <w:sz w:val="32"/>
          <w:szCs w:val="32"/>
          <w:bdr w:val="single" w:sz="4" w:space="0" w:color="000000"/>
        </w:rPr>
      </w:pPr>
      <w:r>
        <w:rPr>
          <w:rFonts w:eastAsia="方正楷体_GBK"/>
          <w:color w:val="000000"/>
          <w:sz w:val="32"/>
          <w:szCs w:val="32"/>
        </w:rPr>
        <w:t>（一）以农村建设用地图斑开展复垦。</w:t>
      </w:r>
      <w:r>
        <w:rPr>
          <w:rFonts w:eastAsia="方正仿宋_GBK"/>
          <w:color w:val="000000"/>
          <w:sz w:val="32"/>
          <w:szCs w:val="32"/>
        </w:rPr>
        <w:t>根据《重庆市农村建设用地复垦项目管理办法》规定，申请复垦的建设用地应符合国土空间规划与国土调查规定，权属清晰，具有合法权属证明。</w:t>
      </w:r>
    </w:p>
    <w:p>
      <w:pPr>
        <w:snapToGrid/>
        <w:ind w:firstLineChars="200" w:firstLine="640"/>
        <w:rPr>
          <w:rFonts w:eastAsia="方正仿宋_GBK"/>
          <w:color w:val="00B0F0"/>
          <w:sz w:val="32"/>
          <w:szCs w:val="32"/>
          <w:u w:val="single"/>
          <w:shd w:val="solid" w:color="FFFFFF" w:fill="FFFFFF"/>
        </w:rPr>
      </w:pPr>
      <w:r>
        <w:rPr>
          <w:rFonts w:eastAsia="方正仿宋_GBK"/>
          <w:color w:val="000000"/>
          <w:sz w:val="32"/>
          <w:szCs w:val="32"/>
        </w:rPr>
        <w:t>土地权利人要据实指定图斑范围内外所属权属界线并进行测绘，图斑范围内除土地权利人权属部分以外的其它农村建设用地面积产生的</w:t>
      </w:r>
      <w:r>
        <w:rPr>
          <w:rFonts w:eastAsia="方正仿宋_GBK"/>
          <w:sz w:val="32"/>
          <w:szCs w:val="32"/>
          <w:shd w:val="solid" w:color="FFFFFF" w:fill="FFFFFF"/>
        </w:rPr>
        <w:t>指标归集体经济组织所有，由集体经济组织给予相应权利人按1.1万元/亩补助。</w:t>
      </w:r>
    </w:p>
    <w:p>
      <w:pPr>
        <w:snapToGrid/>
        <w:ind w:firstLineChars="200" w:firstLine="640"/>
        <w:rPr>
          <w:rFonts w:eastAsia="方正楷体_GBK"/>
          <w:color w:val="000000"/>
          <w:sz w:val="32"/>
          <w:szCs w:val="32"/>
        </w:rPr>
      </w:pPr>
      <w:r>
        <w:rPr>
          <w:rFonts w:eastAsia="方正楷体_GBK"/>
          <w:color w:val="000000"/>
          <w:sz w:val="32"/>
          <w:szCs w:val="32"/>
        </w:rPr>
        <w:t>（二）以土地权利人直接申报和集体经济组织收回两种复垦方式盘活复垦资源。</w:t>
      </w:r>
    </w:p>
    <w:p>
      <w:pPr>
        <w:snapToGrid/>
        <w:ind w:firstLineChars="200" w:firstLine="640"/>
        <w:rPr>
          <w:rFonts w:eastAsia="方正仿宋_GBK"/>
          <w:color w:val="000000"/>
          <w:sz w:val="32"/>
          <w:szCs w:val="32"/>
        </w:rPr>
      </w:pPr>
      <w:r>
        <w:rPr>
          <w:rFonts w:eastAsia="方正仿宋_GBK"/>
          <w:color w:val="000000"/>
          <w:sz w:val="32"/>
          <w:szCs w:val="32"/>
        </w:rPr>
        <w:t>根据《重庆市农村建设用地复垦项目管理办法》相关规定，</w:t>
      </w:r>
      <w:r>
        <w:rPr>
          <w:rFonts w:eastAsia="方正仿宋_GBK"/>
          <w:color w:val="000000"/>
          <w:spacing w:val="-8"/>
          <w:sz w:val="32"/>
          <w:szCs w:val="32"/>
        </w:rPr>
        <w:t>我区采用土地权利人直接申报和集体经济组织收回两种复垦方式。</w:t>
      </w:r>
    </w:p>
    <w:p>
      <w:pPr>
        <w:snapToGrid/>
        <w:ind w:firstLineChars="200" w:firstLine="640"/>
        <w:rPr>
          <w:rFonts w:eastAsia="方正仿宋_GBK"/>
          <w:color w:val="000000"/>
          <w:sz w:val="32"/>
          <w:szCs w:val="32"/>
        </w:rPr>
      </w:pPr>
      <w:r>
        <w:rPr>
          <w:rFonts w:eastAsia="方正仿宋_GBK"/>
          <w:color w:val="000000"/>
          <w:sz w:val="32"/>
          <w:szCs w:val="32"/>
        </w:rPr>
        <w:t>1.土地权利人在本集体经济组织只有一处宅基地或因合法途径取得产权形成一户多宅，且复垦后有合法稳定住所的均由土地权利人本人自愿申请复垦。</w:t>
      </w:r>
    </w:p>
    <w:p>
      <w:pPr>
        <w:snapToGrid/>
        <w:ind w:firstLineChars="200" w:firstLine="640"/>
        <w:rPr>
          <w:rFonts w:eastAsia="方正仿宋_GBK"/>
          <w:color w:val="000000"/>
          <w:sz w:val="32"/>
          <w:szCs w:val="32"/>
        </w:rPr>
      </w:pPr>
      <w:r>
        <w:rPr>
          <w:rFonts w:eastAsia="方正仿宋_GBK"/>
          <w:color w:val="000000"/>
          <w:sz w:val="32"/>
          <w:szCs w:val="32"/>
        </w:rPr>
        <w:t>2.土地权利人因新建房屋未拆旧房形成的一户多宅，且产权明晰的，由土地权利人本人自愿申请，集体经济组织收回建设用地使用权后实施复垦。</w:t>
      </w:r>
    </w:p>
    <w:p>
      <w:pPr>
        <w:snapToGrid/>
        <w:ind w:firstLineChars="200" w:firstLine="640"/>
        <w:rPr>
          <w:rFonts w:eastAsia="方正楷体_GBK"/>
          <w:color w:val="000000"/>
          <w:sz w:val="32"/>
          <w:szCs w:val="32"/>
        </w:rPr>
      </w:pPr>
      <w:r>
        <w:rPr>
          <w:rFonts w:eastAsia="方正楷体_GBK"/>
          <w:color w:val="000000"/>
          <w:sz w:val="32"/>
          <w:szCs w:val="32"/>
        </w:rPr>
        <w:t>（三）集体经济组织利用整图斑复垦产生的新增耕地指标，平衡申报权利人的合法权益。</w:t>
      </w:r>
    </w:p>
    <w:p>
      <w:pPr>
        <w:snapToGrid/>
        <w:ind w:firstLineChars="200" w:firstLine="640"/>
        <w:rPr>
          <w:rFonts w:eastAsia="方正仿宋_GBK"/>
          <w:color w:val="000000"/>
          <w:sz w:val="32"/>
          <w:szCs w:val="32"/>
        </w:rPr>
      </w:pPr>
      <w:r>
        <w:rPr>
          <w:rFonts w:eastAsia="方正仿宋_GBK"/>
          <w:color w:val="000000"/>
          <w:sz w:val="32"/>
          <w:szCs w:val="32"/>
        </w:rPr>
        <w:t xml:space="preserve">申报复垦的土地权利人房屋，在第三次全国国土调查时实地为建构筑物，由于判读误差或遥感影像被竹林遮挡等原因造成土地权利人部分房屋或院坝在建设用地图斑外，根据相关规定，图斑外面积不能纳入复垦指标核定范围。 </w:t>
      </w:r>
    </w:p>
    <w:p>
      <w:pPr>
        <w:snapToGrid/>
        <w:ind w:firstLineChars="200" w:firstLine="640"/>
        <w:rPr>
          <w:rFonts w:eastAsia="方正仿宋_GBK"/>
          <w:color w:val="000000"/>
          <w:sz w:val="32"/>
          <w:szCs w:val="32"/>
        </w:rPr>
      </w:pPr>
      <w:r>
        <w:rPr>
          <w:rFonts w:eastAsia="方正仿宋_GBK"/>
          <w:color w:val="000000"/>
          <w:sz w:val="32"/>
          <w:szCs w:val="32"/>
        </w:rPr>
        <w:t>实施复垦时，可据实实施复垦，指标认定面积与土地权利人分配面积不一致的，由集体经济组织统筹调配，确保复垦权利人房屋、院坝等基本宅基地的收益。</w:t>
      </w:r>
    </w:p>
    <w:p>
      <w:pPr>
        <w:snapToGrid/>
        <w:ind w:firstLineChars="200" w:firstLine="640"/>
        <w:rPr>
          <w:rFonts w:eastAsia="方正楷体_GBK"/>
          <w:color w:val="000000"/>
          <w:sz w:val="32"/>
          <w:szCs w:val="32"/>
        </w:rPr>
      </w:pPr>
      <w:r>
        <w:rPr>
          <w:rFonts w:eastAsia="方正楷体_GBK"/>
          <w:color w:val="000000"/>
          <w:sz w:val="32"/>
          <w:szCs w:val="32"/>
        </w:rPr>
        <w:t>（四）落实后期管护，确保耕地指标。</w:t>
      </w:r>
    </w:p>
    <w:p>
      <w:pPr>
        <w:snapToGrid/>
        <w:ind w:firstLineChars="200" w:firstLine="640"/>
        <w:rPr>
          <w:rFonts w:eastAsia="方正仿宋_GBK"/>
          <w:color w:val="000000"/>
          <w:sz w:val="32"/>
          <w:szCs w:val="32"/>
        </w:rPr>
      </w:pPr>
      <w:r>
        <w:rPr>
          <w:rFonts w:eastAsia="方正仿宋_GBK"/>
          <w:color w:val="000000"/>
          <w:sz w:val="32"/>
          <w:szCs w:val="32"/>
        </w:rPr>
        <w:t>项目竣工验收合格后，江津区规划和自然资源局与镇（街）签订管护协议，落实管护责任，集体经济组织在项目统筹后净收益中安排资金，3年期满后，对管护到位的复垦地块实际管护人给予600元/亩管护补助经费，防止耕地撂荒、非粮化种植。</w:t>
      </w:r>
    </w:p>
    <w:p>
      <w:pPr>
        <w:snapToGrid/>
        <w:ind w:firstLineChars="200" w:firstLine="640"/>
        <w:rPr>
          <w:rFonts w:eastAsia="方正黑体_GBK"/>
          <w:color w:val="000000"/>
          <w:sz w:val="32"/>
          <w:szCs w:val="32"/>
        </w:rPr>
      </w:pPr>
      <w:r>
        <w:rPr>
          <w:rFonts w:eastAsia="方正黑体_GBK"/>
          <w:color w:val="000000"/>
          <w:sz w:val="32"/>
          <w:szCs w:val="32"/>
        </w:rPr>
        <w:t>三、复垦价款分配标准</w:t>
      </w:r>
    </w:p>
    <w:p>
      <w:pPr>
        <w:snapToGrid/>
        <w:ind w:firstLineChars="200" w:firstLine="640"/>
        <w:rPr>
          <w:rFonts w:eastAsia="方正仿宋_GBK"/>
          <w:color w:val="000000"/>
          <w:sz w:val="32"/>
          <w:szCs w:val="32"/>
        </w:rPr>
      </w:pPr>
      <w:r>
        <w:rPr>
          <w:rFonts w:eastAsia="方正楷体_GBK"/>
          <w:color w:val="000000"/>
          <w:sz w:val="32"/>
          <w:szCs w:val="32"/>
        </w:rPr>
        <w:t>（一）</w:t>
      </w:r>
      <w:r>
        <w:rPr>
          <w:rFonts w:eastAsia="方正仿宋_GBK"/>
          <w:color w:val="000000"/>
          <w:sz w:val="32"/>
          <w:szCs w:val="32"/>
        </w:rPr>
        <w:t>土地权利人权属范围内复垦收益仍按《重庆市地票管理办法》规定分配，土地权利人权属范围外的其余附属设施用地对应的地票净收益全部归农村集体经济组织。</w:t>
      </w:r>
    </w:p>
    <w:p>
      <w:pPr>
        <w:snapToGrid/>
        <w:ind w:firstLineChars="200" w:firstLine="640"/>
        <w:rPr>
          <w:rFonts w:eastAsia="方正仿宋_GBK"/>
          <w:color w:val="000000"/>
          <w:sz w:val="32"/>
          <w:szCs w:val="32"/>
        </w:rPr>
      </w:pPr>
      <w:r>
        <w:rPr>
          <w:rFonts w:eastAsia="方正楷体_GBK"/>
          <w:color w:val="000000"/>
          <w:sz w:val="32"/>
          <w:szCs w:val="32"/>
        </w:rPr>
        <w:t>（二）</w:t>
      </w:r>
      <w:r>
        <w:rPr>
          <w:rFonts w:eastAsia="方正仿宋_GBK"/>
          <w:color w:val="000000"/>
          <w:sz w:val="32"/>
          <w:szCs w:val="32"/>
        </w:rPr>
        <w:t>复垦实施范围大于最终确认指标的面积，其权利人净收益和复垦成本由集体经济组织用其收益统筹调配补足。</w:t>
      </w:r>
    </w:p>
    <w:p>
      <w:pPr>
        <w:snapToGrid/>
        <w:ind w:firstLineChars="200" w:firstLine="640"/>
        <w:rPr>
          <w:rFonts w:eastAsia="方正仿宋_GBK"/>
          <w:color w:val="000000"/>
          <w:sz w:val="32"/>
          <w:szCs w:val="32"/>
        </w:rPr>
      </w:pPr>
      <w:r>
        <w:rPr>
          <w:rFonts w:eastAsia="方正楷体_GBK"/>
          <w:color w:val="000000"/>
          <w:sz w:val="32"/>
          <w:szCs w:val="32"/>
        </w:rPr>
        <w:t>（三）</w:t>
      </w:r>
      <w:r>
        <w:rPr>
          <w:rFonts w:eastAsia="方正仿宋_GBK"/>
          <w:color w:val="000000"/>
          <w:sz w:val="32"/>
          <w:szCs w:val="32"/>
        </w:rPr>
        <w:t>建新未拆旧房屋复垦指标交易并扣除成本后，原土地权利人权属范围面积据实抵扣建新面积剩余部分，其净收益按《重庆市地票管理办法》规定分配。</w:t>
      </w:r>
    </w:p>
    <w:p>
      <w:pPr>
        <w:snapToGrid/>
        <w:ind w:firstLineChars="200" w:firstLine="640"/>
        <w:rPr>
          <w:rFonts w:eastAsia="方正仿宋_GBK"/>
          <w:color w:val="000000"/>
          <w:sz w:val="32"/>
          <w:szCs w:val="32"/>
        </w:rPr>
      </w:pPr>
      <w:r>
        <w:rPr>
          <w:rFonts w:eastAsia="方正仿宋_GBK"/>
          <w:color w:val="000000"/>
          <w:sz w:val="32"/>
          <w:szCs w:val="32"/>
        </w:rPr>
        <w:t>原土地权利人建新面积由江津区</w:t>
      </w:r>
      <w:bookmarkStart w:id="0" w:name="_GoBack"/>
      <w:bookmarkEnd w:id="0"/>
      <w:r>
        <w:rPr>
          <w:rFonts w:eastAsia="方正仿宋_GBK"/>
          <w:color w:val="000000"/>
          <w:sz w:val="32"/>
          <w:szCs w:val="32"/>
        </w:rPr>
        <w:t>人民政府统一购买占补平衡指标覆盖的，抵扣建新面积部分产生的地票净收益归集体经济组织所有。</w:t>
      </w:r>
    </w:p>
    <w:p>
      <w:pPr>
        <w:snapToGrid/>
        <w:ind w:firstLineChars="200" w:firstLine="640"/>
        <w:rPr>
          <w:rFonts w:eastAsia="方正仿宋_GBK"/>
          <w:color w:val="000000"/>
          <w:sz w:val="32"/>
          <w:szCs w:val="32"/>
        </w:rPr>
      </w:pPr>
      <w:r>
        <w:rPr>
          <w:rFonts w:eastAsia="方正仿宋_GBK"/>
          <w:color w:val="000000"/>
          <w:sz w:val="32"/>
          <w:szCs w:val="32"/>
        </w:rPr>
        <w:t>原土地权利人权属范围外的其余附属设施用地面积对应的地票净收益归农村集体经济组织。</w:t>
      </w:r>
    </w:p>
    <w:p>
      <w:pPr>
        <w:snapToGrid/>
        <w:ind w:firstLineChars="200" w:firstLine="640"/>
        <w:rPr>
          <w:rFonts w:eastAsia="方正黑体_GBK"/>
          <w:color w:val="000000"/>
          <w:sz w:val="32"/>
          <w:szCs w:val="32"/>
        </w:rPr>
      </w:pPr>
      <w:r>
        <w:rPr>
          <w:rFonts w:eastAsia="方正黑体_GBK"/>
          <w:color w:val="000000"/>
          <w:sz w:val="32"/>
          <w:szCs w:val="32"/>
        </w:rPr>
        <w:t>四、加强宅基地管控，严格执行“一户一宅”制度</w:t>
      </w:r>
    </w:p>
    <w:p>
      <w:pPr>
        <w:keepNext w:val="0"/>
        <w:keepLines w:val="0"/>
        <w:pageBreakBefore w:val="0"/>
        <w:widowControl w:val="0"/>
        <w:kinsoku/>
        <w:wordWrap/>
        <w:overflowPunct/>
        <w:topLinePunct w:val="0"/>
        <w:autoSpaceDE/>
        <w:autoSpaceDN/>
        <w:bidi w:val="0"/>
        <w:adjustRightInd w:val="0"/>
        <w:snapToGrid/>
        <w:ind w:rightChars="-50" w:right="-105" w:firstLineChars="200" w:firstLine="640"/>
        <w:textAlignment w:val="auto"/>
        <w:rPr>
          <w:rFonts w:eastAsia="方正仿宋_GBK"/>
          <w:sz w:val="32"/>
          <w:szCs w:val="32"/>
        </w:rPr>
      </w:pPr>
      <w:r>
        <w:rPr>
          <w:rFonts w:eastAsia="方正仿宋_GBK"/>
          <w:color w:val="000000"/>
          <w:sz w:val="32"/>
          <w:szCs w:val="32"/>
        </w:rPr>
        <w:t>各镇（街）要加大宅基地管控力度，严格执行“一户一宅”和“建新必须拆旧”制度，旧房必须拆除后新房才能完善手续办理房地产权证。权利人自愿将房屋申请复垦后权利人及其家庭成员不得再申请宅基地。确因法定情形需要再申请新建宅基地的应当以有偿方式取得。</w:t>
      </w:r>
    </w:p>
    <w:p>
      <w:pPr>
        <w:keepNext w:val="0"/>
        <w:keepLines w:val="0"/>
        <w:pageBreakBefore w:val="0"/>
        <w:widowControl w:val="0"/>
        <w:kinsoku/>
        <w:wordWrap w:val="0"/>
        <w:overflowPunct/>
        <w:topLinePunct w:val="0"/>
        <w:autoSpaceDE/>
        <w:autoSpaceDN/>
        <w:adjustRightInd/>
        <w:snapToGrid/>
        <w:spacing w:line="600" w:lineRule="atLeast"/>
        <w:ind w:left="0" w:firstLineChars="200" w:firstLine="640"/>
        <w:jc w:val="right"/>
        <w:rPr>
          <w:rFonts w:ascii="方正仿宋_GBK" w:eastAsia="方正仿宋_GBK" w:cs="方正仿宋_GBK" w:hint="eastAsia"/>
          <w:kern w:val="0"/>
          <w:sz w:val="32"/>
          <w:szCs w:val="32"/>
          <w:shd w:val="clear" w:color="auto" w:fill="FFFFFF"/>
        </w:rPr>
      </w:pPr>
      <w:r>
        <w:rPr>
          <w:rFonts w:ascii="方正仿宋_GBK" w:eastAsia="方正仿宋_GBK" w:cs="方正仿宋_GBK" w:hint="eastAsia"/>
          <w:kern w:val="0"/>
          <w:sz w:val="32"/>
          <w:szCs w:val="32"/>
          <w:shd w:val="clear" w:color="auto" w:fill="FFFFFF"/>
        </w:rPr>
        <w:t>重庆市江津区规划和自然资源局</w:t>
      </w:r>
    </w:p>
    <w:p>
      <w:pPr>
        <w:keepNext w:val="0"/>
        <w:keepLines w:val="0"/>
        <w:pageBreakBefore w:val="0"/>
        <w:widowControl w:val="0"/>
        <w:kinsoku/>
        <w:wordWrap w:val="0"/>
        <w:overflowPunct/>
        <w:topLinePunct w:val="0"/>
        <w:autoSpaceDE/>
        <w:autoSpaceDN/>
        <w:adjustRightInd/>
        <w:snapToGrid/>
        <w:spacing w:line="600" w:lineRule="atLeast"/>
        <w:ind w:left="0" w:firstLineChars="200" w:firstLine="640"/>
        <w:jc w:val="right"/>
        <w:rPr>
          <w:rFonts w:eastAsia="方正黑体_GBK" w:hint="eastAsia"/>
          <w:sz w:val="32"/>
          <w:szCs w:val="32"/>
        </w:rPr>
      </w:pPr>
      <w:r>
        <w:rPr>
          <w:rFonts w:ascii="方正仿宋_GBK" w:eastAsia="方正仿宋_GBK" w:cs="方正仿宋_GBK" w:hint="eastAsia"/>
          <w:kern w:val="0"/>
          <w:sz w:val="32"/>
          <w:szCs w:val="32"/>
          <w:shd w:val="clear" w:color="auto" w:fill="FFFFFF"/>
        </w:rPr>
        <w:t xml:space="preserve">                              2023年2月2日 </w:t>
      </w:r>
      <w:r>
        <w:rPr>
          <w:rFonts w:eastAsia="方正仿宋_GBK"/>
          <w:sz w:val="32"/>
          <w:szCs w:val="32"/>
        </w:rPr>
        <w:t xml:space="preserve">  </w:t>
      </w:r>
    </w:p>
    <w:sectPr>
      <w:headerReference w:type="default" r:id="rId2"/>
      <w:footerReference w:type="default" r:id="rId3"/>
      <w:pgSz w:w="11907" w:h="16840"/>
      <w:pgMar w:top="1962" w:right="1474" w:bottom="1848" w:left="1588" w:header="851" w:footer="992" w:gutter="0"/>
      <w:pgNumType w:fmt="numberInDash"/>
      <w:rtlGutter/>
      <w:docGrid w:type="lines" w:linePitch="316"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auto"/>
    <w:pitch w:val="variable"/>
    <w:sig w:usb0="00000001" w:usb1="080E0000" w:usb2="00000000" w:usb3="00000000" w:csb0="00040000" w:csb1="00000000"/>
  </w:font>
  <w:font w:name="Times New Roman">
    <w:panose1 w:val="02020603050405020304"/>
    <w:charset w:val="01"/>
    <w:family w:val="roman"/>
    <w:pitch w:val="variable"/>
    <w:sig w:usb0="E0002AFF" w:usb1="C0007841" w:usb2="00000009" w:usb3="00000000" w:csb0="400001FF" w:csb1="FFFF0000"/>
  </w:font>
  <w:font w:name="方正黑体_GBK">
    <w:panose1 w:val="03000509000000000000"/>
    <w:charset w:val="86"/>
    <w:family w:val="auto"/>
    <w:pitch w:val="variable"/>
    <w:sig w:usb0="00000001" w:usb1="080E0000" w:usb2="00000000" w:usb3="00000000" w:csb0="00040000" w:csb1="00000000"/>
  </w:font>
  <w:font w:name="方正楷体_GBK">
    <w:panose1 w:val="03000509000000000000"/>
    <w:charset w:val="86"/>
    <w:family w:val="auto"/>
    <w:pitch w:val="variable"/>
    <w:sig w:usb0="00000001" w:usb1="080E0000" w:usb2="00000000" w:usb3="00000000" w:csb0="00040000" w:csb1="0000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ind w:leftChars="2280" w:left="4788" w:firstLineChars="2000" w:firstLine="6400"/>
      <w:rPr>
        <w:sz w:val="32"/>
      </w:rPr>
    </w:pPr>
    <w:r>
      <w:rPr>
        <w:sz w:val="32"/>
      </w:rP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6" name="文本框 10"/>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7">
                      <w:txbxContent>
                        <w:p>
                          <w:pPr>
                            <w:pStyle w:val="16"/>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10 8" o:spid="_x0000_s8" filled="f" stroked="f" strokeweight="0.5pt" style="position:absolute;margin-left:0.0pt;margin-top:0.0pt;width:34.999985pt;height:18.130003pt;z-index:21;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v:textbox>
            </v:shape>
          </w:pict>
        </mc:Fallback>
      </mc:AlternateContent>
    </w:r>
  </w:p>
  <w:p>
    <w:pPr>
      <w:pStyle w:val="17"/>
      <w:tabs>
        <w:tab w:val="center" w:pos="4153"/>
        <w:tab w:val="right" w:pos="8306"/>
      </w:tabs>
      <w:ind w:leftChars="2280" w:left="4788" w:firstLineChars="2000" w:firstLine="6400"/>
      <w:rPr>
        <w:sz w:val="32"/>
      </w:rPr>
    </w:pPr>
    <w:r>
      <w:rPr>
        <w:color w:val="FAFAFA"/>
        <w:sz w:val="32"/>
      </w:rPr>
      <mc:AlternateContent>
        <mc:Choice Requires="wps">
          <w:drawing>
            <wp:anchor distT="0" distB="0" distL="114298" distR="114298" simplePos="0" relativeHeight="19" behindDoc="0" locked="0" layoutInCell="1" hidden="0" allowOverlap="1">
              <wp:simplePos x="0" y="0"/>
              <wp:positionH relativeFrom="column">
                <wp:posOffset>1333</wp:posOffset>
              </wp:positionH>
              <wp:positionV relativeFrom="paragraph">
                <wp:posOffset>157445</wp:posOffset>
              </wp:positionV>
              <wp:extent cx="5618304" cy="34017"/>
              <wp:effectExtent l="0" t="0" r="0" b="0"/>
              <wp:wrapNone/>
              <wp:docPr id="9" name="直接连接符 11"/>
              <wp:cNvGraphicFramePr>
                <a:graphicFrameLocks noChangeAspect="0"/>
              </wp:cNvGraphicFramePr>
              <a:graphic>
                <a:graphicData uri="http://schemas.microsoft.com/office/word/2010/wordprocessingShape">
                  <wps:wsp>
                    <wps:cNvSpPr/>
                    <wps:spPr>
                      <a:xfrm rot="0">
                        <a:off x="0" y="0"/>
                        <a:ext cx="5618304" cy="34017"/>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1 10" o:spid="_x0000_s10" from="0.10499794pt,12.397287pt" to="442.49115pt,15.075805pt" filled="f" stroked="t" strokeweight="1.75pt" style="position:absolute;z-index:19;mso-position-horizontal:absolute;mso-position-vertical:absolute;mso-wrap-distance-left:8.999863pt;mso-wrap-distance-right:8.999863pt;visibility:visible;">
              <v:stroke color="#005192"/>
            </v:line>
          </w:pict>
        </mc:Fallback>
      </mc:AlternateContent>
    </w:r>
  </w:p>
  <w:p>
    <w:pPr>
      <w:pStyle w:val="17"/>
      <w:tabs>
        <w:tab w:val="center" w:pos="4153"/>
        <w:tab w:val="right" w:pos="8306"/>
      </w:tabs>
      <w:wordWrap w:val="0"/>
      <w:jc w:val="right"/>
      <w:rPr>
        <w:rFonts w:ascii="宋体" w:eastAsia="宋体" w:cs="宋体" w:hint="eastAsia"/>
        <w:b/>
        <w:bCs/>
        <w:color w:val="005192"/>
        <w:sz w:val="28"/>
        <w:szCs w:val="44"/>
        <w:lang w:val="en-US" w:eastAsia="zh-CN"/>
      </w:rPr>
    </w:pPr>
    <w:r>
      <w:rPr>
        <w:rFonts w:ascii="宋体" w:eastAsia="宋体" w:cs="宋体"/>
        <w:b/>
        <w:bCs/>
        <w:color w:val="005192"/>
        <w:sz w:val="28"/>
        <w:szCs w:val="44"/>
      </w:rPr>
      <w:t>重庆市江津区规划和自然资源局</w:t>
    </w:r>
    <w:r>
      <w:rPr>
        <w:rFonts w:ascii="宋体" w:eastAsia="宋体" w:cs="宋体" w:hint="eastAsia"/>
        <w:b/>
        <w:bCs/>
        <w:color w:val="005192"/>
        <w:sz w:val="28"/>
        <w:szCs w:val="44"/>
        <w:lang w:val="en-US" w:eastAsia="zh-CN"/>
      </w:rPr>
      <w:t>发布</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keepNext w:val="0"/>
      <w:keepLines w:val="0"/>
      <w:pageBreakBefore w:val="0"/>
      <w:widowControl w:val="0"/>
      <w:tabs>
        <w:tab w:val="center" w:pos="4153"/>
        <w:tab w:val="right" w:pos="8306"/>
      </w:tabs>
      <w:kinsoku/>
      <w:wordWrap/>
      <w:overflowPunct/>
      <w:topLinePunct w:val="0"/>
      <w:autoSpaceDE/>
      <w:autoSpaceDN/>
      <w:bidi w:val="0"/>
      <w:adjustRightInd/>
      <w:snapToGrid w:val="0"/>
      <w:textAlignment w:val="center"/>
      <w:rPr>
        <w:rFonts w:ascii="宋体" w:eastAsia="宋体" w:cs="宋体" w:hint="eastAsia"/>
        <w:b/>
        <w:bCs/>
        <w:color w:val="005192"/>
        <w:sz w:val="32"/>
        <w:szCs w:val="32"/>
        <w:lang w:val="en-US" w:eastAsia="zh-CN"/>
      </w:rPr>
    </w:pPr>
    <w:r>
      <w:rPr>
        <w:rFonts w:ascii="方正仿宋_GBK" w:eastAsia="方正仿宋_GBK" w:cs="方正仿宋_GBK" w:hint="eastAsia"/>
        <w:b/>
        <w:bCs/>
        <w:color w:val="000000"/>
        <w:sz w:val="32"/>
        <w14:textFill>
          <w14:solidFill>
            <w14:srgbClr w14:val="000000"/>
          </w14:solidFill>
        </w14:textFill>
      </w:rPr>
      <mc:AlternateContent>
        <mc:Choice Requires="wps">
          <w:drawing>
            <wp:anchor distT="0" distB="0" distL="114298" distR="114298" simplePos="0" relativeHeight="17" behindDoc="0" locked="0" layoutInCell="1" hidden="0" allowOverlap="1">
              <wp:simplePos x="0" y="0"/>
              <wp:positionH relativeFrom="column">
                <wp:posOffset>16573</wp:posOffset>
              </wp:positionH>
              <wp:positionV relativeFrom="paragraph">
                <wp:posOffset>467860</wp:posOffset>
              </wp:positionV>
              <wp:extent cx="5556786" cy="13440"/>
              <wp:effectExtent l="0" t="0" r="0" b="0"/>
              <wp:wrapNone/>
              <wp:docPr id="1" name="直接连接符 2"/>
              <wp:cNvGraphicFramePr>
                <a:graphicFrameLocks noChangeAspect="0"/>
              </wp:cNvGraphicFramePr>
              <a:graphic>
                <a:graphicData uri="http://schemas.microsoft.com/office/word/2010/wordprocessingShape">
                  <wps:wsp>
                    <wps:cNvSpPr/>
                    <wps:spPr>
                      <a:xfrm flipV="1" rot="21600000">
                        <a:off x="0" y="0"/>
                        <a:ext cx="5556786" cy="13440"/>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 2" o:spid="_x0000_s2" from="1.3049785pt,36.83944pt" to="438.8472pt,37.897766pt" filled="f" stroked="t" strokeweight="1.75pt" style="position:absolute;flip:y;z-index:17;mso-position-horizontal:absolute;mso-position-vertical:absolute;mso-wrap-distance-left:8.999863pt;mso-wrap-distance-right:8.999863pt;visibility:visible;">
              <v:stroke color="#005192"/>
            </v:line>
          </w:pict>
        </mc:Fallback>
      </mc:AlternateContent>
    </w:r>
    <w:r>
      <w:rPr>
        <w:rFonts w:ascii="宋体" w:eastAsia="宋体" w:cs="宋体" w:hint="eastAsia"/>
        <w:b/>
        <w:bCs/>
        <w:color w:val="005192"/>
        <w:sz w:val="32"/>
      </w:rPr>
      <w:drawing>
        <wp:inline distT="0" distB="0" distL="114300" distR="114300">
          <wp:extent cx="308610" cy="308610"/>
          <wp:effectExtent l="0" t="0" r="5" b="5"/>
          <wp:docPr id="3" name="图片 3" descr="国徽1024"/>
          <wp:cNvGraphicFramePr>
            <a:graphicFrameLocks noChangeAspect="1"/>
          </wp:cNvGraphicFramePr>
          <a:graphic>
            <a:graphicData uri="http://schemas.openxmlformats.org/drawingml/2006/picture">
              <pic:pic>
                <pic:nvPicPr>
                  <pic:cNvPr id="5" name="图片 3 5"/>
                  <pic:cNvPicPr/>
                </pic:nvPicPr>
                <pic:blipFill>
                  <a:blip r:embed="rId1"/>
                  <a:stretch>
                    <a:fillRect/>
                  </a:stretch>
                </pic:blipFill>
                <pic:spPr>
                  <a:xfrm rot="0">
                    <a:off x="0" y="0"/>
                    <a:ext cx="308610" cy="308610"/>
                  </a:xfrm>
                  <a:prstGeom prst="rect"/>
                  <a:noFill/>
                  <a:ln w="9525" cmpd="sng" cap="flat">
                    <a:noFill/>
                    <a:prstDash val="solid"/>
                    <a:miter/>
                  </a:ln>
                </pic:spPr>
              </pic:pic>
            </a:graphicData>
          </a:graphic>
        </wp:inline>
      </w:drawing>
    </w:r>
    <w:r>
      <w:rPr>
        <w:rFonts w:ascii="宋体" w:eastAsia="宋体" w:cs="宋体"/>
        <w:b/>
        <w:bCs/>
        <w:color w:val="005192"/>
        <w:sz w:val="32"/>
      </w:rPr>
      <w:t>重庆市江津区规划和自然资源局行政</w:t>
    </w:r>
    <w:r>
      <w:rPr>
        <w:rFonts w:ascii="宋体" w:eastAsia="宋体" w:cs="宋体" w:hint="eastAsia"/>
        <w:b/>
        <w:bCs/>
        <w:color w:val="005192"/>
        <w:sz w:val="32"/>
        <w:szCs w:val="32"/>
        <w:lang w:val="en-US"/>
      </w:rPr>
      <w:t>规范性文件</w: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val="0"/>
  <w:bordersDoNotSurroundFooter w:val="0"/>
  <w:defaultTabStop w:val="420"/>
  <w:drawingGridHorizontalSpacing w:val="105"/>
  <w:drawingGridVerticalSpacing w:val="158"/>
  <w:displayHorizontalDrawingGridEvery w:val="1"/>
  <w:displayVerticalDrawingGridEvery w:val="2"/>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paragraph" w:styleId="4">
    <w:name w:val="heading 4"/>
    <w:basedOn w:val="0"/>
    <w:next w:val="0"/>
    <w:pPr>
      <w:keepNext/>
      <w:keepLines/>
      <w:widowControl w:val="0"/>
      <w:spacing w:before="280" w:after="290" w:line="372" w:lineRule="auto"/>
      <w:outlineLvl w:val="3"/>
    </w:pPr>
    <w:rPr>
      <w:rFonts w:ascii="Arial" w:eastAsia="黑体" w:hAnsi="Arial"/>
      <w:b/>
      <w:sz w:val="28"/>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basedOn w:val="0"/>
    <w:pPr>
      <w:spacing w:before="0" w:beforeAutospacing="1" w:after="0" w:afterAutospacing="1"/>
      <w:ind w:left="0" w:right="0"/>
      <w:jc w:val="left"/>
    </w:pPr>
    <w:rPr>
      <w:kern w:val="0"/>
      <w:sz w:val="24"/>
      <w:lang w:val="en-US" w:eastAsia="zh-CN"/>
    </w:rPr>
  </w:style>
  <w:style w:type="character" w:styleId="19">
    <w:name w:val="Strong"/>
    <w:basedOn w:val="10"/>
    <w:rPr>
      <w:b/>
      <w:bCs/>
    </w:rPr>
  </w:style>
  <w:style w:type="paragraph" w:customStyle="1" w:styleId="20">
    <w:name w:val="p0"/>
    <w:basedOn w:val="0"/>
    <w:pPr>
      <w:widowControl/>
    </w:pPr>
    <w:rPr>
      <w:rFonts w:ascii="Calibri" w:eastAsia="宋体" w:cs="宋体" w:hAnsi="Calibri"/>
      <w:kern w:val="0"/>
      <w:szCs w:val="32"/>
    </w:rPr>
  </w:style>
  <w:style w:type="paragraph" w:styleId="21">
    <w:name w:val="annotation subject"/>
    <w:basedOn w:val="15"/>
    <w:next w:val="15"/>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4.png"/></Relationships>
</file>

<file path=docProps/app.xml><?xml version="1.0" encoding="utf-8"?>
<Properties xmlns="http://schemas.openxmlformats.org/officeDocument/2006/extended-properties">
  <Template>Normal.eit</Template>
  <TotalTime>443</TotalTime>
  <Application>Yozo_Office27021597764231180</Application>
  <Pages>4</Pages>
  <Words>0</Words>
  <Characters>1347</Characters>
  <Lines>0</Lines>
  <Paragraphs>32</Paragraphs>
  <CharactersWithSpaces>1796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dc:creator>
  <cp:lastModifiedBy>廖杉</cp:lastModifiedBy>
  <cp:revision>1</cp:revision>
  <cp:lastPrinted>2022-06-06T16:09:00Z</cp:lastPrinted>
  <dcterms:created xsi:type="dcterms:W3CDTF">2021-09-11T02:41:00Z</dcterms:created>
  <dcterms:modified xsi:type="dcterms:W3CDTF">2023-08-07T02:56:33Z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2052-11.1.0.10132</vt:lpwstr>
  </property>
  <property fmtid="{D5CDD505-2E9C-101B-9397-08002B2CF9AE}" pid="3" name="ICV">
    <vt:lpwstr>48C61CB29D3F4D9384F5922CF0F7FFB4</vt:lpwstr>
  </property>
</Properties>
</file>