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D3109">
      <w:pPr>
        <w:spacing w:line="256" w:lineRule="auto"/>
        <w:rPr>
          <w:rFonts w:ascii="Arial"/>
          <w:sz w:val="21"/>
        </w:rPr>
      </w:pPr>
    </w:p>
    <w:p w14:paraId="72DF2AC1">
      <w:pPr>
        <w:spacing w:line="257" w:lineRule="auto"/>
        <w:rPr>
          <w:rFonts w:ascii="Arial"/>
          <w:sz w:val="21"/>
        </w:rPr>
      </w:pPr>
    </w:p>
    <w:p w14:paraId="57A802C6">
      <w:pPr>
        <w:spacing w:line="257" w:lineRule="auto"/>
        <w:rPr>
          <w:rFonts w:ascii="Arial"/>
          <w:sz w:val="21"/>
        </w:rPr>
      </w:pPr>
    </w:p>
    <w:p w14:paraId="3F766A7B">
      <w:pPr>
        <w:spacing w:line="257" w:lineRule="auto"/>
        <w:rPr>
          <w:rFonts w:ascii="Arial"/>
          <w:sz w:val="21"/>
        </w:rPr>
      </w:pPr>
    </w:p>
    <w:p w14:paraId="0C06D788">
      <w:pPr>
        <w:spacing w:line="257" w:lineRule="auto"/>
        <w:rPr>
          <w:rFonts w:ascii="Arial"/>
          <w:sz w:val="21"/>
        </w:rPr>
      </w:pPr>
    </w:p>
    <w:p w14:paraId="7E2544D0">
      <w:pPr>
        <w:spacing w:line="257" w:lineRule="auto"/>
        <w:rPr>
          <w:rFonts w:ascii="Arial"/>
          <w:sz w:val="21"/>
        </w:rPr>
      </w:pPr>
    </w:p>
    <w:p w14:paraId="212B4AA5">
      <w:pPr>
        <w:spacing w:line="257" w:lineRule="auto"/>
        <w:rPr>
          <w:rFonts w:ascii="Arial"/>
          <w:sz w:val="21"/>
        </w:rPr>
      </w:pPr>
    </w:p>
    <w:p w14:paraId="3EC2BB66">
      <w:pPr>
        <w:spacing w:line="257" w:lineRule="auto"/>
        <w:rPr>
          <w:rFonts w:ascii="Arial"/>
          <w:sz w:val="21"/>
        </w:rPr>
      </w:pPr>
    </w:p>
    <w:p w14:paraId="1E7187CF">
      <w:pPr>
        <w:spacing w:line="257" w:lineRule="auto"/>
        <w:rPr>
          <w:rFonts w:ascii="Arial"/>
          <w:sz w:val="21"/>
        </w:rPr>
      </w:pPr>
    </w:p>
    <w:p w14:paraId="25D53A96">
      <w:pPr>
        <w:spacing w:line="257" w:lineRule="auto"/>
        <w:rPr>
          <w:rFonts w:ascii="Arial"/>
          <w:sz w:val="21"/>
        </w:rPr>
      </w:pPr>
    </w:p>
    <w:p w14:paraId="1052CB8C">
      <w:pPr>
        <w:spacing w:before="485" w:line="239" w:lineRule="auto"/>
        <w:jc w:val="right"/>
        <w:rPr>
          <w:rFonts w:ascii="方正小标宋_GBK" w:hAnsi="方正小标宋_GBK" w:eastAsia="方正小标宋_GBK" w:cs="方正小标宋_GBK"/>
          <w:sz w:val="130"/>
          <w:szCs w:val="130"/>
        </w:rPr>
      </w:pPr>
      <w:r>
        <w:rPr>
          <w:rFonts w:ascii="方正小标宋_GBK" w:hAnsi="方正小标宋_GBK" w:eastAsia="方正小标宋_GBK" w:cs="方正小标宋_GBK"/>
          <w:b/>
          <w:bCs/>
          <w:color w:val="FF0000"/>
          <w:spacing w:val="-24"/>
          <w:w w:val="69"/>
          <w:sz w:val="130"/>
          <w:szCs w:val="130"/>
        </w:rPr>
        <w:t>重庆市</w:t>
      </w:r>
      <w:r>
        <w:rPr>
          <w:rFonts w:ascii="方正小标宋_GBK" w:hAnsi="方正小标宋_GBK" w:eastAsia="方正小标宋_GBK" w:cs="方正小标宋_GBK"/>
          <w:b/>
          <w:bCs/>
          <w:color w:val="FF0000"/>
          <w:spacing w:val="-23"/>
          <w:w w:val="69"/>
          <w:sz w:val="130"/>
          <w:szCs w:val="130"/>
        </w:rPr>
        <w:t>医疗保障局文</w:t>
      </w:r>
      <w:r>
        <w:rPr>
          <w:rFonts w:ascii="方正小标宋_GBK" w:hAnsi="方正小标宋_GBK" w:eastAsia="方正小标宋_GBK" w:cs="方正小标宋_GBK"/>
          <w:b/>
          <w:bCs/>
          <w:color w:val="FF0000"/>
          <w:w w:val="69"/>
          <w:sz w:val="130"/>
          <w:szCs w:val="130"/>
        </w:rPr>
        <w:t>件</w:t>
      </w:r>
    </w:p>
    <w:p w14:paraId="328B5F76">
      <w:pPr>
        <w:pStyle w:val="2"/>
        <w:spacing w:before="337" w:line="507" w:lineRule="exact"/>
        <w:ind w:left="2965"/>
      </w:pPr>
      <w:r>
        <w:rPr>
          <w:spacing w:val="4"/>
          <w:position w:val="4"/>
        </w:rPr>
        <w:t>渝医保发〔</w:t>
      </w:r>
      <w:r>
        <w:rPr>
          <w:rFonts w:ascii="Times New Roman" w:hAnsi="Times New Roman" w:eastAsia="Times New Roman" w:cs="Times New Roman"/>
          <w:spacing w:val="4"/>
          <w:position w:val="4"/>
        </w:rPr>
        <w:t>2025</w:t>
      </w:r>
      <w:r>
        <w:rPr>
          <w:spacing w:val="4"/>
          <w:position w:val="4"/>
        </w:rPr>
        <w:t>〕</w:t>
      </w:r>
      <w:r>
        <w:rPr>
          <w:rFonts w:ascii="Times New Roman" w:hAnsi="Times New Roman" w:eastAsia="Times New Roman" w:cs="Times New Roman"/>
          <w:spacing w:val="4"/>
          <w:position w:val="4"/>
        </w:rPr>
        <w:t>32</w:t>
      </w:r>
      <w:r>
        <w:rPr>
          <w:spacing w:val="4"/>
          <w:position w:val="4"/>
        </w:rPr>
        <w:t>号</w:t>
      </w:r>
    </w:p>
    <w:p w14:paraId="1358672E">
      <w:pPr>
        <w:spacing w:before="102" w:line="43" w:lineRule="exact"/>
      </w:pPr>
      <w:r>
        <w:pict>
          <v:shape id="_x0000_s1026" o:spid="_x0000_s1026" style="height:2.2pt;width:458.2pt;" filled="f" stroked="t" coordsize="9164,44" path="m0,21l9163,21e">
            <v:fill on="f" focussize="0,0"/>
            <v:stroke weight="2.16pt" color="#FF0000" miterlimit="2" joinstyle="bevel"/>
            <v:imagedata o:title=""/>
            <o:lock v:ext="edit"/>
            <w10:wrap type="none"/>
            <w10:anchorlock/>
          </v:shape>
        </w:pict>
      </w:r>
    </w:p>
    <w:p w14:paraId="0D8627B9">
      <w:pPr>
        <w:spacing w:line="252" w:lineRule="auto"/>
        <w:rPr>
          <w:rFonts w:ascii="Arial"/>
          <w:sz w:val="21"/>
        </w:rPr>
      </w:pPr>
    </w:p>
    <w:p w14:paraId="6E74DAB3">
      <w:pPr>
        <w:spacing w:line="253" w:lineRule="auto"/>
        <w:rPr>
          <w:rFonts w:ascii="Arial"/>
          <w:sz w:val="21"/>
        </w:rPr>
      </w:pPr>
    </w:p>
    <w:p w14:paraId="787D82C2">
      <w:pPr>
        <w:spacing w:before="161" w:line="209" w:lineRule="auto"/>
        <w:ind w:left="2829"/>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重庆市医疗保障局</w:t>
      </w:r>
    </w:p>
    <w:p w14:paraId="7EFA94C3">
      <w:pPr>
        <w:spacing w:line="209" w:lineRule="auto"/>
        <w:ind w:left="624"/>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关于印发《重庆市医疗保障基金监管信用</w:t>
      </w:r>
    </w:p>
    <w:p w14:paraId="4E81EC60">
      <w:pPr>
        <w:spacing w:line="662" w:lineRule="exact"/>
        <w:ind w:left="283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4"/>
          <w:position w:val="5"/>
          <w:sz w:val="43"/>
          <w:szCs w:val="43"/>
        </w:rPr>
        <w:t>管理办法》的通知</w:t>
      </w:r>
    </w:p>
    <w:p w14:paraId="722764B9">
      <w:pPr>
        <w:spacing w:line="464" w:lineRule="auto"/>
        <w:rPr>
          <w:rFonts w:ascii="Arial"/>
          <w:sz w:val="21"/>
        </w:rPr>
      </w:pPr>
    </w:p>
    <w:p w14:paraId="5D6EEF2E">
      <w:pPr>
        <w:pStyle w:val="2"/>
        <w:spacing w:before="114" w:line="265" w:lineRule="auto"/>
        <w:ind w:left="180" w:right="162" w:hanging="6"/>
      </w:pPr>
      <w:r>
        <w:rPr>
          <w:spacing w:val="2"/>
        </w:rPr>
        <w:t>各区县（自治县）医疗保障局，两江新区社会保障局、高新区政</w:t>
      </w:r>
      <w:r>
        <w:rPr>
          <w:spacing w:val="8"/>
        </w:rPr>
        <w:t>务服务和社会事务中心、万盛经开区人力社保局：</w:t>
      </w:r>
    </w:p>
    <w:p w14:paraId="7B8BECF1">
      <w:pPr>
        <w:pStyle w:val="2"/>
        <w:spacing w:line="280" w:lineRule="auto"/>
        <w:ind w:left="188" w:right="162" w:firstLine="589"/>
      </w:pPr>
      <w:r>
        <w:rPr>
          <w:spacing w:val="11"/>
        </w:rPr>
        <w:t>《重庆市医疗保障基金监管信用管理办法》已经局</w:t>
      </w:r>
      <w:r>
        <w:rPr>
          <w:rFonts w:ascii="Times New Roman" w:hAnsi="Times New Roman" w:eastAsia="Times New Roman" w:cs="Times New Roman"/>
          <w:spacing w:val="11"/>
        </w:rPr>
        <w:t>2025</w:t>
      </w:r>
      <w:r>
        <w:rPr>
          <w:spacing w:val="11"/>
        </w:rPr>
        <w:t>年</w:t>
      </w:r>
      <w:r>
        <w:rPr>
          <w:spacing w:val="6"/>
        </w:rPr>
        <w:t>第</w:t>
      </w:r>
      <w:r>
        <w:rPr>
          <w:rFonts w:ascii="Times New Roman" w:hAnsi="Times New Roman" w:eastAsia="Times New Roman" w:cs="Times New Roman"/>
          <w:spacing w:val="6"/>
        </w:rPr>
        <w:t>22</w:t>
      </w:r>
      <w:r>
        <w:rPr>
          <w:spacing w:val="6"/>
        </w:rPr>
        <w:t>次党组会审议通过，现印发你们，请遵照执行。</w:t>
      </w:r>
    </w:p>
    <w:p w14:paraId="5A5B859B">
      <w:pPr>
        <w:spacing w:line="352" w:lineRule="auto"/>
        <w:rPr>
          <w:rFonts w:ascii="Arial"/>
          <w:sz w:val="21"/>
        </w:rPr>
      </w:pPr>
    </w:p>
    <w:p w14:paraId="0E7B54E4">
      <w:pPr>
        <w:spacing w:line="353" w:lineRule="auto"/>
        <w:rPr>
          <w:rFonts w:ascii="Arial"/>
          <w:sz w:val="21"/>
        </w:rPr>
      </w:pPr>
    </w:p>
    <w:p w14:paraId="1EE00F13">
      <w:pPr>
        <w:pStyle w:val="2"/>
        <w:spacing w:before="114" w:line="237" w:lineRule="auto"/>
        <w:ind w:left="5193"/>
      </w:pPr>
      <w:r>
        <w:rPr>
          <w:spacing w:val="6"/>
        </w:rPr>
        <w:t>重庆市医疗保障局</w:t>
      </w:r>
    </w:p>
    <w:p w14:paraId="5B1F8C02">
      <w:pPr>
        <w:pStyle w:val="2"/>
        <w:spacing w:before="33" w:line="511" w:lineRule="exact"/>
        <w:ind w:left="5345"/>
      </w:pPr>
      <w:r>
        <w:rPr>
          <w:rFonts w:ascii="Times New Roman" w:hAnsi="Times New Roman" w:eastAsia="Times New Roman" w:cs="Times New Roman"/>
          <w:spacing w:val="-5"/>
          <w:position w:val="4"/>
        </w:rPr>
        <w:t>2025</w:t>
      </w:r>
      <w:r>
        <w:rPr>
          <w:spacing w:val="-5"/>
          <w:position w:val="4"/>
        </w:rPr>
        <w:t>年</w:t>
      </w:r>
      <w:r>
        <w:rPr>
          <w:rFonts w:ascii="Times New Roman" w:hAnsi="Times New Roman" w:eastAsia="Times New Roman" w:cs="Times New Roman"/>
          <w:spacing w:val="-5"/>
          <w:position w:val="4"/>
        </w:rPr>
        <w:t>8</w:t>
      </w:r>
      <w:r>
        <w:rPr>
          <w:spacing w:val="-5"/>
          <w:position w:val="4"/>
        </w:rPr>
        <w:t>月</w:t>
      </w:r>
      <w:r>
        <w:rPr>
          <w:rFonts w:ascii="Times New Roman" w:hAnsi="Times New Roman" w:eastAsia="Times New Roman" w:cs="Times New Roman"/>
          <w:spacing w:val="-5"/>
          <w:position w:val="4"/>
        </w:rPr>
        <w:t>6</w:t>
      </w:r>
      <w:r>
        <w:rPr>
          <w:spacing w:val="-5"/>
          <w:position w:val="4"/>
        </w:rPr>
        <w:t>日</w:t>
      </w:r>
    </w:p>
    <w:p w14:paraId="748D6EB7">
      <w:pPr>
        <w:pStyle w:val="2"/>
        <w:spacing w:before="48" w:line="237" w:lineRule="auto"/>
        <w:ind w:left="788"/>
      </w:pPr>
      <w:r>
        <w:rPr>
          <w:spacing w:val="11"/>
        </w:rPr>
        <w:t>（此件公开发布）</w:t>
      </w:r>
    </w:p>
    <w:p w14:paraId="5672B95F">
      <w:pPr>
        <w:spacing w:line="237" w:lineRule="auto"/>
        <w:sectPr>
          <w:footerReference r:id="rId5" w:type="default"/>
          <w:pgSz w:w="11906" w:h="16839"/>
          <w:pgMar w:top="1431" w:right="1313" w:bottom="1166" w:left="1429" w:header="0" w:footer="798" w:gutter="0"/>
          <w:cols w:space="720" w:num="1"/>
        </w:sectPr>
      </w:pPr>
    </w:p>
    <w:p w14:paraId="09E224C2">
      <w:pPr>
        <w:spacing w:line="287" w:lineRule="auto"/>
        <w:rPr>
          <w:rFonts w:ascii="Arial"/>
          <w:sz w:val="21"/>
        </w:rPr>
      </w:pPr>
    </w:p>
    <w:p w14:paraId="3B4F39C5">
      <w:pPr>
        <w:spacing w:line="288" w:lineRule="auto"/>
        <w:rPr>
          <w:rFonts w:ascii="Arial"/>
          <w:sz w:val="21"/>
        </w:rPr>
      </w:pPr>
    </w:p>
    <w:p w14:paraId="65D1E23E">
      <w:pPr>
        <w:spacing w:before="160" w:line="651" w:lineRule="exact"/>
        <w:ind w:left="700"/>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重庆市医疗保障基金监管信用管理办法</w:t>
      </w:r>
    </w:p>
    <w:p w14:paraId="0579CAB0">
      <w:pPr>
        <w:spacing w:line="269" w:lineRule="auto"/>
        <w:rPr>
          <w:rFonts w:ascii="Arial"/>
          <w:sz w:val="21"/>
        </w:rPr>
      </w:pPr>
    </w:p>
    <w:p w14:paraId="095E8577">
      <w:pPr>
        <w:spacing w:line="270" w:lineRule="auto"/>
        <w:rPr>
          <w:rFonts w:ascii="Arial"/>
          <w:sz w:val="21"/>
        </w:rPr>
      </w:pPr>
    </w:p>
    <w:p w14:paraId="200B2EB9">
      <w:pPr>
        <w:spacing w:before="116" w:line="468" w:lineRule="exact"/>
        <w:ind w:left="3339"/>
        <w:rPr>
          <w:rFonts w:ascii="方正黑体_GBK" w:hAnsi="方正黑体_GBK" w:eastAsia="方正黑体_GBK" w:cs="方正黑体_GBK"/>
          <w:sz w:val="31"/>
          <w:szCs w:val="31"/>
        </w:rPr>
      </w:pPr>
      <w:r>
        <w:rPr>
          <w:rFonts w:ascii="方正黑体_GBK" w:hAnsi="方正黑体_GBK" w:eastAsia="方正黑体_GBK" w:cs="方正黑体_GBK"/>
          <w:spacing w:val="-1"/>
          <w:position w:val="3"/>
          <w:sz w:val="31"/>
          <w:szCs w:val="31"/>
        </w:rPr>
        <w:t>第一章总则</w:t>
      </w:r>
    </w:p>
    <w:p w14:paraId="04F06624">
      <w:pPr>
        <w:spacing w:line="310" w:lineRule="auto"/>
        <w:rPr>
          <w:rFonts w:ascii="Arial"/>
          <w:sz w:val="21"/>
        </w:rPr>
      </w:pPr>
    </w:p>
    <w:p w14:paraId="5ECAF2E0">
      <w:pPr>
        <w:spacing w:line="310" w:lineRule="auto"/>
        <w:rPr>
          <w:rFonts w:ascii="Arial"/>
          <w:sz w:val="21"/>
        </w:rPr>
      </w:pPr>
    </w:p>
    <w:p w14:paraId="1CA0044B">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第一条为推进医疗保障领域信用体系建设，构建以信用为</w:t>
      </w:r>
      <w:r>
        <w:rPr>
          <w:rFonts w:ascii="宋体" w:hAnsi="宋体"/>
          <w:spacing w:val="6"/>
        </w:rPr>
        <w:t>基础的新型监管体制，保障群众利益和医疗保障基金安全，根据</w:t>
      </w:r>
      <w:r>
        <w:rPr>
          <w:rFonts w:ascii="宋体" w:hAnsi="宋体"/>
          <w:spacing w:val="3"/>
        </w:rPr>
        <w:t>《医疗保障基金使用监督管理条例》（国令第</w:t>
      </w:r>
      <w:r>
        <w:rPr>
          <w:rFonts w:ascii="宋体" w:hAnsi="宋体" w:eastAsia="Times New Roman" w:cs="Times New Roman"/>
          <w:spacing w:val="3"/>
        </w:rPr>
        <w:t>735</w:t>
      </w:r>
      <w:r>
        <w:rPr>
          <w:rFonts w:ascii="宋体" w:hAnsi="宋体"/>
          <w:spacing w:val="3"/>
        </w:rPr>
        <w:t>号）、《</w:t>
      </w:r>
      <w:r>
        <w:rPr>
          <w:rFonts w:ascii="宋体" w:hAnsi="宋体"/>
          <w:spacing w:val="2"/>
        </w:rPr>
        <w:t>中共</w:t>
      </w:r>
      <w:r>
        <w:rPr>
          <w:rFonts w:ascii="宋体" w:hAnsi="宋体"/>
          <w:spacing w:val="7"/>
        </w:rPr>
        <w:t>中央国务院关于深化医疗保障制度改革的意见》（中发〔</w:t>
      </w:r>
      <w:r>
        <w:rPr>
          <w:rFonts w:ascii="宋体" w:hAnsi="宋体" w:eastAsia="Times New Roman" w:cs="Times New Roman"/>
          <w:spacing w:val="7"/>
        </w:rPr>
        <w:t>2020</w:t>
      </w:r>
      <w:r>
        <w:rPr>
          <w:rFonts w:ascii="宋体" w:hAnsi="宋体"/>
          <w:spacing w:val="7"/>
        </w:rPr>
        <w:t>〕</w:t>
      </w:r>
      <w:r>
        <w:rPr>
          <w:rFonts w:ascii="宋体" w:hAnsi="宋体" w:eastAsia="Times New Roman" w:cs="Times New Roman"/>
          <w:spacing w:val="8"/>
        </w:rPr>
        <w:t>5</w:t>
      </w:r>
      <w:r>
        <w:rPr>
          <w:rFonts w:ascii="宋体" w:hAnsi="宋体"/>
          <w:spacing w:val="8"/>
        </w:rPr>
        <w:t>号）、《国务院办公厅关于推进医疗保障基金监管制度体系改</w:t>
      </w:r>
      <w:r>
        <w:rPr>
          <w:rFonts w:ascii="宋体" w:hAnsi="宋体"/>
          <w:spacing w:val="10"/>
        </w:rPr>
        <w:t>革的指导意见》（国办发〔</w:t>
      </w:r>
      <w:r>
        <w:rPr>
          <w:rFonts w:ascii="宋体" w:hAnsi="宋体" w:eastAsia="Times New Roman" w:cs="Times New Roman"/>
          <w:spacing w:val="10"/>
        </w:rPr>
        <w:t>2020</w:t>
      </w:r>
      <w:r>
        <w:rPr>
          <w:rFonts w:ascii="宋体" w:hAnsi="宋体"/>
          <w:spacing w:val="10"/>
        </w:rPr>
        <w:t>〕</w:t>
      </w:r>
      <w:r>
        <w:rPr>
          <w:rFonts w:ascii="宋体" w:hAnsi="宋体" w:eastAsia="Times New Roman" w:cs="Times New Roman"/>
          <w:spacing w:val="10"/>
        </w:rPr>
        <w:t>20</w:t>
      </w:r>
      <w:r>
        <w:rPr>
          <w:rFonts w:ascii="宋体" w:hAnsi="宋体"/>
          <w:spacing w:val="10"/>
        </w:rPr>
        <w:t>号）</w:t>
      </w:r>
      <w:r>
        <w:rPr>
          <w:rFonts w:ascii="宋体" w:hAnsi="宋体"/>
          <w:spacing w:val="9"/>
        </w:rPr>
        <w:t>、《重庆市人民政府</w:t>
      </w:r>
      <w:r>
        <w:rPr>
          <w:rFonts w:ascii="宋体" w:hAnsi="宋体"/>
          <w:spacing w:val="18"/>
        </w:rPr>
        <w:t>办公厅关于加快推进社会信用体系建设构建以信用为基础的新</w:t>
      </w:r>
      <w:r>
        <w:rPr>
          <w:rFonts w:ascii="宋体" w:hAnsi="宋体"/>
          <w:spacing w:val="7"/>
        </w:rPr>
        <w:t>型监管机制的实施意见》（渝府办发〔</w:t>
      </w:r>
      <w:r>
        <w:rPr>
          <w:rFonts w:ascii="宋体" w:hAnsi="宋体" w:eastAsia="Times New Roman" w:cs="Times New Roman"/>
          <w:spacing w:val="7"/>
        </w:rPr>
        <w:t>2019</w:t>
      </w:r>
      <w:r>
        <w:rPr>
          <w:rFonts w:ascii="宋体" w:hAnsi="宋体"/>
          <w:spacing w:val="7"/>
        </w:rPr>
        <w:t>〕</w:t>
      </w:r>
      <w:r>
        <w:rPr>
          <w:rFonts w:ascii="宋体" w:hAnsi="宋体" w:eastAsia="Times New Roman" w:cs="Times New Roman"/>
          <w:spacing w:val="7"/>
        </w:rPr>
        <w:t>118</w:t>
      </w:r>
      <w:r>
        <w:rPr>
          <w:rFonts w:ascii="宋体" w:hAnsi="宋体"/>
          <w:spacing w:val="7"/>
        </w:rPr>
        <w:t>号）、《重庆</w:t>
      </w:r>
      <w:r>
        <w:rPr>
          <w:rFonts w:ascii="宋体" w:hAnsi="宋体"/>
          <w:spacing w:val="18"/>
        </w:rPr>
        <w:t>市人民政府办公厅关于推进医疗保障基金监管制度体系改革的</w:t>
      </w:r>
      <w:r>
        <w:rPr>
          <w:rFonts w:ascii="宋体" w:hAnsi="宋体"/>
          <w:spacing w:val="12"/>
        </w:rPr>
        <w:t>实施意见》（渝府办发〔</w:t>
      </w:r>
      <w:r>
        <w:rPr>
          <w:rFonts w:ascii="宋体" w:hAnsi="宋体" w:eastAsia="Times New Roman" w:cs="Times New Roman"/>
          <w:spacing w:val="12"/>
        </w:rPr>
        <w:t>2021</w:t>
      </w:r>
      <w:r>
        <w:rPr>
          <w:rFonts w:ascii="宋体" w:hAnsi="宋体"/>
          <w:spacing w:val="12"/>
        </w:rPr>
        <w:t>〕</w:t>
      </w:r>
      <w:r>
        <w:rPr>
          <w:rFonts w:ascii="宋体" w:hAnsi="宋体" w:eastAsia="Times New Roman" w:cs="Times New Roman"/>
          <w:spacing w:val="12"/>
        </w:rPr>
        <w:t>31</w:t>
      </w:r>
      <w:r>
        <w:rPr>
          <w:rFonts w:ascii="宋体" w:hAnsi="宋体"/>
          <w:spacing w:val="12"/>
        </w:rPr>
        <w:t>号）等有关法律法规和相关</w:t>
      </w:r>
      <w:r>
        <w:rPr>
          <w:rFonts w:ascii="宋体" w:hAnsi="宋体"/>
          <w:spacing w:val="10"/>
        </w:rPr>
        <w:t>政策文件，结合本市实际，制定本办法。</w:t>
      </w:r>
    </w:p>
    <w:p w14:paraId="73A76AC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0" w:firstLineChars="200"/>
        <w:jc w:val="both"/>
        <w:textAlignment w:val="baseline"/>
        <w:rPr>
          <w:rFonts w:ascii="宋体" w:hAnsi="宋体"/>
        </w:rPr>
      </w:pPr>
      <w:r>
        <w:rPr>
          <w:rFonts w:ascii="宋体" w:hAnsi="宋体"/>
        </w:rPr>
        <w:t>第二条本办法适用于重庆市医疗保障基金使用信用主体（以</w:t>
      </w:r>
      <w:r>
        <w:rPr>
          <w:rFonts w:ascii="宋体" w:hAnsi="宋体"/>
          <w:spacing w:val="-2"/>
        </w:rPr>
        <w:t>下简称信用主体）的信息采集、信用承诺、信用评价、信用奖惩、</w:t>
      </w:r>
      <w:r>
        <w:rPr>
          <w:rFonts w:ascii="宋体" w:hAnsi="宋体"/>
          <w:spacing w:val="7"/>
        </w:rPr>
        <w:t>异议处理和信用修复等管理活动。</w:t>
      </w:r>
    </w:p>
    <w:p w14:paraId="2B97F80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8" w:firstLineChars="200"/>
        <w:jc w:val="both"/>
        <w:textAlignment w:val="baseline"/>
        <w:rPr>
          <w:rFonts w:ascii="宋体" w:hAnsi="宋体"/>
        </w:rPr>
      </w:pPr>
      <w:r>
        <w:rPr>
          <w:rFonts w:ascii="宋体" w:hAnsi="宋体"/>
          <w:spacing w:val="2"/>
        </w:rPr>
        <w:t>第三条本办法所称医疗保障基金监管信用管理，是指医疗保</w:t>
      </w:r>
      <w:r>
        <w:rPr>
          <w:rFonts w:ascii="宋体" w:hAnsi="宋体"/>
          <w:spacing w:val="4"/>
        </w:rPr>
        <w:t>障行政部门依法依规，按照相关指标、方法和程序，运用医疗保障基金监管领域信用信息、公共信用信息等，对信用主体进行动</w:t>
      </w:r>
      <w:r>
        <w:rPr>
          <w:rFonts w:ascii="宋体" w:hAnsi="宋体"/>
          <w:spacing w:val="2"/>
        </w:rPr>
        <w:t>态评价，并依据评价结果确定医疗保障基金监管信用等级（以下</w:t>
      </w:r>
      <w:r>
        <w:rPr>
          <w:rFonts w:ascii="宋体" w:hAnsi="宋体"/>
          <w:spacing w:val="7"/>
        </w:rPr>
        <w:t>简称“信用等级”</w:t>
      </w:r>
      <w:r>
        <w:rPr>
          <w:rFonts w:ascii="宋体" w:hAnsi="宋体"/>
          <w:spacing w:val="-20"/>
        </w:rPr>
        <w:t>），</w:t>
      </w:r>
      <w:r>
        <w:rPr>
          <w:rFonts w:ascii="宋体" w:hAnsi="宋体"/>
          <w:spacing w:val="7"/>
        </w:rPr>
        <w:t>对信用主体实施信用分级分类监管的全过</w:t>
      </w:r>
      <w:r>
        <w:rPr>
          <w:rFonts w:ascii="宋体" w:hAnsi="宋体"/>
          <w:spacing w:val="-7"/>
        </w:rPr>
        <w:t>程。</w:t>
      </w:r>
    </w:p>
    <w:p w14:paraId="53A8A55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8" w:firstLineChars="200"/>
        <w:jc w:val="both"/>
        <w:textAlignment w:val="baseline"/>
        <w:rPr>
          <w:rFonts w:ascii="宋体" w:hAnsi="宋体"/>
        </w:rPr>
      </w:pPr>
      <w:r>
        <w:rPr>
          <w:rFonts w:ascii="宋体" w:hAnsi="宋体"/>
          <w:spacing w:val="2"/>
        </w:rPr>
        <w:t>第四条本办法所称信用主体，是指具有完全民事行为能力的</w:t>
      </w:r>
      <w:r>
        <w:rPr>
          <w:rFonts w:ascii="宋体" w:hAnsi="宋体"/>
          <w:spacing w:val="5"/>
        </w:rPr>
        <w:t>自然人、法人和非法人组织，在医疗保障基金使用中履</w:t>
      </w:r>
      <w:r>
        <w:rPr>
          <w:rFonts w:ascii="宋体" w:hAnsi="宋体"/>
          <w:spacing w:val="4"/>
        </w:rPr>
        <w:t>行法定职</w:t>
      </w:r>
      <w:r>
        <w:rPr>
          <w:rFonts w:ascii="宋体" w:hAnsi="宋体"/>
          <w:spacing w:val="7"/>
        </w:rPr>
        <w:t>责、法定义务或者约定义务的状态，主要分为机构类和个人类。</w:t>
      </w:r>
    </w:p>
    <w:p w14:paraId="5C16C60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2" w:firstLineChars="200"/>
        <w:jc w:val="both"/>
        <w:textAlignment w:val="baseline"/>
        <w:rPr>
          <w:rFonts w:ascii="宋体" w:hAnsi="宋体"/>
        </w:rPr>
      </w:pPr>
      <w:r>
        <w:rPr>
          <w:rFonts w:ascii="宋体" w:hAnsi="宋体"/>
          <w:spacing w:val="3"/>
        </w:rPr>
        <w:t>机构类主要包括医疗保障定点医疗机构、医疗保障定点零售</w:t>
      </w:r>
      <w:r>
        <w:rPr>
          <w:rFonts w:ascii="宋体" w:hAnsi="宋体"/>
          <w:spacing w:val="7"/>
        </w:rPr>
        <w:t>药店等；个人类主要包括参保人员和提供医疗保障服务的医师、</w:t>
      </w:r>
      <w:r>
        <w:rPr>
          <w:rFonts w:ascii="宋体" w:hAnsi="宋体"/>
          <w:spacing w:val="5"/>
        </w:rPr>
        <w:t>护士（师）、药师、医技人员等其他涉及医保基金使</w:t>
      </w:r>
      <w:r>
        <w:rPr>
          <w:rFonts w:ascii="宋体" w:hAnsi="宋体"/>
          <w:spacing w:val="4"/>
        </w:rPr>
        <w:t>用的相关人</w:t>
      </w:r>
      <w:r>
        <w:rPr>
          <w:rFonts w:ascii="宋体" w:hAnsi="宋体"/>
          <w:spacing w:val="-10"/>
        </w:rPr>
        <w:t>员。</w:t>
      </w:r>
    </w:p>
    <w:p w14:paraId="0D7284B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0" w:firstLineChars="200"/>
        <w:jc w:val="both"/>
        <w:textAlignment w:val="baseline"/>
        <w:rPr>
          <w:rFonts w:ascii="宋体" w:hAnsi="宋体"/>
        </w:rPr>
      </w:pPr>
      <w:r>
        <w:rPr>
          <w:rFonts w:ascii="宋体" w:hAnsi="宋体"/>
        </w:rPr>
        <w:t>第五条医保基金监管信用管理应当遵循依法合规、</w:t>
      </w:r>
      <w:r>
        <w:rPr>
          <w:rFonts w:ascii="宋体" w:hAnsi="宋体"/>
          <w:spacing w:val="-1"/>
        </w:rPr>
        <w:t>公平公正、</w:t>
      </w:r>
      <w:r>
        <w:rPr>
          <w:rFonts w:ascii="宋体" w:hAnsi="宋体"/>
          <w:spacing w:val="3"/>
        </w:rPr>
        <w:t>客观必要的原则，坚持政府主导、社会共治、自我约束，</w:t>
      </w:r>
      <w:r>
        <w:rPr>
          <w:rFonts w:ascii="宋体" w:hAnsi="宋体"/>
          <w:spacing w:val="2"/>
        </w:rPr>
        <w:t>坚持激</w:t>
      </w:r>
      <w:r>
        <w:rPr>
          <w:rFonts w:ascii="宋体" w:hAnsi="宋体"/>
          <w:spacing w:val="5"/>
        </w:rPr>
        <w:t>励与惩戒相结合，确保信息安全，不得侵犯国家秘密、商业秘密</w:t>
      </w:r>
      <w:r>
        <w:rPr>
          <w:rFonts w:ascii="宋体" w:hAnsi="宋体"/>
          <w:spacing w:val="8"/>
        </w:rPr>
        <w:t>和个人隐私，维护信息主体合法权益。</w:t>
      </w:r>
    </w:p>
    <w:p w14:paraId="0DBC5D9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72" w:firstLineChars="200"/>
        <w:jc w:val="both"/>
        <w:textAlignment w:val="baseline"/>
        <w:rPr>
          <w:rFonts w:ascii="宋体" w:hAnsi="宋体"/>
        </w:rPr>
      </w:pPr>
      <w:r>
        <w:rPr>
          <w:rFonts w:ascii="宋体" w:hAnsi="宋体"/>
          <w:spacing w:val="13"/>
        </w:rPr>
        <w:t>第六条市医疗保障行政部门负责统筹全市医保基金监管信</w:t>
      </w:r>
      <w:r>
        <w:rPr>
          <w:rFonts w:ascii="宋体" w:hAnsi="宋体"/>
          <w:spacing w:val="5"/>
        </w:rPr>
        <w:t>用管理工作，建立健全医保基金监管信用管理制度，指导、监督</w:t>
      </w:r>
      <w:r>
        <w:rPr>
          <w:rFonts w:ascii="宋体" w:hAnsi="宋体"/>
          <w:spacing w:val="8"/>
        </w:rPr>
        <w:t>各区县医疗保障部门开展医保基金监管信用管理工作。</w:t>
      </w:r>
    </w:p>
    <w:p w14:paraId="66F1E12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84" w:firstLineChars="200"/>
        <w:jc w:val="both"/>
        <w:textAlignment w:val="baseline"/>
        <w:rPr>
          <w:rFonts w:ascii="宋体" w:hAnsi="宋体"/>
          <w:spacing w:val="8"/>
        </w:rPr>
      </w:pPr>
      <w:r>
        <w:rPr>
          <w:rFonts w:ascii="宋体" w:hAnsi="宋体"/>
          <w:spacing w:val="16"/>
        </w:rPr>
        <w:t>各级医疗保障行政部门负责组织实施本行政区域内的</w:t>
      </w:r>
      <w:r>
        <w:rPr>
          <w:rFonts w:ascii="宋体" w:hAnsi="宋体"/>
          <w:spacing w:val="15"/>
        </w:rPr>
        <w:t>医保</w:t>
      </w:r>
      <w:r>
        <w:rPr>
          <w:rFonts w:ascii="宋体" w:hAnsi="宋体"/>
          <w:spacing w:val="5"/>
        </w:rPr>
        <w:t>信用管理工作，可以授权医疗保障经办机构承担医疗保障信用管理的具体工作，也可委托经国务院征信业监督管理部门许可或备</w:t>
      </w:r>
      <w:r>
        <w:rPr>
          <w:rFonts w:ascii="宋体" w:hAnsi="宋体"/>
          <w:spacing w:val="9"/>
        </w:rPr>
        <w:t>案的第三方信用服务机构开展信用主体的信用评价</w:t>
      </w:r>
      <w:r>
        <w:rPr>
          <w:rFonts w:ascii="宋体" w:hAnsi="宋体"/>
          <w:spacing w:val="8"/>
        </w:rPr>
        <w:t>工作。</w:t>
      </w:r>
    </w:p>
    <w:p w14:paraId="148DFB5B">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8" w:firstLineChars="200"/>
        <w:jc w:val="both"/>
        <w:textAlignment w:val="baseline"/>
        <w:rPr>
          <w:rFonts w:ascii="宋体" w:hAnsi="宋体"/>
        </w:rPr>
      </w:pPr>
      <w:r>
        <w:rPr>
          <w:rFonts w:ascii="宋体" w:hAnsi="宋体"/>
          <w:spacing w:val="7"/>
        </w:rPr>
        <w:t>第七条医疗保障部门及其相关工作人员，应当依法履职，</w:t>
      </w:r>
      <w:r>
        <w:rPr>
          <w:rFonts w:ascii="宋体" w:hAnsi="宋体"/>
          <w:spacing w:val="5"/>
        </w:rPr>
        <w:t>确保信息安全，规范受理、检查、处理、反馈等工作流程，对徇私舞弊、玩忽职守、篡改信息或以其他违法方式损害定点医药机</w:t>
      </w:r>
      <w:r>
        <w:rPr>
          <w:rFonts w:ascii="宋体" w:hAnsi="宋体"/>
          <w:spacing w:val="7"/>
        </w:rPr>
        <w:t>构合法权益的相关责任人，按照有关规定给予党纪、政纪处分，构成犯罪的，依法追究刑事责任。</w:t>
      </w:r>
    </w:p>
    <w:p w14:paraId="0E902D41">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407EBD00">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eastAsia="方正黑体_GBK" w:cs="方正黑体_GBK"/>
          <w:sz w:val="31"/>
          <w:szCs w:val="31"/>
        </w:rPr>
      </w:pPr>
      <w:r>
        <w:rPr>
          <w:rFonts w:ascii="宋体" w:hAnsi="宋体" w:eastAsia="方正黑体_GBK" w:cs="方正黑体_GBK"/>
          <w:spacing w:val="6"/>
          <w:position w:val="3"/>
          <w:sz w:val="31"/>
          <w:szCs w:val="31"/>
        </w:rPr>
        <w:t>第二章信用信息归集</w:t>
      </w:r>
    </w:p>
    <w:p w14:paraId="479D5F63">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0A83E0F2">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74D2D96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rPr>
      </w:pPr>
      <w:r>
        <w:rPr>
          <w:rFonts w:ascii="宋体" w:hAnsi="宋体"/>
          <w:spacing w:val="5"/>
        </w:rPr>
        <w:t>第八条医保信用信息包括信用主体的基本信息、守信信息、失信信息、信用评价结果、历史信用信息等。机构类信用主体的基本信息包括单位性质、名称、法定代表人、统一社会信用代码及其他有关信息。个人类信用主体的基本信息包括姓名、身份证</w:t>
      </w:r>
      <w:r>
        <w:rPr>
          <w:rFonts w:ascii="宋体" w:hAnsi="宋体"/>
          <w:spacing w:val="8"/>
        </w:rPr>
        <w:t>号码、执业注册、职业资格信息及其他有关信息。</w:t>
      </w:r>
    </w:p>
    <w:p w14:paraId="2C9B33E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8" w:firstLineChars="200"/>
        <w:jc w:val="both"/>
        <w:textAlignment w:val="baseline"/>
        <w:rPr>
          <w:rFonts w:ascii="宋体" w:hAnsi="宋体"/>
        </w:rPr>
      </w:pPr>
      <w:r>
        <w:rPr>
          <w:rFonts w:ascii="宋体" w:hAnsi="宋体"/>
          <w:spacing w:val="7"/>
        </w:rPr>
        <w:t>第九条守信信息：县级以上人民政府及其部门、法律法规</w:t>
      </w:r>
      <w:r>
        <w:rPr>
          <w:rFonts w:ascii="宋体" w:hAnsi="宋体"/>
          <w:spacing w:val="17"/>
        </w:rPr>
        <w:t>授权具有管理公共事务职能的组织按规定程序认定的与诚信相</w:t>
      </w:r>
      <w:r>
        <w:rPr>
          <w:rFonts w:ascii="宋体" w:hAnsi="宋体"/>
          <w:spacing w:val="5"/>
        </w:rPr>
        <w:t>关的表彰、奖励等信息；举报他人涉嫌欺诈骗保行为，经医疗保障部门查实的；主动守信承诺信息；法律法规、规章等规定应当</w:t>
      </w:r>
      <w:r>
        <w:rPr>
          <w:rFonts w:ascii="宋体" w:hAnsi="宋体"/>
          <w:spacing w:val="8"/>
        </w:rPr>
        <w:t>记入信用档案的其他守信信息。</w:t>
      </w:r>
    </w:p>
    <w:p w14:paraId="00A6EBF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8" w:firstLineChars="200"/>
        <w:jc w:val="both"/>
        <w:textAlignment w:val="baseline"/>
        <w:rPr>
          <w:rFonts w:ascii="宋体" w:hAnsi="宋体"/>
          <w:spacing w:val="7"/>
        </w:rPr>
      </w:pPr>
      <w:r>
        <w:rPr>
          <w:rFonts w:ascii="宋体" w:hAnsi="宋体"/>
          <w:spacing w:val="7"/>
        </w:rPr>
        <w:t>第十条失信信息：信用主体违反医疗保障法律法规、规章或服务协议等，受到县级及以上医疗保障部门及其授权委托的机构处理；涉及医疗保障领域的纪检、公安、司法、市场监管等相关部门处理的失信信息；经相关部门认定的其他相关失信信息。</w:t>
      </w:r>
    </w:p>
    <w:p w14:paraId="4FFF49C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8" w:firstLineChars="200"/>
        <w:jc w:val="both"/>
        <w:textAlignment w:val="baseline"/>
        <w:rPr>
          <w:rFonts w:ascii="宋体" w:hAnsi="宋体"/>
        </w:rPr>
      </w:pPr>
      <w:r>
        <w:rPr>
          <w:rFonts w:ascii="宋体" w:hAnsi="宋体"/>
          <w:spacing w:val="7"/>
        </w:rPr>
        <w:t>第十一条信用信息来源主要包括以下四个方</w:t>
      </w:r>
      <w:r>
        <w:rPr>
          <w:rFonts w:ascii="宋体" w:hAnsi="宋体"/>
          <w:spacing w:val="6"/>
        </w:rPr>
        <w:t>面：</w:t>
      </w:r>
    </w:p>
    <w:p w14:paraId="6BDABA8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（一）信用主体主动提供；</w:t>
      </w:r>
    </w:p>
    <w:p w14:paraId="2EFA8C2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2" w:firstLineChars="200"/>
        <w:jc w:val="both"/>
        <w:textAlignment w:val="baseline"/>
        <w:rPr>
          <w:rFonts w:ascii="宋体" w:hAnsi="宋体"/>
        </w:rPr>
      </w:pPr>
      <w:r>
        <w:rPr>
          <w:rFonts w:ascii="宋体" w:hAnsi="宋体"/>
          <w:spacing w:val="8"/>
        </w:rPr>
        <w:t>（二）国家和市级统一信用信息平台、相关部门官方网站公</w:t>
      </w:r>
      <w:r>
        <w:rPr>
          <w:rFonts w:ascii="宋体" w:hAnsi="宋体"/>
          <w:spacing w:val="6"/>
        </w:rPr>
        <w:t>布或移送的信息；</w:t>
      </w:r>
    </w:p>
    <w:p w14:paraId="493222A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rPr>
      </w:pPr>
      <w:r>
        <w:rPr>
          <w:rFonts w:ascii="宋体" w:hAnsi="宋体"/>
          <w:spacing w:val="5"/>
        </w:rPr>
        <w:t>（三）医疗保障部门从日常监督检查、各类执法</w:t>
      </w:r>
      <w:r>
        <w:rPr>
          <w:rFonts w:ascii="宋体" w:hAnsi="宋体"/>
          <w:spacing w:val="4"/>
        </w:rPr>
        <w:t>检查和督查</w:t>
      </w:r>
      <w:r>
        <w:rPr>
          <w:rFonts w:ascii="宋体" w:hAnsi="宋体"/>
          <w:spacing w:val="8"/>
        </w:rPr>
        <w:t>活动、群众举报、书面及网上投诉等调查中获取；</w:t>
      </w:r>
    </w:p>
    <w:p w14:paraId="1935CEA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6" w:firstLineChars="200"/>
        <w:jc w:val="both"/>
        <w:textAlignment w:val="baseline"/>
        <w:rPr>
          <w:rFonts w:ascii="宋体" w:hAnsi="宋体"/>
        </w:rPr>
      </w:pPr>
      <w:r>
        <w:rPr>
          <w:rFonts w:ascii="宋体" w:hAnsi="宋体"/>
          <w:spacing w:val="4"/>
        </w:rPr>
        <w:t>（四）其他符合规定的采集途径。</w:t>
      </w:r>
    </w:p>
    <w:p w14:paraId="308D75CC">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8" w:firstLineChars="200"/>
        <w:jc w:val="both"/>
        <w:textAlignment w:val="baseline"/>
        <w:rPr>
          <w:rFonts w:ascii="宋体" w:hAnsi="宋体"/>
        </w:rPr>
      </w:pPr>
      <w:r>
        <w:rPr>
          <w:rFonts w:ascii="宋体" w:hAnsi="宋体"/>
          <w:spacing w:val="2"/>
        </w:rPr>
        <w:t>第十二条各级医疗保障部门应当建立相关主体信用档案，及</w:t>
      </w:r>
      <w:r>
        <w:rPr>
          <w:rFonts w:ascii="宋体" w:hAnsi="宋体"/>
          <w:spacing w:val="5"/>
        </w:rPr>
        <w:t>时、准确、全面记录和归集医疗保障信用信息，维护信用主体信</w:t>
      </w:r>
      <w:r>
        <w:rPr>
          <w:rFonts w:ascii="宋体" w:hAnsi="宋体"/>
          <w:spacing w:val="2"/>
        </w:rPr>
        <w:t>用记录。</w:t>
      </w:r>
    </w:p>
    <w:p w14:paraId="5DEFA4B5">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245D06F6">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eastAsia="方正黑体_GBK" w:cs="方正黑体_GBK"/>
          <w:sz w:val="31"/>
          <w:szCs w:val="31"/>
        </w:rPr>
      </w:pPr>
      <w:r>
        <w:rPr>
          <w:rFonts w:ascii="宋体" w:hAnsi="宋体" w:eastAsia="方正黑体_GBK" w:cs="方正黑体_GBK"/>
          <w:spacing w:val="6"/>
          <w:position w:val="3"/>
          <w:sz w:val="31"/>
          <w:szCs w:val="31"/>
        </w:rPr>
        <w:t>第三章信用承诺</w:t>
      </w:r>
    </w:p>
    <w:p w14:paraId="6297BB30">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6DCEBD3D">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19E4170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2" w:firstLineChars="200"/>
        <w:jc w:val="both"/>
        <w:textAlignment w:val="baseline"/>
        <w:rPr>
          <w:rFonts w:ascii="宋体" w:hAnsi="宋体"/>
          <w:spacing w:val="7"/>
        </w:rPr>
      </w:pPr>
      <w:r>
        <w:rPr>
          <w:rFonts w:ascii="宋体" w:hAnsi="宋体"/>
          <w:spacing w:val="8"/>
        </w:rPr>
        <w:t>第十三条信用承诺是指涉及医疗保障基金使用的相关机构、</w:t>
      </w:r>
      <w:r>
        <w:rPr>
          <w:rFonts w:ascii="宋体" w:hAnsi="宋体"/>
          <w:spacing w:val="17"/>
        </w:rPr>
        <w:t>人员以规范形式向社会作出的安全合理使用医保基金的书面承</w:t>
      </w:r>
      <w:r>
        <w:rPr>
          <w:rFonts w:ascii="宋体" w:hAnsi="宋体"/>
          <w:spacing w:val="5"/>
        </w:rPr>
        <w:t>诺，包括严守诚信原则，严格遵守法律法规和服务协议使用医疗保障基金，不参与欺诈骗保，不实施过度诊疗，接受医疗保障部门依法依规开展的行政检查、协议管理、信用评价等，主动接受</w:t>
      </w:r>
      <w:r>
        <w:rPr>
          <w:rFonts w:ascii="宋体" w:hAnsi="宋体"/>
          <w:spacing w:val="7"/>
        </w:rPr>
        <w:t>社会监督等相关内容。</w:t>
      </w:r>
    </w:p>
    <w:p w14:paraId="6D152CA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8" w:firstLineChars="200"/>
        <w:jc w:val="both"/>
        <w:textAlignment w:val="baseline"/>
        <w:rPr>
          <w:rFonts w:ascii="宋体" w:hAnsi="宋体"/>
        </w:rPr>
      </w:pPr>
      <w:r>
        <w:rPr>
          <w:rFonts w:ascii="宋体" w:hAnsi="宋体"/>
          <w:spacing w:val="2"/>
        </w:rPr>
        <w:t>第十四条机构类信用主体在签订医疗保障服务协议时，应按</w:t>
      </w:r>
      <w:r>
        <w:rPr>
          <w:rFonts w:ascii="宋体" w:hAnsi="宋体"/>
          <w:spacing w:val="4"/>
        </w:rPr>
        <w:t>照规定格式作出书面信用承诺，并组织本机构涉及医保基金使用</w:t>
      </w:r>
      <w:r>
        <w:rPr>
          <w:rFonts w:ascii="宋体" w:hAnsi="宋体"/>
          <w:spacing w:val="8"/>
        </w:rPr>
        <w:t>的相关人员签署承诺书，确保相关人员知晓并遵守信用承诺。</w:t>
      </w:r>
    </w:p>
    <w:p w14:paraId="23FF247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0" w:firstLineChars="200"/>
        <w:jc w:val="both"/>
        <w:textAlignment w:val="baseline"/>
        <w:rPr>
          <w:rFonts w:ascii="宋体" w:hAnsi="宋体"/>
        </w:rPr>
      </w:pPr>
      <w:r>
        <w:rPr>
          <w:rFonts w:ascii="宋体" w:hAnsi="宋体"/>
          <w:spacing w:val="10"/>
        </w:rPr>
        <w:t>第十五条信用主体对信用承诺内容的真实性负责，信用承</w:t>
      </w:r>
      <w:r>
        <w:rPr>
          <w:rFonts w:ascii="宋体" w:hAnsi="宋体"/>
          <w:spacing w:val="5"/>
        </w:rPr>
        <w:t>诺履行情况和违反信用承诺信息纳入信用主体信用记录，将作为</w:t>
      </w:r>
      <w:r>
        <w:rPr>
          <w:rFonts w:ascii="宋体" w:hAnsi="宋体"/>
          <w:spacing w:val="8"/>
        </w:rPr>
        <w:t>对承诺主体开展事中事后监管的重要依据。</w:t>
      </w:r>
    </w:p>
    <w:p w14:paraId="58ECF94F">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5D80C270">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69E44D5E">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eastAsia="方正黑体_GBK" w:cs="方正黑体_GBK"/>
          <w:sz w:val="31"/>
          <w:szCs w:val="31"/>
        </w:rPr>
      </w:pPr>
      <w:r>
        <w:rPr>
          <w:rFonts w:ascii="宋体" w:hAnsi="宋体" w:eastAsia="方正黑体_GBK" w:cs="方正黑体_GBK"/>
          <w:spacing w:val="6"/>
          <w:position w:val="3"/>
          <w:sz w:val="31"/>
          <w:szCs w:val="31"/>
        </w:rPr>
        <w:t>第四章信用评价与发布</w:t>
      </w:r>
    </w:p>
    <w:p w14:paraId="669C92D1">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4154B20C">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603ECF5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8" w:firstLineChars="200"/>
        <w:jc w:val="both"/>
        <w:textAlignment w:val="baseline"/>
        <w:rPr>
          <w:rFonts w:ascii="宋体" w:hAnsi="宋体"/>
        </w:rPr>
      </w:pPr>
      <w:r>
        <w:rPr>
          <w:rFonts w:ascii="宋体" w:hAnsi="宋体"/>
          <w:spacing w:val="2"/>
        </w:rPr>
        <w:t>第十六条定点医药机构信用评价采取积分制计算得分，满分</w:t>
      </w:r>
      <w:r>
        <w:rPr>
          <w:rFonts w:ascii="宋体" w:hAnsi="宋体"/>
          <w:spacing w:val="-1"/>
        </w:rPr>
        <w:t>为</w:t>
      </w:r>
      <w:r>
        <w:rPr>
          <w:rFonts w:ascii="宋体" w:hAnsi="宋体" w:eastAsia="Times New Roman" w:cs="Times New Roman"/>
          <w:spacing w:val="-1"/>
        </w:rPr>
        <w:t>100</w:t>
      </w:r>
      <w:r>
        <w:rPr>
          <w:rFonts w:ascii="宋体" w:hAnsi="宋体"/>
          <w:spacing w:val="-1"/>
        </w:rPr>
        <w:t>分，基准分为</w:t>
      </w:r>
      <w:r>
        <w:rPr>
          <w:rFonts w:ascii="宋体" w:hAnsi="宋体" w:eastAsia="Times New Roman" w:cs="Times New Roman"/>
          <w:spacing w:val="-1"/>
        </w:rPr>
        <w:t>0</w:t>
      </w:r>
      <w:r>
        <w:rPr>
          <w:rFonts w:ascii="宋体" w:hAnsi="宋体"/>
          <w:spacing w:val="-1"/>
        </w:rPr>
        <w:t>分，计分周期为每年的</w:t>
      </w:r>
      <w:r>
        <w:rPr>
          <w:rFonts w:ascii="宋体" w:hAnsi="宋体" w:eastAsia="Times New Roman" w:cs="Times New Roman"/>
          <w:spacing w:val="-1"/>
        </w:rPr>
        <w:t>1</w:t>
      </w:r>
      <w:r>
        <w:rPr>
          <w:rFonts w:ascii="宋体" w:hAnsi="宋体"/>
          <w:spacing w:val="-1"/>
        </w:rPr>
        <w:t>月</w:t>
      </w:r>
      <w:r>
        <w:rPr>
          <w:rFonts w:ascii="宋体" w:hAnsi="宋体" w:eastAsia="Times New Roman" w:cs="Times New Roman"/>
          <w:spacing w:val="-1"/>
        </w:rPr>
        <w:t>1</w:t>
      </w:r>
      <w:r>
        <w:rPr>
          <w:rFonts w:ascii="宋体" w:hAnsi="宋体"/>
          <w:spacing w:val="-1"/>
        </w:rPr>
        <w:t>日起至</w:t>
      </w:r>
      <w:r>
        <w:rPr>
          <w:rFonts w:ascii="宋体" w:hAnsi="宋体" w:eastAsia="Times New Roman" w:cs="Times New Roman"/>
          <w:spacing w:val="-1"/>
        </w:rPr>
        <w:t>12</w:t>
      </w:r>
      <w:r>
        <w:rPr>
          <w:rFonts w:ascii="宋体" w:hAnsi="宋体"/>
          <w:spacing w:val="2"/>
        </w:rPr>
        <w:t>月</w:t>
      </w:r>
      <w:r>
        <w:rPr>
          <w:rFonts w:ascii="宋体" w:hAnsi="宋体" w:eastAsia="Times New Roman" w:cs="Times New Roman"/>
          <w:spacing w:val="2"/>
        </w:rPr>
        <w:t>31</w:t>
      </w:r>
      <w:r>
        <w:rPr>
          <w:rFonts w:ascii="宋体" w:hAnsi="宋体"/>
          <w:spacing w:val="2"/>
        </w:rPr>
        <w:t>日。信用等级分为五级：</w:t>
      </w:r>
      <w:r>
        <w:rPr>
          <w:rFonts w:ascii="宋体" w:hAnsi="宋体" w:eastAsia="Times New Roman" w:cs="Times New Roman"/>
          <w:spacing w:val="2"/>
        </w:rPr>
        <w:t>A</w:t>
      </w:r>
      <w:r>
        <w:rPr>
          <w:rFonts w:ascii="宋体" w:hAnsi="宋体"/>
          <w:spacing w:val="2"/>
        </w:rPr>
        <w:t>级分值为</w:t>
      </w:r>
      <w:r>
        <w:rPr>
          <w:rFonts w:ascii="宋体" w:hAnsi="宋体" w:eastAsia="Times New Roman" w:cs="Times New Roman"/>
          <w:spacing w:val="2"/>
        </w:rPr>
        <w:t>90</w:t>
      </w:r>
      <w:r>
        <w:rPr>
          <w:rFonts w:ascii="宋体" w:hAnsi="宋体"/>
          <w:spacing w:val="2"/>
        </w:rPr>
        <w:t>分（</w:t>
      </w:r>
      <w:r>
        <w:rPr>
          <w:rFonts w:ascii="宋体" w:hAnsi="宋体"/>
          <w:spacing w:val="1"/>
        </w:rPr>
        <w:t>含</w:t>
      </w:r>
      <w:r>
        <w:rPr>
          <w:rFonts w:ascii="宋体" w:hAnsi="宋体" w:eastAsia="Times New Roman" w:cs="Times New Roman"/>
          <w:spacing w:val="1"/>
        </w:rPr>
        <w:t>90</w:t>
      </w:r>
      <w:r>
        <w:rPr>
          <w:rFonts w:ascii="宋体" w:hAnsi="宋体"/>
          <w:spacing w:val="1"/>
        </w:rPr>
        <w:t>分）以</w:t>
      </w:r>
      <w:r>
        <w:rPr>
          <w:rFonts w:ascii="宋体" w:hAnsi="宋体"/>
          <w:spacing w:val="2"/>
        </w:rPr>
        <w:t>上，</w:t>
      </w:r>
      <w:r>
        <w:rPr>
          <w:rFonts w:ascii="宋体" w:hAnsi="宋体" w:eastAsia="Times New Roman" w:cs="Times New Roman"/>
          <w:spacing w:val="2"/>
        </w:rPr>
        <w:t>B</w:t>
      </w:r>
      <w:r>
        <w:rPr>
          <w:rFonts w:ascii="宋体" w:hAnsi="宋体"/>
          <w:spacing w:val="2"/>
        </w:rPr>
        <w:t>级分值为</w:t>
      </w:r>
      <w:r>
        <w:rPr>
          <w:rFonts w:ascii="宋体" w:hAnsi="宋体" w:eastAsia="Times New Roman" w:cs="Times New Roman"/>
          <w:spacing w:val="2"/>
        </w:rPr>
        <w:t>80—90</w:t>
      </w:r>
      <w:r>
        <w:rPr>
          <w:rFonts w:ascii="宋体" w:hAnsi="宋体"/>
          <w:spacing w:val="2"/>
        </w:rPr>
        <w:t>分（含</w:t>
      </w:r>
      <w:r>
        <w:rPr>
          <w:rFonts w:ascii="宋体" w:hAnsi="宋体" w:eastAsia="Times New Roman" w:cs="Times New Roman"/>
          <w:spacing w:val="2"/>
        </w:rPr>
        <w:t>80</w:t>
      </w:r>
      <w:r>
        <w:rPr>
          <w:rFonts w:ascii="宋体" w:hAnsi="宋体"/>
          <w:spacing w:val="2"/>
        </w:rPr>
        <w:t>分</w:t>
      </w:r>
      <w:r>
        <w:rPr>
          <w:rFonts w:ascii="宋体" w:hAnsi="宋体"/>
          <w:spacing w:val="24"/>
        </w:rPr>
        <w:t>），</w:t>
      </w:r>
      <w:r>
        <w:rPr>
          <w:rFonts w:ascii="宋体" w:hAnsi="宋体" w:eastAsia="Times New Roman" w:cs="Times New Roman"/>
          <w:spacing w:val="2"/>
        </w:rPr>
        <w:t>C</w:t>
      </w:r>
      <w:r>
        <w:rPr>
          <w:rFonts w:ascii="宋体" w:hAnsi="宋体"/>
          <w:spacing w:val="2"/>
        </w:rPr>
        <w:t>级分值为</w:t>
      </w:r>
      <w:r>
        <w:rPr>
          <w:rFonts w:ascii="宋体" w:hAnsi="宋体" w:eastAsia="Times New Roman" w:cs="Times New Roman"/>
          <w:spacing w:val="2"/>
        </w:rPr>
        <w:t>70—80</w:t>
      </w:r>
      <w:r>
        <w:rPr>
          <w:rFonts w:ascii="宋体" w:hAnsi="宋体"/>
          <w:spacing w:val="2"/>
        </w:rPr>
        <w:t>分</w:t>
      </w:r>
      <w:r>
        <w:rPr>
          <w:rFonts w:ascii="宋体" w:hAnsi="宋体"/>
          <w:spacing w:val="3"/>
        </w:rPr>
        <w:t>（含</w:t>
      </w:r>
      <w:r>
        <w:rPr>
          <w:rFonts w:ascii="宋体" w:hAnsi="宋体" w:eastAsia="Times New Roman" w:cs="Times New Roman"/>
          <w:spacing w:val="3"/>
        </w:rPr>
        <w:t>70</w:t>
      </w:r>
      <w:r>
        <w:rPr>
          <w:rFonts w:ascii="宋体" w:hAnsi="宋体"/>
          <w:spacing w:val="3"/>
        </w:rPr>
        <w:t>分</w:t>
      </w:r>
      <w:r>
        <w:rPr>
          <w:rFonts w:ascii="宋体" w:hAnsi="宋体"/>
          <w:spacing w:val="-14"/>
        </w:rPr>
        <w:t>），</w:t>
      </w:r>
      <w:r>
        <w:rPr>
          <w:rFonts w:ascii="宋体" w:hAnsi="宋体" w:eastAsia="Times New Roman" w:cs="Times New Roman"/>
          <w:spacing w:val="3"/>
        </w:rPr>
        <w:t>D</w:t>
      </w:r>
      <w:r>
        <w:rPr>
          <w:rFonts w:ascii="宋体" w:hAnsi="宋体"/>
          <w:spacing w:val="3"/>
        </w:rPr>
        <w:t>级分值为</w:t>
      </w:r>
      <w:r>
        <w:rPr>
          <w:rFonts w:ascii="宋体" w:hAnsi="宋体" w:eastAsia="Times New Roman" w:cs="Times New Roman"/>
          <w:spacing w:val="3"/>
        </w:rPr>
        <w:t>60—70</w:t>
      </w:r>
      <w:r>
        <w:rPr>
          <w:rFonts w:ascii="宋体" w:hAnsi="宋体"/>
          <w:spacing w:val="3"/>
        </w:rPr>
        <w:t>分（含</w:t>
      </w:r>
      <w:r>
        <w:rPr>
          <w:rFonts w:ascii="宋体" w:hAnsi="宋体" w:eastAsia="Times New Roman" w:cs="Times New Roman"/>
          <w:spacing w:val="3"/>
        </w:rPr>
        <w:t>60</w:t>
      </w:r>
      <w:r>
        <w:rPr>
          <w:rFonts w:ascii="宋体" w:hAnsi="宋体"/>
          <w:spacing w:val="3"/>
        </w:rPr>
        <w:t>分</w:t>
      </w:r>
      <w:r>
        <w:rPr>
          <w:rFonts w:ascii="宋体" w:hAnsi="宋体"/>
          <w:spacing w:val="-14"/>
        </w:rPr>
        <w:t>），</w:t>
      </w:r>
      <w:r>
        <w:rPr>
          <w:rFonts w:ascii="宋体" w:hAnsi="宋体" w:eastAsia="Times New Roman" w:cs="Times New Roman"/>
          <w:spacing w:val="3"/>
        </w:rPr>
        <w:t>E</w:t>
      </w:r>
      <w:r>
        <w:rPr>
          <w:rFonts w:ascii="宋体" w:hAnsi="宋体"/>
          <w:spacing w:val="3"/>
        </w:rPr>
        <w:t>级分值为</w:t>
      </w:r>
      <w:r>
        <w:rPr>
          <w:rFonts w:ascii="宋体" w:hAnsi="宋体" w:eastAsia="Times New Roman" w:cs="Times New Roman"/>
          <w:spacing w:val="5"/>
        </w:rPr>
        <w:t>60</w:t>
      </w:r>
      <w:r>
        <w:rPr>
          <w:rFonts w:ascii="宋体" w:hAnsi="宋体"/>
          <w:spacing w:val="5"/>
        </w:rPr>
        <w:t>分以下。</w:t>
      </w:r>
    </w:p>
    <w:p w14:paraId="1D20CA4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4" w:firstLineChars="200"/>
        <w:jc w:val="both"/>
        <w:textAlignment w:val="baseline"/>
        <w:rPr>
          <w:rFonts w:ascii="宋体" w:hAnsi="宋体"/>
        </w:rPr>
      </w:pPr>
      <w:r>
        <w:rPr>
          <w:rFonts w:ascii="宋体" w:hAnsi="宋体"/>
          <w:spacing w:val="11"/>
        </w:rPr>
        <w:t>第十七条定点医药机构有以下情形的，直接列入</w:t>
      </w:r>
      <w:r>
        <w:rPr>
          <w:rFonts w:ascii="宋体" w:hAnsi="宋体" w:eastAsia="Times New Roman" w:cs="Times New Roman"/>
          <w:spacing w:val="11"/>
        </w:rPr>
        <w:t>E</w:t>
      </w:r>
      <w:r>
        <w:rPr>
          <w:rFonts w:ascii="宋体" w:hAnsi="宋体"/>
          <w:spacing w:val="11"/>
        </w:rPr>
        <w:t>级：</w:t>
      </w:r>
    </w:p>
    <w:p w14:paraId="301F0D0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2" w:firstLineChars="200"/>
        <w:jc w:val="both"/>
        <w:textAlignment w:val="baseline"/>
        <w:rPr>
          <w:rFonts w:ascii="宋体" w:hAnsi="宋体"/>
        </w:rPr>
      </w:pPr>
      <w:r>
        <w:rPr>
          <w:rFonts w:ascii="宋体" w:hAnsi="宋体"/>
          <w:spacing w:val="8"/>
        </w:rPr>
        <w:t>（一）因违法违规被解除定点服务协议或连续两</w:t>
      </w:r>
      <w:r>
        <w:rPr>
          <w:rFonts w:ascii="宋体" w:hAnsi="宋体"/>
          <w:spacing w:val="7"/>
        </w:rPr>
        <w:t>年被暂停定</w:t>
      </w:r>
      <w:r>
        <w:rPr>
          <w:rFonts w:ascii="宋体" w:hAnsi="宋体"/>
          <w:spacing w:val="3"/>
        </w:rPr>
        <w:t>点服务协议的；</w:t>
      </w:r>
    </w:p>
    <w:p w14:paraId="69337A8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0" w:firstLineChars="200"/>
        <w:jc w:val="both"/>
        <w:textAlignment w:val="baseline"/>
        <w:rPr>
          <w:rFonts w:ascii="宋体" w:hAnsi="宋体"/>
        </w:rPr>
      </w:pPr>
      <w:r>
        <w:rPr>
          <w:rFonts w:ascii="宋体" w:hAnsi="宋体"/>
          <w:spacing w:val="10"/>
        </w:rPr>
        <w:t>（二）实施《医疗保障基金使用监督管理条例》第四十条所</w:t>
      </w:r>
      <w:r>
        <w:rPr>
          <w:rFonts w:ascii="宋体" w:hAnsi="宋体"/>
          <w:spacing w:val="6"/>
        </w:rPr>
        <w:t>述行为之一的；</w:t>
      </w:r>
    </w:p>
    <w:p w14:paraId="04E17E9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8" w:firstLineChars="200"/>
        <w:jc w:val="both"/>
        <w:textAlignment w:val="baseline"/>
        <w:rPr>
          <w:rFonts w:ascii="宋体" w:hAnsi="宋体"/>
          <w:spacing w:val="2"/>
        </w:rPr>
      </w:pPr>
      <w:r>
        <w:rPr>
          <w:rFonts w:ascii="宋体" w:hAnsi="宋体"/>
          <w:spacing w:val="2"/>
        </w:rPr>
        <w:t>（三）受到处理处罚后拒不改正、拒不执行处理处罚决定的；</w:t>
      </w:r>
    </w:p>
    <w:p w14:paraId="02813E4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rPr>
      </w:pPr>
      <w:r>
        <w:rPr>
          <w:rFonts w:ascii="宋体" w:hAnsi="宋体"/>
          <w:spacing w:val="5"/>
        </w:rPr>
        <w:t>（四）拒绝、阻挠或不配合监督检查的；</w:t>
      </w:r>
    </w:p>
    <w:p w14:paraId="1BD4261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（五）在信用等级评价中弄虚作假的；</w:t>
      </w:r>
    </w:p>
    <w:p w14:paraId="3A5634F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（六）被列入严重失信主体名单的；</w:t>
      </w:r>
    </w:p>
    <w:p w14:paraId="6AB9D04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（七）因欺诈骗保被追究刑事责任的。</w:t>
      </w:r>
    </w:p>
    <w:p w14:paraId="7E45032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第十八条对医师、护士（师）、药师等医药机构相关人员</w:t>
      </w:r>
      <w:r>
        <w:rPr>
          <w:rFonts w:ascii="宋体" w:hAnsi="宋体"/>
          <w:spacing w:val="5"/>
        </w:rPr>
        <w:t>的信用评价，参照《重庆市定点医药机构相关人员医保支付资格</w:t>
      </w:r>
      <w:r>
        <w:rPr>
          <w:rFonts w:ascii="宋体" w:hAnsi="宋体"/>
          <w:spacing w:val="6"/>
        </w:rPr>
        <w:t>管理实施细则（试行）》（渝医保发〔</w:t>
      </w:r>
      <w:r>
        <w:rPr>
          <w:rFonts w:ascii="宋体" w:hAnsi="宋体" w:eastAsia="Times New Roman" w:cs="Times New Roman"/>
          <w:spacing w:val="6"/>
        </w:rPr>
        <w:t>2025</w:t>
      </w:r>
      <w:r>
        <w:rPr>
          <w:rFonts w:ascii="宋体" w:hAnsi="宋体"/>
          <w:spacing w:val="6"/>
        </w:rPr>
        <w:t>〕</w:t>
      </w:r>
      <w:r>
        <w:rPr>
          <w:rFonts w:ascii="宋体" w:hAnsi="宋体" w:eastAsia="Times New Roman" w:cs="Times New Roman"/>
          <w:spacing w:val="6"/>
        </w:rPr>
        <w:t>7</w:t>
      </w:r>
      <w:r>
        <w:rPr>
          <w:rFonts w:ascii="宋体" w:hAnsi="宋体"/>
          <w:spacing w:val="6"/>
        </w:rPr>
        <w:t>号）执行，根据</w:t>
      </w:r>
      <w:r>
        <w:rPr>
          <w:rFonts w:ascii="宋体" w:hAnsi="宋体"/>
          <w:spacing w:val="8"/>
        </w:rPr>
        <w:t>记分情况分为五级：记分为</w:t>
      </w:r>
      <w:r>
        <w:rPr>
          <w:rFonts w:ascii="宋体" w:hAnsi="宋体" w:eastAsia="Times New Roman" w:cs="Times New Roman"/>
          <w:spacing w:val="8"/>
        </w:rPr>
        <w:t>0</w:t>
      </w:r>
      <w:r>
        <w:rPr>
          <w:rFonts w:ascii="宋体" w:hAnsi="宋体"/>
          <w:spacing w:val="8"/>
        </w:rPr>
        <w:t>分的为</w:t>
      </w:r>
      <w:r>
        <w:rPr>
          <w:rFonts w:ascii="宋体" w:hAnsi="宋体" w:eastAsia="Times New Roman" w:cs="Times New Roman"/>
          <w:spacing w:val="8"/>
        </w:rPr>
        <w:t>A</w:t>
      </w:r>
      <w:r>
        <w:rPr>
          <w:rFonts w:ascii="宋体" w:hAnsi="宋体"/>
          <w:spacing w:val="8"/>
        </w:rPr>
        <w:t>级，记分累计达到</w:t>
      </w:r>
      <w:r>
        <w:rPr>
          <w:rFonts w:ascii="宋体" w:hAnsi="宋体" w:eastAsia="Times New Roman" w:cs="Times New Roman"/>
          <w:spacing w:val="8"/>
        </w:rPr>
        <w:t>1—3</w:t>
      </w:r>
      <w:r>
        <w:rPr>
          <w:rFonts w:ascii="宋体" w:hAnsi="宋体"/>
          <w:spacing w:val="6"/>
        </w:rPr>
        <w:t>分的为</w:t>
      </w:r>
      <w:r>
        <w:rPr>
          <w:rFonts w:ascii="宋体" w:hAnsi="宋体" w:eastAsia="Times New Roman" w:cs="Times New Roman"/>
          <w:spacing w:val="6"/>
        </w:rPr>
        <w:t>B</w:t>
      </w:r>
      <w:r>
        <w:rPr>
          <w:rFonts w:ascii="宋体" w:hAnsi="宋体"/>
          <w:spacing w:val="6"/>
        </w:rPr>
        <w:t>级，记分累计达到</w:t>
      </w:r>
      <w:r>
        <w:rPr>
          <w:rFonts w:ascii="宋体" w:hAnsi="宋体" w:eastAsia="Times New Roman" w:cs="Times New Roman"/>
          <w:spacing w:val="6"/>
        </w:rPr>
        <w:t>4</w:t>
      </w:r>
      <w:r>
        <w:rPr>
          <w:rFonts w:ascii="宋体" w:hAnsi="宋体"/>
          <w:spacing w:val="6"/>
        </w:rPr>
        <w:t>－</w:t>
      </w:r>
      <w:r>
        <w:rPr>
          <w:rFonts w:ascii="宋体" w:hAnsi="宋体" w:eastAsia="Times New Roman" w:cs="Times New Roman"/>
          <w:spacing w:val="6"/>
        </w:rPr>
        <w:t>6</w:t>
      </w:r>
      <w:r>
        <w:rPr>
          <w:rFonts w:ascii="宋体" w:hAnsi="宋体"/>
          <w:spacing w:val="6"/>
        </w:rPr>
        <w:t>分的为</w:t>
      </w:r>
      <w:r>
        <w:rPr>
          <w:rFonts w:ascii="宋体" w:hAnsi="宋体" w:eastAsia="Times New Roman" w:cs="Times New Roman"/>
          <w:spacing w:val="6"/>
        </w:rPr>
        <w:t>C</w:t>
      </w:r>
      <w:r>
        <w:rPr>
          <w:rFonts w:ascii="宋体" w:hAnsi="宋体"/>
          <w:spacing w:val="6"/>
        </w:rPr>
        <w:t>级，记分累计达</w:t>
      </w:r>
      <w:r>
        <w:rPr>
          <w:rFonts w:ascii="宋体" w:hAnsi="宋体" w:eastAsia="Times New Roman" w:cs="Times New Roman"/>
          <w:spacing w:val="6"/>
        </w:rPr>
        <w:t>7—8</w:t>
      </w:r>
      <w:r>
        <w:rPr>
          <w:rFonts w:ascii="宋体" w:hAnsi="宋体"/>
          <w:spacing w:val="3"/>
        </w:rPr>
        <w:t>分的为</w:t>
      </w:r>
      <w:r>
        <w:rPr>
          <w:rFonts w:ascii="宋体" w:hAnsi="宋体" w:eastAsia="Times New Roman" w:cs="Times New Roman"/>
          <w:spacing w:val="3"/>
        </w:rPr>
        <w:t>D</w:t>
      </w:r>
      <w:r>
        <w:rPr>
          <w:rFonts w:ascii="宋体" w:hAnsi="宋体"/>
          <w:spacing w:val="3"/>
        </w:rPr>
        <w:t>级，记分累计达</w:t>
      </w:r>
      <w:r>
        <w:rPr>
          <w:rFonts w:ascii="宋体" w:hAnsi="宋体" w:eastAsia="Times New Roman" w:cs="Times New Roman"/>
          <w:spacing w:val="3"/>
        </w:rPr>
        <w:t>9—12</w:t>
      </w:r>
      <w:r>
        <w:rPr>
          <w:rFonts w:ascii="宋体" w:hAnsi="宋体"/>
          <w:spacing w:val="3"/>
        </w:rPr>
        <w:t>分的为</w:t>
      </w:r>
      <w:r>
        <w:rPr>
          <w:rFonts w:ascii="宋体" w:hAnsi="宋体" w:eastAsia="Times New Roman" w:cs="Times New Roman"/>
          <w:spacing w:val="3"/>
        </w:rPr>
        <w:t>E</w:t>
      </w:r>
      <w:r>
        <w:rPr>
          <w:rFonts w:ascii="宋体" w:hAnsi="宋体"/>
          <w:spacing w:val="3"/>
        </w:rPr>
        <w:t>级。</w:t>
      </w:r>
    </w:p>
    <w:p w14:paraId="7A64410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76" w:firstLineChars="200"/>
        <w:jc w:val="both"/>
        <w:textAlignment w:val="baseline"/>
        <w:rPr>
          <w:rFonts w:ascii="宋体" w:hAnsi="宋体"/>
        </w:rPr>
      </w:pPr>
      <w:r>
        <w:rPr>
          <w:rFonts w:ascii="宋体" w:hAnsi="宋体"/>
          <w:spacing w:val="14"/>
        </w:rPr>
        <w:t>第十九条对参保人信用评价根据医疗保障行政部门</w:t>
      </w:r>
      <w:r>
        <w:rPr>
          <w:rFonts w:ascii="宋体" w:hAnsi="宋体"/>
          <w:spacing w:val="13"/>
        </w:rPr>
        <w:t>查实的</w:t>
      </w:r>
      <w:r>
        <w:rPr>
          <w:rFonts w:ascii="宋体" w:hAnsi="宋体"/>
          <w:spacing w:val="7"/>
        </w:rPr>
        <w:t>参保人员违法情形评定信用等级：</w:t>
      </w:r>
    </w:p>
    <w:p w14:paraId="22C96AE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2" w:firstLineChars="200"/>
        <w:jc w:val="both"/>
        <w:textAlignment w:val="baseline"/>
        <w:rPr>
          <w:rFonts w:ascii="宋体" w:hAnsi="宋体"/>
        </w:rPr>
      </w:pPr>
      <w:r>
        <w:rPr>
          <w:rFonts w:ascii="宋体" w:hAnsi="宋体"/>
          <w:spacing w:val="8"/>
        </w:rPr>
        <w:t>（一）</w:t>
      </w:r>
      <w:r>
        <w:rPr>
          <w:rFonts w:ascii="宋体" w:hAnsi="宋体" w:eastAsia="Times New Roman" w:cs="Times New Roman"/>
          <w:spacing w:val="8"/>
        </w:rPr>
        <w:t>A</w:t>
      </w:r>
      <w:r>
        <w:rPr>
          <w:rFonts w:ascii="宋体" w:hAnsi="宋体"/>
          <w:spacing w:val="8"/>
        </w:rPr>
        <w:t>级：未发生任何违法违规问题的；</w:t>
      </w:r>
    </w:p>
    <w:p w14:paraId="1E7C783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0" w:firstLineChars="200"/>
        <w:jc w:val="both"/>
        <w:textAlignment w:val="baseline"/>
        <w:rPr>
          <w:rFonts w:ascii="宋体" w:hAnsi="宋体"/>
        </w:rPr>
      </w:pPr>
      <w:r>
        <w:rPr>
          <w:rFonts w:ascii="宋体" w:hAnsi="宋体"/>
          <w:spacing w:val="10"/>
        </w:rPr>
        <w:t>（二）</w:t>
      </w:r>
      <w:r>
        <w:rPr>
          <w:rFonts w:ascii="宋体" w:hAnsi="宋体" w:eastAsia="Times New Roman" w:cs="Times New Roman"/>
          <w:spacing w:val="10"/>
        </w:rPr>
        <w:t>B</w:t>
      </w:r>
      <w:r>
        <w:rPr>
          <w:rFonts w:ascii="宋体" w:hAnsi="宋体"/>
          <w:spacing w:val="10"/>
        </w:rPr>
        <w:t>级：一年内初次实施将本人的医疗保障凭证交由他</w:t>
      </w:r>
      <w:r>
        <w:rPr>
          <w:rFonts w:ascii="宋体" w:hAnsi="宋体"/>
          <w:spacing w:val="6"/>
        </w:rPr>
        <w:t>人冒名使用，重复享受医疗保障待遇，或利用享受医疗保障待遇的机会转卖药品，接受返还现金、实物或者获得其他非法利益等《医疗保障基金使用监督管理条例》第四十一条第一款所述一般</w:t>
      </w:r>
      <w:r>
        <w:rPr>
          <w:rFonts w:ascii="宋体" w:hAnsi="宋体"/>
          <w:spacing w:val="10"/>
        </w:rPr>
        <w:t>性违法行为之一，造成医疗保障基金损失的；</w:t>
      </w:r>
    </w:p>
    <w:p w14:paraId="3D00B75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2" w:firstLineChars="200"/>
        <w:jc w:val="both"/>
        <w:textAlignment w:val="baseline"/>
        <w:rPr>
          <w:rFonts w:ascii="宋体" w:hAnsi="宋体"/>
          <w:spacing w:val="7"/>
        </w:rPr>
      </w:pPr>
      <w:r>
        <w:rPr>
          <w:rFonts w:ascii="宋体" w:hAnsi="宋体"/>
          <w:spacing w:val="8"/>
        </w:rPr>
        <w:t>（三）</w:t>
      </w:r>
      <w:r>
        <w:rPr>
          <w:rFonts w:ascii="宋体" w:hAnsi="宋体" w:eastAsia="Times New Roman" w:cs="Times New Roman"/>
          <w:spacing w:val="8"/>
        </w:rPr>
        <w:t>C</w:t>
      </w:r>
      <w:r>
        <w:rPr>
          <w:rFonts w:ascii="宋体" w:hAnsi="宋体"/>
          <w:spacing w:val="8"/>
        </w:rPr>
        <w:t>级：一年内两次或两次以上实施《医疗保障基金使</w:t>
      </w:r>
      <w:r>
        <w:rPr>
          <w:rFonts w:ascii="宋体" w:hAnsi="宋体"/>
          <w:spacing w:val="7"/>
        </w:rPr>
        <w:t>用监督管理条例》第四十一条第一款所述一般性违法行为之一，造成医疗保障基金损失的；</w:t>
      </w:r>
    </w:p>
    <w:p w14:paraId="1C0EEAB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4" w:firstLineChars="200"/>
        <w:jc w:val="both"/>
        <w:textAlignment w:val="baseline"/>
        <w:rPr>
          <w:rFonts w:ascii="宋体" w:hAnsi="宋体"/>
        </w:rPr>
      </w:pPr>
      <w:r>
        <w:rPr>
          <w:rFonts w:ascii="宋体" w:hAnsi="宋体"/>
          <w:spacing w:val="1"/>
        </w:rPr>
        <w:t>（四）</w:t>
      </w:r>
      <w:r>
        <w:rPr>
          <w:rFonts w:ascii="宋体" w:hAnsi="宋体" w:eastAsia="Times New Roman" w:cs="Times New Roman"/>
          <w:spacing w:val="1"/>
        </w:rPr>
        <w:t>D</w:t>
      </w:r>
      <w:r>
        <w:rPr>
          <w:rFonts w:ascii="宋体" w:hAnsi="宋体"/>
          <w:spacing w:val="1"/>
        </w:rPr>
        <w:t>级：以骗取医疗保障基金为目的实施《医疗保障基</w:t>
      </w:r>
      <w:r>
        <w:rPr>
          <w:rFonts w:ascii="宋体" w:hAnsi="宋体"/>
          <w:spacing w:val="5"/>
        </w:rPr>
        <w:t>金使用监督管理条例》第四十一条第一款所述一般性违法行为之一，造成医疗保障基金损失的；通过使用他人医疗保障凭证冒名</w:t>
      </w:r>
      <w:r>
        <w:rPr>
          <w:rFonts w:ascii="宋体" w:hAnsi="宋体"/>
          <w:spacing w:val="-1"/>
        </w:rPr>
        <w:t>就医购药，伪造、变造、隐匿、涂改、销毁</w:t>
      </w:r>
      <w:r>
        <w:rPr>
          <w:rFonts w:ascii="宋体" w:hAnsi="宋体"/>
          <w:spacing w:val="-2"/>
        </w:rPr>
        <w:t>医学文书、医学证明、</w:t>
      </w:r>
      <w:r>
        <w:rPr>
          <w:rFonts w:ascii="宋体" w:hAnsi="宋体"/>
          <w:spacing w:val="5"/>
        </w:rPr>
        <w:t>会计凭证、电子信息等有关资料或虚构医药服务项目等方式，骗</w:t>
      </w:r>
      <w:r>
        <w:rPr>
          <w:rFonts w:ascii="宋体" w:hAnsi="宋体"/>
          <w:spacing w:val="7"/>
        </w:rPr>
        <w:t>取医疗保障基金支出的。</w:t>
      </w:r>
    </w:p>
    <w:p w14:paraId="3A77C4A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8" w:firstLineChars="200"/>
        <w:jc w:val="both"/>
        <w:textAlignment w:val="baseline"/>
        <w:rPr>
          <w:rFonts w:ascii="宋体" w:hAnsi="宋体"/>
        </w:rPr>
      </w:pPr>
      <w:r>
        <w:rPr>
          <w:rFonts w:ascii="宋体" w:hAnsi="宋体"/>
          <w:spacing w:val="2"/>
        </w:rPr>
        <w:t>第二十条在一个信用评价周期内，信用主体有下列情形之一</w:t>
      </w:r>
      <w:r>
        <w:rPr>
          <w:rFonts w:ascii="宋体" w:hAnsi="宋体"/>
          <w:spacing w:val="5"/>
        </w:rPr>
        <w:t>的，不参与当年度信用评价：</w:t>
      </w:r>
    </w:p>
    <w:p w14:paraId="44C869C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（一）签订医保服务协议不满一个自然年度的；</w:t>
      </w:r>
    </w:p>
    <w:p w14:paraId="5664270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6" w:firstLineChars="200"/>
        <w:jc w:val="both"/>
        <w:textAlignment w:val="baseline"/>
        <w:rPr>
          <w:rFonts w:ascii="宋体" w:hAnsi="宋体"/>
        </w:rPr>
      </w:pPr>
      <w:r>
        <w:rPr>
          <w:rFonts w:ascii="宋体" w:hAnsi="宋体"/>
          <w:spacing w:val="4"/>
        </w:rPr>
        <w:t>（二）已解除医保服务协议的；</w:t>
      </w:r>
    </w:p>
    <w:p w14:paraId="504DF19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（三）评价周期内无医疗保障基金支出的；</w:t>
      </w:r>
    </w:p>
    <w:p w14:paraId="7182BF2B">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6" w:firstLineChars="200"/>
        <w:jc w:val="both"/>
        <w:textAlignment w:val="baseline"/>
        <w:rPr>
          <w:rFonts w:ascii="宋体" w:hAnsi="宋体"/>
        </w:rPr>
      </w:pPr>
      <w:r>
        <w:rPr>
          <w:rFonts w:ascii="宋体" w:hAnsi="宋体"/>
          <w:spacing w:val="4"/>
        </w:rPr>
        <w:t>（四）暂停或吊销执业许可的；</w:t>
      </w:r>
    </w:p>
    <w:p w14:paraId="2926307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0" w:firstLineChars="200"/>
        <w:jc w:val="both"/>
        <w:textAlignment w:val="baseline"/>
        <w:rPr>
          <w:rFonts w:ascii="宋体" w:hAnsi="宋体"/>
        </w:rPr>
      </w:pPr>
      <w:r>
        <w:rPr>
          <w:rFonts w:ascii="宋体" w:hAnsi="宋体"/>
          <w:spacing w:val="10"/>
        </w:rPr>
        <w:t>（五）法律法规规定的其他不应参加评定的</w:t>
      </w:r>
      <w:r>
        <w:rPr>
          <w:rFonts w:ascii="宋体" w:hAnsi="宋体"/>
          <w:spacing w:val="9"/>
        </w:rPr>
        <w:t>情形。</w:t>
      </w:r>
    </w:p>
    <w:p w14:paraId="082AC38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8" w:firstLineChars="200"/>
        <w:jc w:val="both"/>
        <w:textAlignment w:val="baseline"/>
        <w:rPr>
          <w:rFonts w:ascii="宋体" w:hAnsi="宋体"/>
        </w:rPr>
      </w:pPr>
      <w:r>
        <w:rPr>
          <w:rFonts w:ascii="宋体" w:hAnsi="宋体"/>
          <w:spacing w:val="2"/>
        </w:rPr>
        <w:t>第二十一条在公布信用评价结果前，医疗保障行政部门应当</w:t>
      </w:r>
      <w:r>
        <w:rPr>
          <w:rFonts w:ascii="宋体" w:hAnsi="宋体"/>
          <w:spacing w:val="7"/>
        </w:rPr>
        <w:t>将预评价结果告知信用主体，信用主体对预评价结果有异议的，</w:t>
      </w:r>
      <w:r>
        <w:rPr>
          <w:rFonts w:ascii="宋体" w:hAnsi="宋体"/>
          <w:spacing w:val="2"/>
        </w:rPr>
        <w:t>应当在收到通知后</w:t>
      </w:r>
      <w:r>
        <w:rPr>
          <w:rFonts w:ascii="宋体" w:hAnsi="宋体" w:eastAsia="Times New Roman" w:cs="Times New Roman"/>
          <w:spacing w:val="2"/>
        </w:rPr>
        <w:t>15</w:t>
      </w:r>
      <w:r>
        <w:rPr>
          <w:rFonts w:ascii="宋体" w:hAnsi="宋体"/>
          <w:spacing w:val="2"/>
        </w:rPr>
        <w:t>个工作日内书面提出申请，说明理由并提</w:t>
      </w:r>
      <w:r>
        <w:rPr>
          <w:rFonts w:ascii="宋体" w:hAnsi="宋体"/>
          <w:spacing w:val="5"/>
        </w:rPr>
        <w:t>供相关证明材料，逾期未提出异议或未按要求提出异议的视为无</w:t>
      </w:r>
      <w:r>
        <w:rPr>
          <w:rFonts w:ascii="宋体" w:hAnsi="宋体"/>
        </w:rPr>
        <w:t>异议。医疗保障行政部门应当在收到材料之日起</w:t>
      </w:r>
      <w:r>
        <w:rPr>
          <w:rFonts w:ascii="宋体" w:hAnsi="宋体" w:eastAsia="Times New Roman" w:cs="Times New Roman"/>
        </w:rPr>
        <w:t>15</w:t>
      </w:r>
      <w:r>
        <w:rPr>
          <w:rFonts w:ascii="宋体" w:hAnsi="宋体"/>
        </w:rPr>
        <w:t>个工作日内</w:t>
      </w:r>
      <w:r>
        <w:rPr>
          <w:rFonts w:ascii="宋体" w:hAnsi="宋体"/>
          <w:spacing w:val="5"/>
        </w:rPr>
        <w:t>完成申诉审核处理工作，将处理结果书面告知信用主体，并形成</w:t>
      </w:r>
      <w:r>
        <w:rPr>
          <w:rFonts w:ascii="宋体" w:hAnsi="宋体"/>
          <w:spacing w:val="6"/>
        </w:rPr>
        <w:t>最终评价结果。</w:t>
      </w:r>
    </w:p>
    <w:p w14:paraId="232F269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72" w:firstLineChars="200"/>
        <w:jc w:val="both"/>
        <w:textAlignment w:val="baseline"/>
        <w:rPr>
          <w:rFonts w:ascii="宋体" w:hAnsi="宋体"/>
        </w:rPr>
      </w:pPr>
      <w:r>
        <w:rPr>
          <w:rFonts w:ascii="宋体" w:hAnsi="宋体"/>
          <w:spacing w:val="13"/>
        </w:rPr>
        <w:t>第二十二条医疗保障行政部门应当通过官方网</w:t>
      </w:r>
      <w:r>
        <w:rPr>
          <w:rFonts w:ascii="宋体" w:hAnsi="宋体"/>
          <w:spacing w:val="12"/>
        </w:rPr>
        <w:t>站或微信公</w:t>
      </w:r>
      <w:r>
        <w:rPr>
          <w:rFonts w:ascii="宋体" w:hAnsi="宋体"/>
          <w:spacing w:val="8"/>
        </w:rPr>
        <w:t>众号等方式为信用主体提供评价结果查询服务。</w:t>
      </w:r>
    </w:p>
    <w:p w14:paraId="0BFE6CC4">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6FC3ADD5">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2E7ECB3C">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eastAsia="方正黑体_GBK" w:cs="方正黑体_GBK"/>
          <w:sz w:val="31"/>
          <w:szCs w:val="31"/>
        </w:rPr>
      </w:pPr>
      <w:r>
        <w:rPr>
          <w:rFonts w:ascii="宋体" w:hAnsi="宋体" w:eastAsia="方正黑体_GBK" w:cs="方正黑体_GBK"/>
          <w:spacing w:val="6"/>
          <w:position w:val="3"/>
          <w:sz w:val="31"/>
          <w:szCs w:val="31"/>
        </w:rPr>
        <w:t>第五章评价结果运用</w:t>
      </w:r>
    </w:p>
    <w:p w14:paraId="669A5148">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0801C301">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0E12835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6" w:firstLineChars="200"/>
        <w:jc w:val="both"/>
        <w:textAlignment w:val="baseline"/>
        <w:rPr>
          <w:rFonts w:ascii="宋体" w:hAnsi="宋体"/>
        </w:rPr>
      </w:pPr>
      <w:r>
        <w:rPr>
          <w:rFonts w:ascii="宋体" w:hAnsi="宋体"/>
          <w:spacing w:val="4"/>
        </w:rPr>
        <w:t>第二十三条医疗保障部门按照守信激励、失信惩戒的原则，</w:t>
      </w:r>
      <w:r>
        <w:rPr>
          <w:rFonts w:ascii="宋体" w:hAnsi="宋体"/>
          <w:spacing w:val="3"/>
        </w:rPr>
        <w:t>根据信用等级评定结果，与发展改革、卫生健康、人力社保、市</w:t>
      </w:r>
      <w:r>
        <w:rPr>
          <w:rFonts w:ascii="宋体" w:hAnsi="宋体"/>
          <w:spacing w:val="8"/>
        </w:rPr>
        <w:t>场监管、税务部门对信用主体实施联合激励或惩戒。</w:t>
      </w:r>
    </w:p>
    <w:p w14:paraId="51A0A92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0" w:firstLineChars="200"/>
        <w:jc w:val="both"/>
        <w:textAlignment w:val="baseline"/>
        <w:rPr>
          <w:rFonts w:ascii="宋体" w:hAnsi="宋体"/>
        </w:rPr>
      </w:pPr>
      <w:r>
        <w:rPr>
          <w:rFonts w:ascii="宋体" w:hAnsi="宋体"/>
          <w:spacing w:val="10"/>
        </w:rPr>
        <w:t>第二十四条对评定为</w:t>
      </w:r>
      <w:r>
        <w:rPr>
          <w:rFonts w:ascii="宋体" w:hAnsi="宋体" w:eastAsia="Times New Roman" w:cs="Times New Roman"/>
          <w:spacing w:val="10"/>
        </w:rPr>
        <w:t>A</w:t>
      </w:r>
      <w:r>
        <w:rPr>
          <w:rFonts w:ascii="宋体" w:hAnsi="宋体"/>
          <w:spacing w:val="10"/>
        </w:rPr>
        <w:t>级的定点医药机构采取以</w:t>
      </w:r>
      <w:r>
        <w:rPr>
          <w:rFonts w:ascii="宋体" w:hAnsi="宋体"/>
          <w:spacing w:val="9"/>
        </w:rPr>
        <w:t>下激励措</w:t>
      </w:r>
      <w:r>
        <w:rPr>
          <w:rFonts w:ascii="宋体" w:hAnsi="宋体"/>
          <w:spacing w:val="-8"/>
        </w:rPr>
        <w:t>施：</w:t>
      </w:r>
    </w:p>
    <w:p w14:paraId="04E66A4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0" w:firstLineChars="200"/>
        <w:jc w:val="both"/>
        <w:textAlignment w:val="baseline"/>
        <w:rPr>
          <w:rFonts w:ascii="宋体" w:hAnsi="宋体"/>
        </w:rPr>
      </w:pPr>
      <w:r>
        <w:rPr>
          <w:rFonts w:ascii="宋体" w:hAnsi="宋体"/>
        </w:rPr>
        <w:t>（一）降低日常现场检查频次，除根据投诉举报、飞行检查、</w:t>
      </w:r>
      <w:r>
        <w:rPr>
          <w:rFonts w:ascii="宋体" w:hAnsi="宋体"/>
          <w:spacing w:val="5"/>
        </w:rPr>
        <w:t>专项检查计划或上级要求等进行现场检查外，不另行对其开展现</w:t>
      </w:r>
      <w:r>
        <w:rPr>
          <w:rFonts w:ascii="宋体" w:hAnsi="宋体"/>
          <w:spacing w:val="3"/>
        </w:rPr>
        <w:t>场检查；</w:t>
      </w:r>
    </w:p>
    <w:p w14:paraId="7EDC686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（二）在医保部门官网、“信用中国（重庆）”等网站予以</w:t>
      </w:r>
      <w:r>
        <w:rPr>
          <w:rFonts w:ascii="宋体" w:hAnsi="宋体"/>
          <w:spacing w:val="-1"/>
        </w:rPr>
        <w:t>公示；</w:t>
      </w:r>
    </w:p>
    <w:p w14:paraId="3C54C97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8" w:firstLineChars="200"/>
        <w:jc w:val="both"/>
        <w:textAlignment w:val="baseline"/>
        <w:rPr>
          <w:rFonts w:ascii="宋体" w:hAnsi="宋体"/>
        </w:rPr>
      </w:pPr>
      <w:r>
        <w:rPr>
          <w:rFonts w:ascii="宋体" w:hAnsi="宋体"/>
          <w:spacing w:val="7"/>
        </w:rPr>
        <w:t>（三）同等条件下优先开展医疗保障新政策业务试点；</w:t>
      </w:r>
    </w:p>
    <w:p w14:paraId="54F6B22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rPr>
      </w:pPr>
      <w:r>
        <w:rPr>
          <w:rFonts w:ascii="宋体" w:hAnsi="宋体"/>
          <w:spacing w:val="5"/>
        </w:rPr>
        <w:t>（四）法律法规、规章规定的其他激励措施。</w:t>
      </w:r>
    </w:p>
    <w:p w14:paraId="651AF7A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第二十五条对评定为</w:t>
      </w:r>
      <w:r>
        <w:rPr>
          <w:rFonts w:ascii="宋体" w:hAnsi="宋体" w:eastAsia="Times New Roman" w:cs="Times New Roman"/>
          <w:spacing w:val="6"/>
        </w:rPr>
        <w:t>B</w:t>
      </w:r>
      <w:r>
        <w:rPr>
          <w:rFonts w:ascii="宋体" w:hAnsi="宋体"/>
          <w:spacing w:val="6"/>
        </w:rPr>
        <w:t>级的定点医药机构采取以下激励措</w:t>
      </w:r>
      <w:r>
        <w:rPr>
          <w:rFonts w:ascii="宋体" w:hAnsi="宋体"/>
          <w:spacing w:val="-8"/>
        </w:rPr>
        <w:t>施：</w:t>
      </w:r>
    </w:p>
    <w:p w14:paraId="24EEC71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（一）可适当降低现场检查频次；</w:t>
      </w:r>
    </w:p>
    <w:p w14:paraId="3E4751A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spacing w:val="-1"/>
        </w:rPr>
      </w:pPr>
      <w:r>
        <w:rPr>
          <w:rFonts w:ascii="宋体" w:hAnsi="宋体"/>
          <w:spacing w:val="6"/>
        </w:rPr>
        <w:t>（二）在医保部门官网、“信用中国（重庆）”等网站予以</w:t>
      </w:r>
      <w:r>
        <w:rPr>
          <w:rFonts w:ascii="宋体" w:hAnsi="宋体"/>
          <w:spacing w:val="-1"/>
        </w:rPr>
        <w:t>公示；</w:t>
      </w:r>
    </w:p>
    <w:p w14:paraId="7FE2A468">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（三）法律法规、规章规定的其他激励措施。</w:t>
      </w:r>
    </w:p>
    <w:p w14:paraId="22DD37B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rPr>
      </w:pPr>
      <w:r>
        <w:rPr>
          <w:rFonts w:ascii="宋体" w:hAnsi="宋体"/>
          <w:spacing w:val="5"/>
        </w:rPr>
        <w:t>第二十六条对评定为</w:t>
      </w:r>
      <w:r>
        <w:rPr>
          <w:rFonts w:ascii="宋体" w:hAnsi="宋体" w:eastAsia="Times New Roman" w:cs="Times New Roman"/>
          <w:spacing w:val="5"/>
        </w:rPr>
        <w:t>C</w:t>
      </w:r>
      <w:r>
        <w:rPr>
          <w:rFonts w:ascii="宋体" w:hAnsi="宋体"/>
          <w:spacing w:val="5"/>
        </w:rPr>
        <w:t>级的定点医药机构采取以下措施：</w:t>
      </w:r>
    </w:p>
    <w:p w14:paraId="29756D5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2" w:firstLineChars="200"/>
        <w:jc w:val="both"/>
        <w:textAlignment w:val="baseline"/>
        <w:rPr>
          <w:rFonts w:ascii="宋体" w:hAnsi="宋体"/>
        </w:rPr>
      </w:pPr>
      <w:r>
        <w:rPr>
          <w:rFonts w:ascii="宋体" w:hAnsi="宋体"/>
          <w:spacing w:val="3"/>
        </w:rPr>
        <w:t>（一）按常规开展日常监督检查；</w:t>
      </w:r>
    </w:p>
    <w:p w14:paraId="4B84842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（二）在医保部门官网、“信用中国（重庆）”等网站予以</w:t>
      </w:r>
      <w:r>
        <w:rPr>
          <w:rFonts w:ascii="宋体" w:hAnsi="宋体"/>
          <w:spacing w:val="-1"/>
        </w:rPr>
        <w:t>公示。</w:t>
      </w:r>
    </w:p>
    <w:p w14:paraId="6D74D33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8" w:firstLineChars="200"/>
        <w:jc w:val="both"/>
        <w:textAlignment w:val="baseline"/>
        <w:rPr>
          <w:rFonts w:ascii="宋体" w:hAnsi="宋体"/>
        </w:rPr>
      </w:pPr>
      <w:r>
        <w:rPr>
          <w:rFonts w:ascii="宋体" w:hAnsi="宋体"/>
          <w:spacing w:val="7"/>
        </w:rPr>
        <w:t>第二十七条对评定为</w:t>
      </w:r>
      <w:r>
        <w:rPr>
          <w:rFonts w:ascii="宋体" w:hAnsi="宋体" w:eastAsia="Times New Roman" w:cs="Times New Roman"/>
          <w:spacing w:val="7"/>
        </w:rPr>
        <w:t>D</w:t>
      </w:r>
      <w:r>
        <w:rPr>
          <w:rFonts w:ascii="宋体" w:hAnsi="宋体"/>
          <w:spacing w:val="7"/>
        </w:rPr>
        <w:t>级的定点医药机构</w:t>
      </w:r>
      <w:r>
        <w:rPr>
          <w:rFonts w:ascii="宋体" w:hAnsi="宋体"/>
          <w:spacing w:val="6"/>
        </w:rPr>
        <w:t>采取以下惩戒措</w:t>
      </w:r>
      <w:r>
        <w:rPr>
          <w:rFonts w:ascii="宋体" w:hAnsi="宋体"/>
          <w:spacing w:val="-8"/>
        </w:rPr>
        <w:t>施：</w:t>
      </w:r>
    </w:p>
    <w:p w14:paraId="6C2B2E0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（一）增加抽查频次、加大现场检查力度；</w:t>
      </w:r>
    </w:p>
    <w:p w14:paraId="3C7BEF7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（二）警示约谈有关负责人，要求限期整改；</w:t>
      </w:r>
    </w:p>
    <w:p w14:paraId="16CBAC2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（三）在医保部门官网、“信用中国（重庆）”等网站予以</w:t>
      </w:r>
      <w:r>
        <w:rPr>
          <w:rFonts w:ascii="宋体" w:hAnsi="宋体"/>
          <w:spacing w:val="-1"/>
        </w:rPr>
        <w:t>公示；</w:t>
      </w:r>
    </w:p>
    <w:p w14:paraId="365365B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rPr>
      </w:pPr>
      <w:r>
        <w:rPr>
          <w:rFonts w:ascii="宋体" w:hAnsi="宋体"/>
          <w:spacing w:val="5"/>
        </w:rPr>
        <w:t>（四）法律法规、规章规定的其他惩戒措施。</w:t>
      </w:r>
    </w:p>
    <w:p w14:paraId="6A0AF94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第二十八条对评定为</w:t>
      </w:r>
      <w:r>
        <w:rPr>
          <w:rFonts w:ascii="宋体" w:hAnsi="宋体" w:eastAsia="Times New Roman" w:cs="Times New Roman"/>
          <w:spacing w:val="6"/>
        </w:rPr>
        <w:t>E</w:t>
      </w:r>
      <w:r>
        <w:rPr>
          <w:rFonts w:ascii="宋体" w:hAnsi="宋体"/>
          <w:spacing w:val="6"/>
        </w:rPr>
        <w:t>级的定点医药机构采取以下惩戒措</w:t>
      </w:r>
      <w:r>
        <w:rPr>
          <w:rFonts w:ascii="宋体" w:hAnsi="宋体"/>
          <w:spacing w:val="-8"/>
        </w:rPr>
        <w:t>施：</w:t>
      </w:r>
    </w:p>
    <w:p w14:paraId="086EA50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（一）增加抽查频次，加大现场检查力度；</w:t>
      </w:r>
    </w:p>
    <w:p w14:paraId="7207345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（二）在飞行检查、专项检查时列为重点检查对象，</w:t>
      </w:r>
      <w:r>
        <w:rPr>
          <w:rFonts w:ascii="宋体" w:hAnsi="宋体"/>
          <w:spacing w:val="5"/>
        </w:rPr>
        <w:t>优先列</w:t>
      </w:r>
      <w:r>
        <w:rPr>
          <w:rFonts w:ascii="宋体" w:hAnsi="宋体"/>
          <w:spacing w:val="6"/>
        </w:rPr>
        <w:t>入待抽选机构名单；</w:t>
      </w:r>
    </w:p>
    <w:p w14:paraId="64188A0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（三）警示约谈主要负责人，要求限期整改；</w:t>
      </w:r>
    </w:p>
    <w:p w14:paraId="048C549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32" w:firstLineChars="200"/>
        <w:jc w:val="both"/>
        <w:textAlignment w:val="baseline"/>
        <w:rPr>
          <w:rFonts w:ascii="宋体" w:hAnsi="宋体"/>
        </w:rPr>
      </w:pPr>
      <w:r>
        <w:rPr>
          <w:rFonts w:ascii="宋体" w:hAnsi="宋体"/>
          <w:spacing w:val="3"/>
        </w:rPr>
        <w:t>（四）在医保部门官网、“信用中国（重庆）”等网站予以</w:t>
      </w:r>
      <w:r>
        <w:rPr>
          <w:rFonts w:ascii="宋体" w:hAnsi="宋体"/>
          <w:spacing w:val="-1"/>
        </w:rPr>
        <w:t>公示；</w:t>
      </w:r>
    </w:p>
    <w:p w14:paraId="4C3F224F">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spacing w:val="9"/>
        </w:rPr>
      </w:pPr>
      <w:r>
        <w:rPr>
          <w:rFonts w:ascii="宋体" w:hAnsi="宋体"/>
          <w:spacing w:val="9"/>
        </w:rPr>
        <w:t>（五）不予拨付预付金；</w:t>
      </w:r>
    </w:p>
    <w:p w14:paraId="6DC46F7D">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（六）法律法规、规章规定的其他惩戒措施。</w:t>
      </w:r>
    </w:p>
    <w:p w14:paraId="52A4B83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第二十九条对医师、护士（师）、药师等医药机构相关人</w:t>
      </w:r>
      <w:r>
        <w:rPr>
          <w:rFonts w:ascii="宋体" w:hAnsi="宋体"/>
          <w:spacing w:val="5"/>
        </w:rPr>
        <w:t>员的信用评价结果应用，按照《重庆市定点医药机构相关人员医</w:t>
      </w:r>
      <w:r>
        <w:rPr>
          <w:rFonts w:ascii="宋体" w:hAnsi="宋体"/>
          <w:spacing w:val="8"/>
        </w:rPr>
        <w:t>保支付资格管理实施细则（试行）》（渝医保发〔</w:t>
      </w:r>
      <w:r>
        <w:rPr>
          <w:rFonts w:ascii="宋体" w:hAnsi="宋体" w:eastAsia="Times New Roman" w:cs="Times New Roman"/>
          <w:spacing w:val="8"/>
        </w:rPr>
        <w:t>2025</w:t>
      </w:r>
      <w:r>
        <w:rPr>
          <w:rFonts w:ascii="宋体" w:hAnsi="宋体"/>
          <w:spacing w:val="8"/>
        </w:rPr>
        <w:t>〕</w:t>
      </w:r>
      <w:r>
        <w:rPr>
          <w:rFonts w:ascii="宋体" w:hAnsi="宋体" w:eastAsia="Times New Roman" w:cs="Times New Roman"/>
          <w:spacing w:val="8"/>
        </w:rPr>
        <w:t>7</w:t>
      </w:r>
      <w:r>
        <w:rPr>
          <w:rFonts w:ascii="宋体" w:hAnsi="宋体"/>
          <w:spacing w:val="8"/>
        </w:rPr>
        <w:t>号）</w:t>
      </w:r>
      <w:r>
        <w:rPr>
          <w:rFonts w:ascii="宋体" w:hAnsi="宋体"/>
          <w:spacing w:val="1"/>
        </w:rPr>
        <w:t>执行。</w:t>
      </w:r>
    </w:p>
    <w:p w14:paraId="3115E64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12" w:firstLineChars="200"/>
        <w:jc w:val="both"/>
        <w:textAlignment w:val="baseline"/>
        <w:rPr>
          <w:rFonts w:ascii="宋体" w:hAnsi="宋体"/>
        </w:rPr>
      </w:pPr>
      <w:r>
        <w:rPr>
          <w:rFonts w:ascii="宋体" w:hAnsi="宋体"/>
          <w:spacing w:val="-2"/>
        </w:rPr>
        <w:t>第三十条对评定为</w:t>
      </w:r>
      <w:r>
        <w:rPr>
          <w:rFonts w:ascii="宋体" w:hAnsi="宋体" w:eastAsia="Times New Roman" w:cs="Times New Roman"/>
          <w:spacing w:val="-2"/>
        </w:rPr>
        <w:t>B</w:t>
      </w:r>
      <w:r>
        <w:rPr>
          <w:rFonts w:ascii="宋体" w:hAnsi="宋体"/>
          <w:spacing w:val="-2"/>
        </w:rPr>
        <w:t>级的失信参保人，采取以下惩戒措</w:t>
      </w:r>
      <w:r>
        <w:rPr>
          <w:rFonts w:ascii="宋体" w:hAnsi="宋体"/>
          <w:spacing w:val="-3"/>
        </w:rPr>
        <w:t>施：</w:t>
      </w:r>
    </w:p>
    <w:p w14:paraId="3D90360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（一）对其开展医保法治教育，要求其作出遵守医保</w:t>
      </w:r>
      <w:r>
        <w:rPr>
          <w:rFonts w:ascii="宋体" w:hAnsi="宋体"/>
          <w:spacing w:val="5"/>
        </w:rPr>
        <w:t>基金使</w:t>
      </w:r>
      <w:r>
        <w:rPr>
          <w:rFonts w:ascii="宋体" w:hAnsi="宋体"/>
          <w:spacing w:val="6"/>
        </w:rPr>
        <w:t>用规定的书面承诺；</w:t>
      </w:r>
    </w:p>
    <w:p w14:paraId="3BB132B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（二）法律法规、规章规定的其他措施。</w:t>
      </w:r>
    </w:p>
    <w:p w14:paraId="25DADF3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rPr>
      </w:pPr>
      <w:r>
        <w:rPr>
          <w:rFonts w:ascii="宋体" w:hAnsi="宋体"/>
          <w:spacing w:val="5"/>
        </w:rPr>
        <w:t>第三十一条对评定为</w:t>
      </w:r>
      <w:r>
        <w:rPr>
          <w:rFonts w:ascii="宋体" w:hAnsi="宋体" w:eastAsia="Times New Roman" w:cs="Times New Roman"/>
          <w:spacing w:val="5"/>
        </w:rPr>
        <w:t>C</w:t>
      </w:r>
      <w:r>
        <w:rPr>
          <w:rFonts w:ascii="宋体" w:hAnsi="宋体"/>
          <w:spacing w:val="5"/>
        </w:rPr>
        <w:t>级的失信参保人，采取以下惩戒</w:t>
      </w:r>
      <w:r>
        <w:rPr>
          <w:rFonts w:ascii="宋体" w:hAnsi="宋体"/>
          <w:spacing w:val="-1"/>
        </w:rPr>
        <w:t>措施：</w:t>
      </w:r>
    </w:p>
    <w:p w14:paraId="212380A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（一）对其开展医保法治教育，要求其作出遵守医保</w:t>
      </w:r>
      <w:r>
        <w:rPr>
          <w:rFonts w:ascii="宋体" w:hAnsi="宋体"/>
          <w:spacing w:val="5"/>
        </w:rPr>
        <w:t>基金使用规定的承诺；</w:t>
      </w:r>
    </w:p>
    <w:p w14:paraId="08499D71">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（二）对其历史待遇享受情况、结算情况、待遇享受</w:t>
      </w:r>
      <w:r>
        <w:rPr>
          <w:rFonts w:ascii="宋体" w:hAnsi="宋体"/>
          <w:spacing w:val="5"/>
        </w:rPr>
        <w:t>资格进</w:t>
      </w:r>
      <w:r>
        <w:rPr>
          <w:rFonts w:ascii="宋体" w:hAnsi="宋体"/>
          <w:spacing w:val="8"/>
        </w:rPr>
        <w:t>行重新审核，发现问题依法依规一并处理；</w:t>
      </w:r>
    </w:p>
    <w:p w14:paraId="71DF17F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（三）在法律允许的范围内公开违法、失信信息，</w:t>
      </w:r>
      <w:r>
        <w:rPr>
          <w:rFonts w:ascii="宋体" w:hAnsi="宋体"/>
          <w:spacing w:val="8"/>
        </w:rPr>
        <w:t>将违法、</w:t>
      </w:r>
      <w:r>
        <w:rPr>
          <w:rFonts w:ascii="宋体" w:hAnsi="宋体"/>
          <w:spacing w:val="4"/>
        </w:rPr>
        <w:t>失信情况通报参保单位，属于纪检监察对象的，移交纪检监察部</w:t>
      </w:r>
      <w:r>
        <w:rPr>
          <w:rFonts w:ascii="宋体" w:hAnsi="宋体"/>
          <w:spacing w:val="-12"/>
        </w:rPr>
        <w:t>门；</w:t>
      </w:r>
    </w:p>
    <w:p w14:paraId="529F8C8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rPr>
      </w:pPr>
      <w:r>
        <w:rPr>
          <w:rFonts w:ascii="宋体" w:hAnsi="宋体"/>
          <w:spacing w:val="5"/>
        </w:rPr>
        <w:t>（四）法律法规、规章规定的其他惩戒措施。</w:t>
      </w:r>
    </w:p>
    <w:p w14:paraId="252DB94E">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spacing w:val="-8"/>
        </w:rPr>
      </w:pPr>
      <w:r>
        <w:rPr>
          <w:rFonts w:ascii="宋体" w:hAnsi="宋体"/>
          <w:spacing w:val="5"/>
        </w:rPr>
        <w:t>第三十二条对评定为</w:t>
      </w:r>
      <w:r>
        <w:rPr>
          <w:rFonts w:ascii="宋体" w:hAnsi="宋体" w:eastAsia="Times New Roman" w:cs="Times New Roman"/>
          <w:spacing w:val="5"/>
        </w:rPr>
        <w:t>D</w:t>
      </w:r>
      <w:r>
        <w:rPr>
          <w:rFonts w:ascii="宋体" w:hAnsi="宋体"/>
          <w:spacing w:val="5"/>
        </w:rPr>
        <w:t>级的失信参保人，采取以下惩戒措</w:t>
      </w:r>
      <w:r>
        <w:rPr>
          <w:rFonts w:ascii="宋体" w:hAnsi="宋体"/>
          <w:spacing w:val="-8"/>
        </w:rPr>
        <w:t>施：</w:t>
      </w:r>
    </w:p>
    <w:p w14:paraId="3B2B11C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（一）对其开展医保法治教育，要求其作出遵守医保</w:t>
      </w:r>
      <w:r>
        <w:rPr>
          <w:rFonts w:ascii="宋体" w:hAnsi="宋体"/>
          <w:spacing w:val="5"/>
        </w:rPr>
        <w:t>基金使用规定的承诺；</w:t>
      </w:r>
    </w:p>
    <w:p w14:paraId="3A7551C6">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rPr>
      </w:pPr>
      <w:r>
        <w:rPr>
          <w:rFonts w:ascii="宋体" w:hAnsi="宋体"/>
          <w:spacing w:val="6"/>
        </w:rPr>
        <w:t>（二）对其历史待遇享受情况、结算情况、待遇享受</w:t>
      </w:r>
      <w:r>
        <w:rPr>
          <w:rFonts w:ascii="宋体" w:hAnsi="宋体"/>
          <w:spacing w:val="5"/>
        </w:rPr>
        <w:t>资格进</w:t>
      </w:r>
      <w:r>
        <w:rPr>
          <w:rFonts w:ascii="宋体" w:hAnsi="宋体"/>
          <w:spacing w:val="8"/>
        </w:rPr>
        <w:t>行重新审核，发现问题依法依规一并处理；</w:t>
      </w:r>
    </w:p>
    <w:p w14:paraId="569D0979">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（三）在法律允许的范围内公开违法、失信信息，</w:t>
      </w:r>
      <w:r>
        <w:rPr>
          <w:rFonts w:ascii="宋体" w:hAnsi="宋体"/>
          <w:spacing w:val="8"/>
        </w:rPr>
        <w:t>将违法、</w:t>
      </w:r>
      <w:r>
        <w:rPr>
          <w:rFonts w:ascii="宋体" w:hAnsi="宋体"/>
          <w:spacing w:val="4"/>
        </w:rPr>
        <w:t>失信情况通报参保单位，属于纪检监察对象的，移交纪检监察部</w:t>
      </w:r>
      <w:r>
        <w:rPr>
          <w:rFonts w:ascii="宋体" w:hAnsi="宋体"/>
          <w:spacing w:val="-12"/>
        </w:rPr>
        <w:t>门；</w:t>
      </w:r>
    </w:p>
    <w:p w14:paraId="4E64ED9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0" w:firstLineChars="200"/>
        <w:jc w:val="both"/>
        <w:textAlignment w:val="baseline"/>
        <w:rPr>
          <w:rFonts w:ascii="宋体" w:hAnsi="宋体"/>
        </w:rPr>
      </w:pPr>
      <w:r>
        <w:rPr>
          <w:rFonts w:ascii="宋体" w:hAnsi="宋体"/>
          <w:spacing w:val="5"/>
        </w:rPr>
        <w:t>（四）符合立案条件的，移交公安机关；</w:t>
      </w:r>
    </w:p>
    <w:p w14:paraId="063F8FC2">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56" w:firstLineChars="200"/>
        <w:jc w:val="both"/>
        <w:textAlignment w:val="baseline"/>
        <w:rPr>
          <w:rFonts w:ascii="宋体" w:hAnsi="宋体"/>
        </w:rPr>
      </w:pPr>
      <w:r>
        <w:rPr>
          <w:rFonts w:ascii="宋体" w:hAnsi="宋体"/>
          <w:spacing w:val="9"/>
        </w:rPr>
        <w:t>（五）法律法规、规章规定的其他惩戒措施。</w:t>
      </w:r>
    </w:p>
    <w:p w14:paraId="1822D9A1">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bookmarkStart w:id="0" w:name="_GoBack"/>
      <w:bookmarkEnd w:id="0"/>
    </w:p>
    <w:p w14:paraId="4B113292">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01DBC9EB">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4" w:firstLineChars="200"/>
        <w:jc w:val="both"/>
        <w:textAlignment w:val="baseline"/>
        <w:rPr>
          <w:rFonts w:ascii="宋体" w:hAnsi="宋体" w:eastAsia="方正黑体_GBK" w:cs="方正黑体_GBK"/>
          <w:sz w:val="31"/>
          <w:szCs w:val="31"/>
        </w:rPr>
      </w:pPr>
      <w:r>
        <w:rPr>
          <w:rFonts w:ascii="宋体" w:hAnsi="宋体" w:eastAsia="方正黑体_GBK" w:cs="方正黑体_GBK"/>
          <w:spacing w:val="6"/>
          <w:position w:val="3"/>
          <w:sz w:val="31"/>
          <w:szCs w:val="31"/>
        </w:rPr>
        <w:t>第六章信用修复</w:t>
      </w:r>
    </w:p>
    <w:p w14:paraId="2F53D054">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6A25D733">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0BBF22D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4" w:firstLineChars="200"/>
        <w:jc w:val="both"/>
        <w:textAlignment w:val="baseline"/>
        <w:rPr>
          <w:rFonts w:ascii="宋体" w:hAnsi="宋体"/>
        </w:rPr>
      </w:pPr>
      <w:r>
        <w:rPr>
          <w:rFonts w:ascii="宋体" w:hAnsi="宋体"/>
          <w:spacing w:val="1"/>
        </w:rPr>
        <w:t>第三十三条信用主体对失信行为已进行纠正，按照法律法规、</w:t>
      </w:r>
      <w:r>
        <w:rPr>
          <w:rFonts w:ascii="宋体" w:hAnsi="宋体"/>
          <w:spacing w:val="5"/>
        </w:rPr>
        <w:t>规章履行完毕法定责任或者约定义务，失信行为的不良影响已基本消除，可向作出失信认定的医疗保障部门提出修复申请。失信的信用主体应提供完整、真实、合法的信用修复申请材料，并承</w:t>
      </w:r>
      <w:r>
        <w:rPr>
          <w:rFonts w:ascii="宋体" w:hAnsi="宋体"/>
          <w:spacing w:val="7"/>
        </w:rPr>
        <w:t>诺不再发生失信行为。</w:t>
      </w:r>
    </w:p>
    <w:p w14:paraId="03037C90">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4" w:firstLineChars="200"/>
        <w:jc w:val="both"/>
        <w:textAlignment w:val="baseline"/>
        <w:rPr>
          <w:rFonts w:ascii="宋体" w:hAnsi="宋体"/>
        </w:rPr>
      </w:pPr>
      <w:r>
        <w:rPr>
          <w:rFonts w:ascii="宋体" w:hAnsi="宋体"/>
          <w:spacing w:val="1"/>
        </w:rPr>
        <w:t>第三十四条失信的信用主体有下列情形之一的，不予信用修</w:t>
      </w:r>
      <w:r>
        <w:rPr>
          <w:rFonts w:ascii="宋体" w:hAnsi="宋体"/>
          <w:spacing w:val="-11"/>
        </w:rPr>
        <w:t>复：</w:t>
      </w:r>
    </w:p>
    <w:p w14:paraId="690E4D0B">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72" w:firstLineChars="200"/>
        <w:jc w:val="both"/>
        <w:textAlignment w:val="baseline"/>
        <w:rPr>
          <w:rFonts w:ascii="宋体" w:hAnsi="宋体"/>
        </w:rPr>
      </w:pPr>
      <w:r>
        <w:rPr>
          <w:rFonts w:ascii="宋体" w:hAnsi="宋体"/>
          <w:spacing w:val="13"/>
          <w:position w:val="4"/>
        </w:rPr>
        <w:t>（一）被认定为失信行为之日起未满</w:t>
      </w:r>
      <w:r>
        <w:rPr>
          <w:rFonts w:ascii="宋体" w:hAnsi="宋体" w:eastAsia="Times New Roman" w:cs="Times New Roman"/>
          <w:spacing w:val="13"/>
          <w:position w:val="4"/>
        </w:rPr>
        <w:t>3</w:t>
      </w:r>
      <w:r>
        <w:rPr>
          <w:rFonts w:ascii="宋体" w:hAnsi="宋体"/>
          <w:spacing w:val="13"/>
          <w:position w:val="4"/>
        </w:rPr>
        <w:t>个月的；</w:t>
      </w:r>
    </w:p>
    <w:p w14:paraId="6D263F83">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0" w:firstLineChars="200"/>
        <w:jc w:val="both"/>
        <w:textAlignment w:val="baseline"/>
        <w:rPr>
          <w:rFonts w:ascii="宋体" w:hAnsi="宋体"/>
        </w:rPr>
      </w:pPr>
      <w:r>
        <w:rPr>
          <w:rFonts w:ascii="宋体" w:hAnsi="宋体"/>
          <w:spacing w:val="10"/>
        </w:rPr>
        <w:t>（二）失信信用主体信用修复期限内，再次发生严重失信行</w:t>
      </w:r>
      <w:r>
        <w:rPr>
          <w:rFonts w:ascii="宋体" w:hAnsi="宋体"/>
          <w:spacing w:val="-4"/>
        </w:rPr>
        <w:t>为的；</w:t>
      </w:r>
    </w:p>
    <w:p w14:paraId="40222C25">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60" w:firstLineChars="200"/>
        <w:jc w:val="both"/>
        <w:textAlignment w:val="baseline"/>
        <w:rPr>
          <w:rFonts w:ascii="宋体" w:hAnsi="宋体"/>
        </w:rPr>
      </w:pPr>
      <w:r>
        <w:rPr>
          <w:rFonts w:ascii="宋体" w:hAnsi="宋体"/>
          <w:spacing w:val="10"/>
        </w:rPr>
        <w:t>（三）依法依规暂不适宜实施信用修复的其他失信</w:t>
      </w:r>
      <w:r>
        <w:rPr>
          <w:rFonts w:ascii="宋体" w:hAnsi="宋体"/>
          <w:spacing w:val="9"/>
        </w:rPr>
        <w:t>行为。</w:t>
      </w:r>
    </w:p>
    <w:p w14:paraId="5DC672CA">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76" w:firstLineChars="200"/>
        <w:jc w:val="both"/>
        <w:textAlignment w:val="baseline"/>
        <w:rPr>
          <w:rFonts w:ascii="宋体" w:hAnsi="宋体"/>
        </w:rPr>
      </w:pPr>
      <w:r>
        <w:rPr>
          <w:rFonts w:ascii="宋体" w:hAnsi="宋体"/>
          <w:spacing w:val="14"/>
        </w:rPr>
        <w:t>第三十五条作出失信认定的医疗保障部门应当在受理信用</w:t>
      </w:r>
      <w:r>
        <w:rPr>
          <w:rFonts w:ascii="宋体" w:hAnsi="宋体"/>
          <w:spacing w:val="2"/>
        </w:rPr>
        <w:t>修复申请后</w:t>
      </w:r>
      <w:r>
        <w:rPr>
          <w:rFonts w:ascii="宋体" w:hAnsi="宋体" w:eastAsia="Times New Roman" w:cs="Times New Roman"/>
          <w:spacing w:val="2"/>
        </w:rPr>
        <w:t>15</w:t>
      </w:r>
      <w:r>
        <w:rPr>
          <w:rFonts w:ascii="宋体" w:hAnsi="宋体"/>
          <w:spacing w:val="2"/>
        </w:rPr>
        <w:t>个工作日内作出处理意见，对于符合信用修复条</w:t>
      </w:r>
      <w:r>
        <w:rPr>
          <w:rFonts w:ascii="宋体" w:hAnsi="宋体"/>
          <w:spacing w:val="-7"/>
        </w:rPr>
        <w:t>件的按程序修复，在官方网站进行公示，公示期限为</w:t>
      </w:r>
      <w:r>
        <w:rPr>
          <w:rFonts w:ascii="宋体" w:hAnsi="宋体" w:eastAsia="Times New Roman" w:cs="Times New Roman"/>
          <w:spacing w:val="-7"/>
        </w:rPr>
        <w:t>5</w:t>
      </w:r>
      <w:r>
        <w:rPr>
          <w:rFonts w:ascii="宋体" w:hAnsi="宋体"/>
          <w:spacing w:val="-7"/>
        </w:rPr>
        <w:t>个工作日，</w:t>
      </w:r>
      <w:r>
        <w:rPr>
          <w:rFonts w:ascii="宋体" w:hAnsi="宋体"/>
          <w:spacing w:val="5"/>
        </w:rPr>
        <w:t>公示期满无异议的，予以信用修复，并书面告知申请人。不符合</w:t>
      </w:r>
      <w:r>
        <w:rPr>
          <w:rFonts w:ascii="宋体" w:hAnsi="宋体"/>
          <w:spacing w:val="8"/>
        </w:rPr>
        <w:t>信用修复条件的不予修复，并书面告知申请人。</w:t>
      </w:r>
    </w:p>
    <w:p w14:paraId="6AB21EAD">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77D96BC6">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16" w:firstLineChars="200"/>
        <w:jc w:val="both"/>
        <w:textAlignment w:val="baseline"/>
        <w:rPr>
          <w:rFonts w:ascii="宋体" w:hAnsi="宋体" w:eastAsia="方正黑体_GBK" w:cs="方正黑体_GBK"/>
          <w:sz w:val="31"/>
          <w:szCs w:val="31"/>
        </w:rPr>
      </w:pPr>
      <w:r>
        <w:rPr>
          <w:rFonts w:ascii="宋体" w:hAnsi="宋体" w:eastAsia="方正黑体_GBK" w:cs="方正黑体_GBK"/>
          <w:spacing w:val="-1"/>
          <w:position w:val="3"/>
          <w:sz w:val="31"/>
          <w:szCs w:val="31"/>
        </w:rPr>
        <w:t>第七章附则</w:t>
      </w:r>
    </w:p>
    <w:p w14:paraId="30F24A49">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224BF2FD">
      <w:pPr>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420" w:firstLineChars="200"/>
        <w:jc w:val="both"/>
        <w:textAlignment w:val="baseline"/>
        <w:rPr>
          <w:rFonts w:ascii="宋体" w:hAnsi="宋体"/>
          <w:sz w:val="21"/>
        </w:rPr>
      </w:pPr>
    </w:p>
    <w:p w14:paraId="21D6FCA4">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48" w:firstLineChars="200"/>
        <w:jc w:val="both"/>
        <w:textAlignment w:val="baseline"/>
        <w:rPr>
          <w:rFonts w:ascii="宋体" w:hAnsi="宋体"/>
        </w:rPr>
      </w:pPr>
      <w:r>
        <w:rPr>
          <w:rFonts w:ascii="宋体" w:hAnsi="宋体"/>
          <w:spacing w:val="7"/>
        </w:rPr>
        <w:t>第三十六条本办法由重庆市医疗保障局负责解释。</w:t>
      </w:r>
    </w:p>
    <w:p w14:paraId="3C738607">
      <w:pPr>
        <w:pStyle w:val="2"/>
        <w:keepNext w:val="0"/>
        <w:keepLines w:val="0"/>
        <w:pageBreakBefore w:val="0"/>
        <w:widowControl/>
        <w:kinsoku w:val="0"/>
        <w:wordWrap/>
        <w:overflowPunct/>
        <w:topLinePunct w:val="0"/>
        <w:autoSpaceDE w:val="0"/>
        <w:autoSpaceDN w:val="0"/>
        <w:bidi w:val="0"/>
        <w:adjustRightInd w:val="0"/>
        <w:snapToGrid w:val="0"/>
        <w:spacing w:line="579" w:lineRule="exact"/>
        <w:ind w:left="0" w:right="0" w:firstLine="620" w:firstLineChars="200"/>
        <w:jc w:val="both"/>
        <w:textAlignment w:val="baseline"/>
        <w:rPr>
          <w:rFonts w:ascii="宋体" w:hAnsi="宋体"/>
        </w:rPr>
      </w:pPr>
      <w:r>
        <w:rPr>
          <w:rFonts w:ascii="宋体" w:hAnsi="宋体"/>
          <w:position w:val="4"/>
        </w:rPr>
        <w:t>第三十七条本办法自</w:t>
      </w:r>
      <w:r>
        <w:rPr>
          <w:rFonts w:ascii="宋体" w:hAnsi="宋体" w:eastAsia="Times New Roman" w:cs="Times New Roman"/>
          <w:position w:val="4"/>
        </w:rPr>
        <w:t>2025</w:t>
      </w:r>
      <w:r>
        <w:rPr>
          <w:rFonts w:ascii="宋体" w:hAnsi="宋体"/>
          <w:position w:val="4"/>
        </w:rPr>
        <w:t>年</w:t>
      </w:r>
      <w:r>
        <w:rPr>
          <w:rFonts w:ascii="宋体" w:hAnsi="宋体" w:eastAsia="Times New Roman" w:cs="Times New Roman"/>
          <w:position w:val="4"/>
        </w:rPr>
        <w:t>9</w:t>
      </w:r>
      <w:r>
        <w:rPr>
          <w:rFonts w:ascii="宋体" w:hAnsi="宋体"/>
          <w:position w:val="4"/>
        </w:rPr>
        <w:t>月</w:t>
      </w:r>
      <w:r>
        <w:rPr>
          <w:rFonts w:ascii="宋体" w:hAnsi="宋体" w:eastAsia="Times New Roman" w:cs="Times New Roman"/>
          <w:position w:val="4"/>
        </w:rPr>
        <w:t>1</w:t>
      </w:r>
      <w:r>
        <w:rPr>
          <w:rFonts w:ascii="宋体" w:hAnsi="宋体"/>
          <w:position w:val="4"/>
        </w:rPr>
        <w:t>日起施行。</w:t>
      </w:r>
    </w:p>
    <w:p w14:paraId="22F7653E">
      <w:pPr>
        <w:spacing w:line="290" w:lineRule="auto"/>
        <w:rPr>
          <w:rFonts w:ascii="Arial"/>
          <w:sz w:val="21"/>
        </w:rPr>
      </w:pPr>
    </w:p>
    <w:p w14:paraId="75FA9273">
      <w:pPr>
        <w:spacing w:line="290" w:lineRule="auto"/>
        <w:rPr>
          <w:rFonts w:ascii="Arial"/>
          <w:sz w:val="21"/>
        </w:rPr>
      </w:pPr>
    </w:p>
    <w:p w14:paraId="08FC1151">
      <w:pPr>
        <w:pStyle w:val="2"/>
        <w:spacing w:before="113" w:line="318" w:lineRule="auto"/>
        <w:ind w:left="2085" w:right="143" w:hanging="1417"/>
      </w:pPr>
      <w:r>
        <w:rPr>
          <w:spacing w:val="8"/>
        </w:rPr>
        <w:t>附件：</w:t>
      </w:r>
      <w:r>
        <w:rPr>
          <w:rFonts w:ascii="Times New Roman" w:hAnsi="Times New Roman" w:eastAsia="Times New Roman" w:cs="Times New Roman"/>
          <w:spacing w:val="8"/>
        </w:rPr>
        <w:t>1</w:t>
      </w:r>
      <w:r>
        <w:rPr>
          <w:spacing w:val="8"/>
        </w:rPr>
        <w:t>．重庆市医疗保障定点医疗机构基金监管信用评价</w:t>
      </w:r>
      <w:r>
        <w:rPr>
          <w:spacing w:val="4"/>
        </w:rPr>
        <w:t>指标体系</w:t>
      </w:r>
    </w:p>
    <w:p w14:paraId="2AAFBBB2">
      <w:pPr>
        <w:pStyle w:val="2"/>
        <w:spacing w:before="3" w:line="287" w:lineRule="auto"/>
        <w:ind w:left="2085" w:right="143" w:hanging="493"/>
      </w:pPr>
      <w:r>
        <w:rPr>
          <w:rFonts w:ascii="Times New Roman" w:hAnsi="Times New Roman" w:eastAsia="Times New Roman" w:cs="Times New Roman"/>
          <w:spacing w:val="9"/>
        </w:rPr>
        <w:t>2</w:t>
      </w:r>
      <w:r>
        <w:rPr>
          <w:spacing w:val="9"/>
        </w:rPr>
        <w:t>．重庆市医疗保障定点零售药店基金监管信用评价</w:t>
      </w:r>
      <w:r>
        <w:rPr>
          <w:spacing w:val="4"/>
        </w:rPr>
        <w:t>指标体系</w:t>
      </w:r>
    </w:p>
    <w:p w14:paraId="48A93C08">
      <w:pPr>
        <w:pStyle w:val="2"/>
        <w:spacing w:before="113" w:line="506" w:lineRule="exact"/>
        <w:ind w:left="1598"/>
      </w:pPr>
      <w:r>
        <w:rPr>
          <w:rFonts w:ascii="Times New Roman" w:hAnsi="Times New Roman" w:eastAsia="Times New Roman" w:cs="Times New Roman"/>
          <w:spacing w:val="9"/>
          <w:position w:val="4"/>
        </w:rPr>
        <w:t>3</w:t>
      </w:r>
      <w:r>
        <w:rPr>
          <w:spacing w:val="9"/>
          <w:position w:val="4"/>
        </w:rPr>
        <w:t>．重庆市医药机构相关人员信用评价标准</w:t>
      </w:r>
    </w:p>
    <w:p w14:paraId="2D41D34A">
      <w:pPr>
        <w:pStyle w:val="2"/>
        <w:spacing w:before="94" w:line="507" w:lineRule="exact"/>
        <w:ind w:left="1590"/>
      </w:pPr>
      <w:r>
        <w:rPr>
          <w:rFonts w:ascii="Times New Roman" w:hAnsi="Times New Roman" w:eastAsia="Times New Roman" w:cs="Times New Roman"/>
          <w:spacing w:val="9"/>
          <w:position w:val="4"/>
        </w:rPr>
        <w:t>4</w:t>
      </w:r>
      <w:r>
        <w:rPr>
          <w:spacing w:val="9"/>
          <w:position w:val="4"/>
        </w:rPr>
        <w:t>．重庆市参保人员失信等级评价标准</w:t>
      </w:r>
    </w:p>
    <w:p w14:paraId="7880FD82">
      <w:pPr>
        <w:pStyle w:val="2"/>
        <w:spacing w:before="133" w:line="236" w:lineRule="auto"/>
        <w:ind w:left="1601"/>
      </w:pPr>
      <w:r>
        <w:rPr>
          <w:rFonts w:ascii="Times New Roman" w:hAnsi="Times New Roman" w:eastAsia="Times New Roman" w:cs="Times New Roman"/>
          <w:spacing w:val="9"/>
        </w:rPr>
        <w:t>5</w:t>
      </w:r>
      <w:r>
        <w:rPr>
          <w:spacing w:val="9"/>
        </w:rPr>
        <w:t>．重庆市医疗保障基金监管医药机构信用承诺书</w:t>
      </w:r>
    </w:p>
    <w:p w14:paraId="5D1A16B6">
      <w:pPr>
        <w:pStyle w:val="2"/>
        <w:spacing w:before="114" w:line="507" w:lineRule="exact"/>
        <w:ind w:left="1599"/>
      </w:pPr>
      <w:r>
        <w:rPr>
          <w:rFonts w:ascii="Times New Roman" w:hAnsi="Times New Roman" w:eastAsia="Times New Roman" w:cs="Times New Roman"/>
          <w:spacing w:val="9"/>
          <w:position w:val="4"/>
        </w:rPr>
        <w:t>6</w:t>
      </w:r>
      <w:r>
        <w:rPr>
          <w:spacing w:val="9"/>
          <w:position w:val="4"/>
        </w:rPr>
        <w:t>．重庆市医疗保障基金监管医务人员信用承诺书</w:t>
      </w:r>
    </w:p>
    <w:p w14:paraId="76673513">
      <w:pPr>
        <w:spacing w:line="507" w:lineRule="exact"/>
        <w:sectPr>
          <w:footerReference r:id="rId6" w:type="default"/>
          <w:pgSz w:w="11906" w:h="16839"/>
          <w:pgMar w:top="1431" w:right="1375" w:bottom="1166" w:left="1601" w:header="0" w:footer="800" w:gutter="0"/>
          <w:cols w:space="720" w:num="1"/>
        </w:sectPr>
      </w:pPr>
    </w:p>
    <w:p w14:paraId="1A8DC961">
      <w:pPr>
        <w:spacing w:before="115" w:line="523" w:lineRule="exact"/>
        <w:ind w:left="19"/>
        <w:rPr>
          <w:rFonts w:ascii="Times New Roman" w:hAnsi="Times New Roman" w:eastAsia="Times New Roman" w:cs="Times New Roman"/>
          <w:sz w:val="31"/>
          <w:szCs w:val="31"/>
        </w:rPr>
      </w:pPr>
      <w:r>
        <w:rPr>
          <w:rFonts w:ascii="方正黑体_GBK" w:hAnsi="方正黑体_GBK" w:eastAsia="方正黑体_GBK" w:cs="方正黑体_GBK"/>
          <w:spacing w:val="-5"/>
          <w:position w:val="5"/>
          <w:sz w:val="31"/>
          <w:szCs w:val="31"/>
        </w:rPr>
        <w:t>附件</w:t>
      </w:r>
      <w:r>
        <w:rPr>
          <w:rFonts w:ascii="Times New Roman" w:hAnsi="Times New Roman" w:eastAsia="Times New Roman" w:cs="Times New Roman"/>
          <w:spacing w:val="-5"/>
          <w:position w:val="5"/>
          <w:sz w:val="31"/>
          <w:szCs w:val="31"/>
        </w:rPr>
        <w:t>1</w:t>
      </w:r>
    </w:p>
    <w:p w14:paraId="2C83E3D0">
      <w:pPr>
        <w:spacing w:line="650" w:lineRule="exact"/>
        <w:ind w:left="1643"/>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重庆市医疗保障定点医疗机构基金监管信用评价指标体系</w:t>
      </w:r>
    </w:p>
    <w:p w14:paraId="1502EBDE">
      <w:pPr>
        <w:spacing w:before="201"/>
      </w:pPr>
    </w:p>
    <w:tbl>
      <w:tblPr>
        <w:tblStyle w:val="5"/>
        <w:tblW w:w="13321"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272"/>
        <w:gridCol w:w="910"/>
        <w:gridCol w:w="990"/>
        <w:gridCol w:w="850"/>
        <w:gridCol w:w="3879"/>
        <w:gridCol w:w="4613"/>
      </w:tblGrid>
      <w:tr w14:paraId="4E6BE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807" w:type="dxa"/>
            <w:vAlign w:val="top"/>
          </w:tcPr>
          <w:p w14:paraId="051F36A1">
            <w:pPr>
              <w:spacing w:before="298"/>
              <w:ind w:left="127"/>
              <w:rPr>
                <w:rFonts w:ascii="方正黑体_GBK" w:hAnsi="方正黑体_GBK" w:eastAsia="方正黑体_GBK" w:cs="方正黑体_GBK"/>
                <w:sz w:val="28"/>
                <w:szCs w:val="28"/>
              </w:rPr>
            </w:pPr>
            <w:r>
              <w:rPr>
                <w:rFonts w:ascii="方正黑体_GBK" w:hAnsi="方正黑体_GBK" w:eastAsia="方正黑体_GBK" w:cs="方正黑体_GBK"/>
                <w:spacing w:val="-2"/>
                <w:sz w:val="28"/>
                <w:szCs w:val="28"/>
              </w:rPr>
              <w:t>序号</w:t>
            </w:r>
          </w:p>
        </w:tc>
        <w:tc>
          <w:tcPr>
            <w:tcW w:w="1272" w:type="dxa"/>
            <w:vAlign w:val="top"/>
          </w:tcPr>
          <w:p w14:paraId="47C940AB">
            <w:pPr>
              <w:spacing w:before="97" w:line="229" w:lineRule="auto"/>
              <w:ind w:left="368"/>
              <w:rPr>
                <w:rFonts w:ascii="方正黑体_GBK" w:hAnsi="方正黑体_GBK" w:eastAsia="方正黑体_GBK" w:cs="方正黑体_GBK"/>
                <w:sz w:val="28"/>
                <w:szCs w:val="28"/>
              </w:rPr>
            </w:pPr>
            <w:r>
              <w:rPr>
                <w:rFonts w:ascii="方正黑体_GBK" w:hAnsi="方正黑体_GBK" w:eastAsia="方正黑体_GBK" w:cs="方正黑体_GBK"/>
                <w:spacing w:val="-8"/>
                <w:sz w:val="28"/>
                <w:szCs w:val="28"/>
              </w:rPr>
              <w:t>一级</w:t>
            </w:r>
          </w:p>
          <w:p w14:paraId="69F57A6A">
            <w:pPr>
              <w:spacing w:before="1" w:line="230" w:lineRule="auto"/>
              <w:ind w:left="362"/>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指标</w:t>
            </w:r>
          </w:p>
        </w:tc>
        <w:tc>
          <w:tcPr>
            <w:tcW w:w="910" w:type="dxa"/>
            <w:vAlign w:val="top"/>
          </w:tcPr>
          <w:p w14:paraId="061C598C">
            <w:pPr>
              <w:spacing w:before="97" w:line="229" w:lineRule="auto"/>
              <w:ind w:left="187"/>
              <w:rPr>
                <w:rFonts w:ascii="方正黑体_GBK" w:hAnsi="方正黑体_GBK" w:eastAsia="方正黑体_GBK" w:cs="方正黑体_GBK"/>
                <w:sz w:val="28"/>
                <w:szCs w:val="28"/>
              </w:rPr>
            </w:pPr>
            <w:r>
              <w:rPr>
                <w:rFonts w:ascii="方正黑体_GBK" w:hAnsi="方正黑体_GBK" w:eastAsia="方正黑体_GBK" w:cs="方正黑体_GBK"/>
                <w:spacing w:val="-8"/>
                <w:sz w:val="28"/>
                <w:szCs w:val="28"/>
              </w:rPr>
              <w:t>二级</w:t>
            </w:r>
          </w:p>
          <w:p w14:paraId="1FB02C81">
            <w:pPr>
              <w:spacing w:before="1" w:line="230" w:lineRule="auto"/>
              <w:ind w:left="182"/>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指标</w:t>
            </w:r>
          </w:p>
        </w:tc>
        <w:tc>
          <w:tcPr>
            <w:tcW w:w="990" w:type="dxa"/>
            <w:vAlign w:val="top"/>
          </w:tcPr>
          <w:p w14:paraId="1C6D2285">
            <w:pPr>
              <w:spacing w:before="97" w:line="229" w:lineRule="auto"/>
              <w:ind w:left="232"/>
              <w:rPr>
                <w:rFonts w:ascii="方正黑体_GBK" w:hAnsi="方正黑体_GBK" w:eastAsia="方正黑体_GBK" w:cs="方正黑体_GBK"/>
                <w:sz w:val="28"/>
                <w:szCs w:val="28"/>
              </w:rPr>
            </w:pPr>
            <w:r>
              <w:rPr>
                <w:rFonts w:ascii="方正黑体_GBK" w:hAnsi="方正黑体_GBK" w:eastAsia="方正黑体_GBK" w:cs="方正黑体_GBK"/>
                <w:spacing w:val="-10"/>
                <w:sz w:val="28"/>
                <w:szCs w:val="28"/>
              </w:rPr>
              <w:t>三级</w:t>
            </w:r>
          </w:p>
          <w:p w14:paraId="43E11C3B">
            <w:pPr>
              <w:spacing w:before="1" w:line="230" w:lineRule="auto"/>
              <w:ind w:left="222"/>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指标</w:t>
            </w:r>
          </w:p>
        </w:tc>
        <w:tc>
          <w:tcPr>
            <w:tcW w:w="850" w:type="dxa"/>
            <w:vAlign w:val="top"/>
          </w:tcPr>
          <w:p w14:paraId="63CC3E01">
            <w:pPr>
              <w:spacing w:before="296" w:line="239" w:lineRule="auto"/>
              <w:ind w:left="149"/>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分值</w:t>
            </w:r>
          </w:p>
        </w:tc>
        <w:tc>
          <w:tcPr>
            <w:tcW w:w="3879" w:type="dxa"/>
            <w:vAlign w:val="top"/>
          </w:tcPr>
          <w:p w14:paraId="3905B54A">
            <w:pPr>
              <w:spacing w:before="297"/>
              <w:ind w:left="1387"/>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指标释义</w:t>
            </w:r>
          </w:p>
        </w:tc>
        <w:tc>
          <w:tcPr>
            <w:tcW w:w="4613" w:type="dxa"/>
            <w:vAlign w:val="top"/>
          </w:tcPr>
          <w:p w14:paraId="266349FC">
            <w:pPr>
              <w:spacing w:before="297" w:line="241" w:lineRule="auto"/>
              <w:ind w:left="1755"/>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评分规则</w:t>
            </w:r>
          </w:p>
        </w:tc>
      </w:tr>
      <w:tr w14:paraId="7400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2" w:hRule="atLeast"/>
        </w:trPr>
        <w:tc>
          <w:tcPr>
            <w:tcW w:w="807" w:type="dxa"/>
            <w:vAlign w:val="top"/>
          </w:tcPr>
          <w:p w14:paraId="2E68A12F">
            <w:pPr>
              <w:spacing w:line="245" w:lineRule="auto"/>
              <w:rPr>
                <w:rFonts w:ascii="Arial"/>
                <w:sz w:val="21"/>
              </w:rPr>
            </w:pPr>
          </w:p>
          <w:p w14:paraId="1013628D">
            <w:pPr>
              <w:spacing w:line="245" w:lineRule="auto"/>
              <w:rPr>
                <w:rFonts w:ascii="Arial"/>
                <w:sz w:val="21"/>
              </w:rPr>
            </w:pPr>
          </w:p>
          <w:p w14:paraId="1A446834">
            <w:pPr>
              <w:spacing w:line="245" w:lineRule="auto"/>
              <w:rPr>
                <w:rFonts w:ascii="Arial"/>
                <w:sz w:val="21"/>
              </w:rPr>
            </w:pPr>
          </w:p>
          <w:p w14:paraId="15F0B133">
            <w:pPr>
              <w:spacing w:line="245" w:lineRule="auto"/>
              <w:rPr>
                <w:rFonts w:ascii="Arial"/>
                <w:sz w:val="21"/>
              </w:rPr>
            </w:pPr>
          </w:p>
          <w:p w14:paraId="351CF2D0">
            <w:pPr>
              <w:spacing w:before="69" w:line="315" w:lineRule="exact"/>
              <w:ind w:left="36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1</w:t>
            </w:r>
          </w:p>
        </w:tc>
        <w:tc>
          <w:tcPr>
            <w:tcW w:w="1272" w:type="dxa"/>
            <w:vMerge w:val="restart"/>
            <w:tcBorders>
              <w:bottom w:val="nil"/>
            </w:tcBorders>
            <w:vAlign w:val="top"/>
          </w:tcPr>
          <w:p w14:paraId="01F02D2A">
            <w:pPr>
              <w:spacing w:line="247" w:lineRule="auto"/>
              <w:rPr>
                <w:rFonts w:ascii="Arial"/>
                <w:sz w:val="21"/>
              </w:rPr>
            </w:pPr>
          </w:p>
          <w:p w14:paraId="50268F17">
            <w:pPr>
              <w:spacing w:line="247" w:lineRule="auto"/>
              <w:rPr>
                <w:rFonts w:ascii="Arial"/>
                <w:sz w:val="21"/>
              </w:rPr>
            </w:pPr>
          </w:p>
          <w:p w14:paraId="61972FBC">
            <w:pPr>
              <w:spacing w:line="247" w:lineRule="auto"/>
              <w:rPr>
                <w:rFonts w:ascii="Arial"/>
                <w:sz w:val="21"/>
              </w:rPr>
            </w:pPr>
          </w:p>
          <w:p w14:paraId="70819AE7">
            <w:pPr>
              <w:spacing w:line="248" w:lineRule="auto"/>
              <w:rPr>
                <w:rFonts w:ascii="Arial"/>
                <w:sz w:val="21"/>
              </w:rPr>
            </w:pPr>
          </w:p>
          <w:p w14:paraId="18C3E2FA">
            <w:pPr>
              <w:spacing w:line="248" w:lineRule="auto"/>
              <w:rPr>
                <w:rFonts w:ascii="Arial"/>
                <w:sz w:val="21"/>
              </w:rPr>
            </w:pPr>
          </w:p>
          <w:p w14:paraId="5927AC8C">
            <w:pPr>
              <w:spacing w:line="248" w:lineRule="auto"/>
              <w:rPr>
                <w:rFonts w:ascii="Arial"/>
                <w:sz w:val="21"/>
              </w:rPr>
            </w:pPr>
          </w:p>
          <w:p w14:paraId="52FC5653">
            <w:pPr>
              <w:spacing w:line="248" w:lineRule="auto"/>
              <w:rPr>
                <w:rFonts w:ascii="Arial"/>
                <w:sz w:val="21"/>
              </w:rPr>
            </w:pPr>
          </w:p>
          <w:p w14:paraId="7499E07E">
            <w:pPr>
              <w:spacing w:line="248" w:lineRule="auto"/>
              <w:rPr>
                <w:rFonts w:ascii="Arial"/>
                <w:sz w:val="21"/>
              </w:rPr>
            </w:pPr>
          </w:p>
          <w:p w14:paraId="0E652C16">
            <w:pPr>
              <w:pStyle w:val="6"/>
              <w:spacing w:before="88" w:line="231" w:lineRule="auto"/>
              <w:ind w:left="171"/>
            </w:pPr>
            <w:r>
              <w:rPr>
                <w:spacing w:val="-5"/>
              </w:rPr>
              <w:t>协议管理</w:t>
            </w:r>
          </w:p>
        </w:tc>
        <w:tc>
          <w:tcPr>
            <w:tcW w:w="910" w:type="dxa"/>
            <w:vMerge w:val="restart"/>
            <w:tcBorders>
              <w:bottom w:val="nil"/>
            </w:tcBorders>
            <w:vAlign w:val="top"/>
          </w:tcPr>
          <w:p w14:paraId="6CE73640">
            <w:pPr>
              <w:spacing w:line="254" w:lineRule="auto"/>
              <w:rPr>
                <w:rFonts w:ascii="Arial"/>
                <w:sz w:val="21"/>
              </w:rPr>
            </w:pPr>
          </w:p>
          <w:p w14:paraId="34EEED5D">
            <w:pPr>
              <w:spacing w:line="254" w:lineRule="auto"/>
              <w:rPr>
                <w:rFonts w:ascii="Arial"/>
                <w:sz w:val="21"/>
              </w:rPr>
            </w:pPr>
          </w:p>
          <w:p w14:paraId="76967C3E">
            <w:pPr>
              <w:spacing w:line="254" w:lineRule="auto"/>
              <w:rPr>
                <w:rFonts w:ascii="Arial"/>
                <w:sz w:val="21"/>
              </w:rPr>
            </w:pPr>
          </w:p>
          <w:p w14:paraId="39CA8B9C">
            <w:pPr>
              <w:spacing w:line="255" w:lineRule="auto"/>
              <w:rPr>
                <w:rFonts w:ascii="Arial"/>
                <w:sz w:val="21"/>
              </w:rPr>
            </w:pPr>
          </w:p>
          <w:p w14:paraId="2D6904C8">
            <w:pPr>
              <w:spacing w:line="255" w:lineRule="auto"/>
              <w:rPr>
                <w:rFonts w:ascii="Arial"/>
                <w:sz w:val="21"/>
              </w:rPr>
            </w:pPr>
          </w:p>
          <w:p w14:paraId="4F4D4597">
            <w:pPr>
              <w:spacing w:line="255" w:lineRule="auto"/>
              <w:rPr>
                <w:rFonts w:ascii="Arial"/>
                <w:sz w:val="21"/>
              </w:rPr>
            </w:pPr>
          </w:p>
          <w:p w14:paraId="34FF4D55">
            <w:pPr>
              <w:spacing w:line="255" w:lineRule="auto"/>
              <w:rPr>
                <w:rFonts w:ascii="Arial"/>
                <w:sz w:val="21"/>
              </w:rPr>
            </w:pPr>
          </w:p>
          <w:p w14:paraId="22F40F09">
            <w:pPr>
              <w:pStyle w:val="6"/>
              <w:spacing w:before="88" w:line="237" w:lineRule="auto"/>
              <w:ind w:left="227"/>
            </w:pPr>
            <w:r>
              <w:rPr>
                <w:spacing w:val="-8"/>
              </w:rPr>
              <w:t>基础</w:t>
            </w:r>
          </w:p>
          <w:p w14:paraId="796220CD">
            <w:pPr>
              <w:pStyle w:val="6"/>
              <w:spacing w:before="53" w:line="231" w:lineRule="auto"/>
              <w:ind w:left="234"/>
            </w:pPr>
            <w:r>
              <w:rPr>
                <w:spacing w:val="-12"/>
              </w:rPr>
              <w:t>管理</w:t>
            </w:r>
          </w:p>
        </w:tc>
        <w:tc>
          <w:tcPr>
            <w:tcW w:w="990" w:type="dxa"/>
            <w:vAlign w:val="top"/>
          </w:tcPr>
          <w:p w14:paraId="2EE29A32">
            <w:pPr>
              <w:spacing w:line="261" w:lineRule="auto"/>
              <w:rPr>
                <w:rFonts w:ascii="Arial"/>
                <w:sz w:val="21"/>
              </w:rPr>
            </w:pPr>
          </w:p>
          <w:p w14:paraId="5967C43B">
            <w:pPr>
              <w:spacing w:line="261" w:lineRule="auto"/>
              <w:rPr>
                <w:rFonts w:ascii="Arial"/>
                <w:sz w:val="21"/>
              </w:rPr>
            </w:pPr>
          </w:p>
          <w:p w14:paraId="1507409E">
            <w:pPr>
              <w:spacing w:line="261" w:lineRule="auto"/>
              <w:rPr>
                <w:rFonts w:ascii="Arial"/>
                <w:sz w:val="21"/>
              </w:rPr>
            </w:pPr>
          </w:p>
          <w:p w14:paraId="605BFE68">
            <w:pPr>
              <w:pStyle w:val="6"/>
              <w:spacing w:before="88" w:line="234" w:lineRule="auto"/>
              <w:ind w:left="278"/>
            </w:pPr>
            <w:r>
              <w:rPr>
                <w:spacing w:val="-14"/>
              </w:rPr>
              <w:t>变更</w:t>
            </w:r>
          </w:p>
          <w:p w14:paraId="5C5B93C7">
            <w:pPr>
              <w:pStyle w:val="6"/>
              <w:spacing w:before="59" w:line="233" w:lineRule="auto"/>
              <w:ind w:left="304"/>
            </w:pPr>
            <w:r>
              <w:rPr>
                <w:spacing w:val="-27"/>
              </w:rPr>
              <w:t>申请</w:t>
            </w:r>
          </w:p>
        </w:tc>
        <w:tc>
          <w:tcPr>
            <w:tcW w:w="850" w:type="dxa"/>
            <w:vAlign w:val="top"/>
          </w:tcPr>
          <w:p w14:paraId="0DC5D649">
            <w:pPr>
              <w:spacing w:line="245" w:lineRule="auto"/>
              <w:rPr>
                <w:rFonts w:ascii="Arial"/>
                <w:sz w:val="21"/>
              </w:rPr>
            </w:pPr>
          </w:p>
          <w:p w14:paraId="51EE4F16">
            <w:pPr>
              <w:spacing w:line="245" w:lineRule="auto"/>
              <w:rPr>
                <w:rFonts w:ascii="Arial"/>
                <w:sz w:val="21"/>
              </w:rPr>
            </w:pPr>
          </w:p>
          <w:p w14:paraId="5FB52214">
            <w:pPr>
              <w:spacing w:line="245" w:lineRule="auto"/>
              <w:rPr>
                <w:rFonts w:ascii="Arial"/>
                <w:sz w:val="21"/>
              </w:rPr>
            </w:pPr>
          </w:p>
          <w:p w14:paraId="3E047970">
            <w:pPr>
              <w:spacing w:line="245" w:lineRule="auto"/>
              <w:rPr>
                <w:rFonts w:ascii="Arial"/>
                <w:sz w:val="21"/>
              </w:rPr>
            </w:pPr>
          </w:p>
          <w:p w14:paraId="4A640634">
            <w:pPr>
              <w:spacing w:before="69" w:line="315" w:lineRule="exact"/>
              <w:ind w:left="3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3879" w:type="dxa"/>
            <w:vAlign w:val="top"/>
          </w:tcPr>
          <w:p w14:paraId="191EDD45">
            <w:pPr>
              <w:pStyle w:val="6"/>
              <w:spacing w:before="77" w:line="266" w:lineRule="auto"/>
              <w:ind w:left="116" w:right="104" w:firstLine="27"/>
            </w:pPr>
            <w:r>
              <w:rPr>
                <w:spacing w:val="1"/>
              </w:rPr>
              <w:t>医疗机构名称、法定代表人、主要</w:t>
            </w:r>
            <w:r>
              <w:rPr>
                <w:spacing w:val="3"/>
              </w:rPr>
              <w:t>负责人或实际控制人、注册地址、</w:t>
            </w:r>
            <w:r>
              <w:rPr>
                <w:spacing w:val="-1"/>
              </w:rPr>
              <w:t>银行账户、诊疗科目、机构规模、</w:t>
            </w:r>
            <w:r>
              <w:rPr>
                <w:spacing w:val="3"/>
              </w:rPr>
              <w:t>机构性质、等级和类别等重大信息</w:t>
            </w:r>
            <w:r>
              <w:t>变更时，及时向属地医保部门提供</w:t>
            </w:r>
            <w:r>
              <w:rPr>
                <w:spacing w:val="-6"/>
              </w:rPr>
              <w:t>相关材料备案，申请变更。</w:t>
            </w:r>
          </w:p>
        </w:tc>
        <w:tc>
          <w:tcPr>
            <w:tcW w:w="4613" w:type="dxa"/>
            <w:vAlign w:val="top"/>
          </w:tcPr>
          <w:p w14:paraId="4EFA62FA">
            <w:pPr>
              <w:spacing w:line="366" w:lineRule="auto"/>
              <w:rPr>
                <w:rFonts w:ascii="Arial"/>
                <w:sz w:val="21"/>
              </w:rPr>
            </w:pPr>
          </w:p>
          <w:p w14:paraId="3E7809E8">
            <w:pPr>
              <w:pStyle w:val="6"/>
              <w:spacing w:before="88" w:line="258" w:lineRule="auto"/>
              <w:ind w:left="121" w:right="107" w:firstLine="12"/>
            </w:pPr>
            <w:r>
              <w:rPr>
                <w:rFonts w:ascii="Times New Roman" w:hAnsi="Times New Roman" w:eastAsia="Times New Roman" w:cs="Times New Roman"/>
                <w:spacing w:val="-4"/>
              </w:rPr>
              <w:t>1</w:t>
            </w:r>
            <w:r>
              <w:rPr>
                <w:spacing w:val="-4"/>
              </w:rPr>
              <w:t>．规定时间内完成变更备案或当年无变更</w:t>
            </w:r>
            <w:r>
              <w:rPr>
                <w:spacing w:val="-3"/>
              </w:rPr>
              <w:t>信息，得满分；</w:t>
            </w:r>
          </w:p>
          <w:p w14:paraId="219F4AC9">
            <w:pPr>
              <w:pStyle w:val="6"/>
              <w:spacing w:before="45" w:line="267" w:lineRule="auto"/>
              <w:ind w:left="121" w:right="109" w:hanging="10"/>
            </w:pPr>
            <w:r>
              <w:rPr>
                <w:rFonts w:ascii="Times New Roman" w:hAnsi="Times New Roman" w:eastAsia="Times New Roman" w:cs="Times New Roman"/>
                <w:spacing w:val="-3"/>
              </w:rPr>
              <w:t>2</w:t>
            </w:r>
            <w:r>
              <w:rPr>
                <w:spacing w:val="-3"/>
              </w:rPr>
              <w:t>．变更后未按照相关规定进行变更备案，</w:t>
            </w:r>
            <w:r>
              <w:rPr>
                <w:spacing w:val="-6"/>
              </w:rPr>
              <w:t>发现一次扣</w:t>
            </w:r>
            <w:r>
              <w:rPr>
                <w:rFonts w:ascii="Times New Roman" w:hAnsi="Times New Roman" w:eastAsia="Times New Roman" w:cs="Times New Roman"/>
                <w:spacing w:val="-6"/>
              </w:rPr>
              <w:t>1</w:t>
            </w:r>
            <w:r>
              <w:rPr>
                <w:spacing w:val="-6"/>
              </w:rPr>
              <w:t>分，扣完为止。</w:t>
            </w:r>
          </w:p>
        </w:tc>
      </w:tr>
      <w:tr w14:paraId="7E5E9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807" w:type="dxa"/>
            <w:vAlign w:val="top"/>
          </w:tcPr>
          <w:p w14:paraId="157824E1">
            <w:pPr>
              <w:spacing w:line="258" w:lineRule="auto"/>
              <w:rPr>
                <w:rFonts w:ascii="Arial"/>
                <w:sz w:val="21"/>
              </w:rPr>
            </w:pPr>
          </w:p>
          <w:p w14:paraId="6C7AF7BF">
            <w:pPr>
              <w:spacing w:line="258" w:lineRule="auto"/>
              <w:rPr>
                <w:rFonts w:ascii="Arial"/>
                <w:sz w:val="21"/>
              </w:rPr>
            </w:pPr>
          </w:p>
          <w:p w14:paraId="62BB82B8">
            <w:pPr>
              <w:spacing w:line="258" w:lineRule="auto"/>
              <w:rPr>
                <w:rFonts w:ascii="Arial"/>
                <w:sz w:val="21"/>
              </w:rPr>
            </w:pPr>
          </w:p>
          <w:p w14:paraId="24CE3815">
            <w:pPr>
              <w:spacing w:before="69" w:line="315" w:lineRule="exact"/>
              <w:ind w:left="34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1272" w:type="dxa"/>
            <w:vMerge w:val="continue"/>
            <w:tcBorders>
              <w:top w:val="nil"/>
            </w:tcBorders>
            <w:vAlign w:val="top"/>
          </w:tcPr>
          <w:p w14:paraId="252537B2">
            <w:pPr>
              <w:rPr>
                <w:rFonts w:ascii="Arial"/>
                <w:sz w:val="21"/>
              </w:rPr>
            </w:pPr>
          </w:p>
        </w:tc>
        <w:tc>
          <w:tcPr>
            <w:tcW w:w="910" w:type="dxa"/>
            <w:vMerge w:val="continue"/>
            <w:tcBorders>
              <w:top w:val="nil"/>
            </w:tcBorders>
            <w:vAlign w:val="top"/>
          </w:tcPr>
          <w:p w14:paraId="3435DB55">
            <w:pPr>
              <w:rPr>
                <w:rFonts w:ascii="Arial"/>
                <w:sz w:val="21"/>
              </w:rPr>
            </w:pPr>
          </w:p>
        </w:tc>
        <w:tc>
          <w:tcPr>
            <w:tcW w:w="990" w:type="dxa"/>
            <w:vAlign w:val="top"/>
          </w:tcPr>
          <w:p w14:paraId="7CA1AF7C">
            <w:pPr>
              <w:spacing w:line="289" w:lineRule="auto"/>
              <w:rPr>
                <w:rFonts w:ascii="Arial"/>
                <w:sz w:val="21"/>
              </w:rPr>
            </w:pPr>
          </w:p>
          <w:p w14:paraId="2B39E930">
            <w:pPr>
              <w:spacing w:line="289" w:lineRule="auto"/>
              <w:rPr>
                <w:rFonts w:ascii="Arial"/>
                <w:sz w:val="21"/>
              </w:rPr>
            </w:pPr>
          </w:p>
          <w:p w14:paraId="287938A0">
            <w:pPr>
              <w:pStyle w:val="6"/>
              <w:spacing w:before="88" w:line="235" w:lineRule="auto"/>
              <w:ind w:left="273"/>
            </w:pPr>
            <w:r>
              <w:rPr>
                <w:spacing w:val="-11"/>
              </w:rPr>
              <w:t>配合</w:t>
            </w:r>
          </w:p>
          <w:p w14:paraId="374682A0">
            <w:pPr>
              <w:pStyle w:val="6"/>
              <w:spacing w:before="57" w:line="231" w:lineRule="auto"/>
              <w:ind w:left="269"/>
            </w:pPr>
            <w:r>
              <w:rPr>
                <w:spacing w:val="-9"/>
              </w:rPr>
              <w:t>监管</w:t>
            </w:r>
          </w:p>
        </w:tc>
        <w:tc>
          <w:tcPr>
            <w:tcW w:w="850" w:type="dxa"/>
            <w:vAlign w:val="top"/>
          </w:tcPr>
          <w:p w14:paraId="180A2201">
            <w:pPr>
              <w:spacing w:line="258" w:lineRule="auto"/>
              <w:rPr>
                <w:rFonts w:ascii="Arial"/>
                <w:sz w:val="21"/>
              </w:rPr>
            </w:pPr>
          </w:p>
          <w:p w14:paraId="03C3BCC1">
            <w:pPr>
              <w:spacing w:line="258" w:lineRule="auto"/>
              <w:rPr>
                <w:rFonts w:ascii="Arial"/>
                <w:sz w:val="21"/>
              </w:rPr>
            </w:pPr>
          </w:p>
          <w:p w14:paraId="30D03212">
            <w:pPr>
              <w:spacing w:line="258" w:lineRule="auto"/>
              <w:rPr>
                <w:rFonts w:ascii="Arial"/>
                <w:sz w:val="21"/>
              </w:rPr>
            </w:pPr>
          </w:p>
          <w:p w14:paraId="662F0FDA">
            <w:pPr>
              <w:spacing w:before="69" w:line="315" w:lineRule="exact"/>
              <w:ind w:left="3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3879" w:type="dxa"/>
            <w:vAlign w:val="top"/>
          </w:tcPr>
          <w:p w14:paraId="05F5A6D9">
            <w:pPr>
              <w:spacing w:line="380" w:lineRule="auto"/>
              <w:rPr>
                <w:rFonts w:ascii="Arial"/>
                <w:sz w:val="21"/>
              </w:rPr>
            </w:pPr>
          </w:p>
          <w:p w14:paraId="652D6AC3">
            <w:pPr>
              <w:pStyle w:val="6"/>
              <w:spacing w:before="88" w:line="276" w:lineRule="auto"/>
              <w:ind w:left="118" w:right="169" w:firstLine="6"/>
              <w:jc w:val="both"/>
            </w:pPr>
            <w:r>
              <w:rPr>
                <w:spacing w:val="-2"/>
              </w:rPr>
              <w:t>配合属地医保部门或委托第三方的</w:t>
            </w:r>
            <w:r>
              <w:rPr>
                <w:spacing w:val="-1"/>
              </w:rPr>
              <w:t>监督检查，并准确、完整提供医疗</w:t>
            </w:r>
            <w:r>
              <w:rPr>
                <w:spacing w:val="-2"/>
              </w:rPr>
              <w:t>服务有关的材料和数据。</w:t>
            </w:r>
          </w:p>
        </w:tc>
        <w:tc>
          <w:tcPr>
            <w:tcW w:w="4613" w:type="dxa"/>
            <w:vAlign w:val="top"/>
          </w:tcPr>
          <w:p w14:paraId="273FF0D2">
            <w:pPr>
              <w:pStyle w:val="6"/>
              <w:spacing w:before="48" w:line="256" w:lineRule="auto"/>
              <w:ind w:left="129" w:right="107" w:firstLine="4"/>
            </w:pPr>
            <w:r>
              <w:rPr>
                <w:rFonts w:ascii="Times New Roman" w:hAnsi="Times New Roman" w:eastAsia="Times New Roman" w:cs="Times New Roman"/>
                <w:spacing w:val="-4"/>
              </w:rPr>
              <w:t>1</w:t>
            </w:r>
            <w:r>
              <w:rPr>
                <w:spacing w:val="-4"/>
              </w:rPr>
              <w:t>．配合监督检查提供真实、完整、准确的资料，得满分；</w:t>
            </w:r>
          </w:p>
          <w:p w14:paraId="2D5ED2D1">
            <w:pPr>
              <w:pStyle w:val="6"/>
              <w:spacing w:before="49" w:line="262" w:lineRule="auto"/>
              <w:ind w:left="131" w:right="107" w:hanging="20"/>
            </w:pPr>
            <w:r>
              <w:rPr>
                <w:rFonts w:ascii="Times New Roman" w:hAnsi="Times New Roman" w:eastAsia="Times New Roman" w:cs="Times New Roman"/>
                <w:spacing w:val="-3"/>
              </w:rPr>
              <w:t>2</w:t>
            </w:r>
            <w:r>
              <w:rPr>
                <w:spacing w:val="-3"/>
              </w:rPr>
              <w:t>．提供资料不及时、不完整、不准确或无</w:t>
            </w:r>
            <w:r>
              <w:t>法按照规定提供医保监管信息资料，发现</w:t>
            </w:r>
            <w:r>
              <w:rPr>
                <w:spacing w:val="-8"/>
              </w:rPr>
              <w:t>一次扣</w:t>
            </w:r>
            <w:r>
              <w:rPr>
                <w:rFonts w:ascii="Times New Roman" w:hAnsi="Times New Roman" w:eastAsia="Times New Roman" w:cs="Times New Roman"/>
                <w:spacing w:val="-8"/>
              </w:rPr>
              <w:t>1</w:t>
            </w:r>
            <w:r>
              <w:rPr>
                <w:spacing w:val="-8"/>
              </w:rPr>
              <w:t>分，扣完为止。</w:t>
            </w:r>
          </w:p>
        </w:tc>
      </w:tr>
    </w:tbl>
    <w:p w14:paraId="06BD0822">
      <w:pPr>
        <w:rPr>
          <w:rFonts w:ascii="Arial"/>
          <w:sz w:val="21"/>
        </w:rPr>
      </w:pPr>
    </w:p>
    <w:p w14:paraId="63831CD0">
      <w:pPr>
        <w:rPr>
          <w:rFonts w:ascii="Arial" w:hAnsi="Arial" w:eastAsia="Arial" w:cs="Arial"/>
          <w:sz w:val="21"/>
          <w:szCs w:val="21"/>
        </w:rPr>
        <w:sectPr>
          <w:footerReference r:id="rId7" w:type="default"/>
          <w:pgSz w:w="16839" w:h="11906"/>
          <w:pgMar w:top="1012" w:right="1756" w:bottom="1166" w:left="1599" w:header="0" w:footer="798" w:gutter="0"/>
          <w:cols w:space="720" w:num="1"/>
        </w:sectPr>
      </w:pPr>
    </w:p>
    <w:tbl>
      <w:tblPr>
        <w:tblStyle w:val="5"/>
        <w:tblW w:w="13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272"/>
        <w:gridCol w:w="910"/>
        <w:gridCol w:w="990"/>
        <w:gridCol w:w="850"/>
        <w:gridCol w:w="3879"/>
        <w:gridCol w:w="4613"/>
      </w:tblGrid>
      <w:tr w14:paraId="2C4EB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07" w:type="dxa"/>
            <w:vAlign w:val="top"/>
          </w:tcPr>
          <w:p w14:paraId="03E150FB">
            <w:pPr>
              <w:spacing w:line="293" w:lineRule="auto"/>
              <w:rPr>
                <w:rFonts w:ascii="Arial"/>
                <w:sz w:val="21"/>
              </w:rPr>
            </w:pPr>
          </w:p>
          <w:p w14:paraId="318E8619">
            <w:pPr>
              <w:spacing w:line="293" w:lineRule="auto"/>
              <w:rPr>
                <w:rFonts w:ascii="Arial"/>
                <w:sz w:val="21"/>
              </w:rPr>
            </w:pPr>
          </w:p>
          <w:p w14:paraId="6C1B0C8A">
            <w:pPr>
              <w:spacing w:line="293" w:lineRule="auto"/>
              <w:rPr>
                <w:rFonts w:ascii="Arial"/>
                <w:sz w:val="21"/>
              </w:rPr>
            </w:pPr>
          </w:p>
          <w:p w14:paraId="3285D9AF">
            <w:pPr>
              <w:spacing w:line="294" w:lineRule="auto"/>
              <w:rPr>
                <w:rFonts w:ascii="Arial"/>
                <w:sz w:val="21"/>
              </w:rPr>
            </w:pPr>
          </w:p>
          <w:p w14:paraId="3E6FE1B5">
            <w:pPr>
              <w:spacing w:before="69" w:line="315" w:lineRule="exact"/>
              <w:ind w:left="34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1272" w:type="dxa"/>
            <w:vMerge w:val="restart"/>
            <w:tcBorders>
              <w:bottom w:val="nil"/>
            </w:tcBorders>
            <w:vAlign w:val="top"/>
          </w:tcPr>
          <w:p w14:paraId="748D37B3">
            <w:pPr>
              <w:rPr>
                <w:rFonts w:ascii="Arial"/>
                <w:sz w:val="21"/>
              </w:rPr>
            </w:pPr>
          </w:p>
        </w:tc>
        <w:tc>
          <w:tcPr>
            <w:tcW w:w="910" w:type="dxa"/>
            <w:vAlign w:val="top"/>
          </w:tcPr>
          <w:p w14:paraId="1F47ABA7">
            <w:pPr>
              <w:spacing w:line="244" w:lineRule="auto"/>
              <w:rPr>
                <w:rFonts w:ascii="Arial"/>
                <w:sz w:val="21"/>
              </w:rPr>
            </w:pPr>
          </w:p>
          <w:p w14:paraId="143BAD3E">
            <w:pPr>
              <w:spacing w:line="244" w:lineRule="auto"/>
              <w:rPr>
                <w:rFonts w:ascii="Arial"/>
                <w:sz w:val="21"/>
              </w:rPr>
            </w:pPr>
          </w:p>
          <w:p w14:paraId="18BE775E">
            <w:pPr>
              <w:spacing w:line="244" w:lineRule="auto"/>
              <w:rPr>
                <w:rFonts w:ascii="Arial"/>
                <w:sz w:val="21"/>
              </w:rPr>
            </w:pPr>
          </w:p>
          <w:p w14:paraId="7DA82993">
            <w:pPr>
              <w:spacing w:line="244" w:lineRule="auto"/>
              <w:rPr>
                <w:rFonts w:ascii="Arial"/>
                <w:sz w:val="21"/>
              </w:rPr>
            </w:pPr>
          </w:p>
          <w:p w14:paraId="04DCF12A">
            <w:pPr>
              <w:pStyle w:val="6"/>
              <w:spacing w:before="88" w:line="234" w:lineRule="auto"/>
              <w:ind w:left="243"/>
            </w:pPr>
            <w:r>
              <w:rPr>
                <w:spacing w:val="-16"/>
              </w:rPr>
              <w:t>系统</w:t>
            </w:r>
          </w:p>
          <w:p w14:paraId="61F73E99">
            <w:pPr>
              <w:pStyle w:val="6"/>
              <w:spacing w:before="59" w:line="231" w:lineRule="auto"/>
              <w:ind w:left="234"/>
            </w:pPr>
            <w:r>
              <w:rPr>
                <w:spacing w:val="-12"/>
              </w:rPr>
              <w:t>管理</w:t>
            </w:r>
          </w:p>
        </w:tc>
        <w:tc>
          <w:tcPr>
            <w:tcW w:w="990" w:type="dxa"/>
            <w:vAlign w:val="top"/>
          </w:tcPr>
          <w:p w14:paraId="2D978CEA">
            <w:pPr>
              <w:spacing w:line="244" w:lineRule="auto"/>
              <w:rPr>
                <w:rFonts w:ascii="Arial"/>
                <w:sz w:val="21"/>
              </w:rPr>
            </w:pPr>
          </w:p>
          <w:p w14:paraId="6948CCFF">
            <w:pPr>
              <w:spacing w:line="244" w:lineRule="auto"/>
              <w:rPr>
                <w:rFonts w:ascii="Arial"/>
                <w:sz w:val="21"/>
              </w:rPr>
            </w:pPr>
          </w:p>
          <w:p w14:paraId="6A52CFF7">
            <w:pPr>
              <w:spacing w:line="244" w:lineRule="auto"/>
              <w:rPr>
                <w:rFonts w:ascii="Arial"/>
                <w:sz w:val="21"/>
              </w:rPr>
            </w:pPr>
          </w:p>
          <w:p w14:paraId="002642EC">
            <w:pPr>
              <w:spacing w:line="244" w:lineRule="auto"/>
              <w:rPr>
                <w:rFonts w:ascii="Arial"/>
                <w:sz w:val="21"/>
              </w:rPr>
            </w:pPr>
          </w:p>
          <w:p w14:paraId="2E9B9E80">
            <w:pPr>
              <w:pStyle w:val="6"/>
              <w:spacing w:before="88" w:line="234" w:lineRule="auto"/>
              <w:ind w:left="284"/>
            </w:pPr>
            <w:r>
              <w:rPr>
                <w:spacing w:val="-16"/>
              </w:rPr>
              <w:t>系统</w:t>
            </w:r>
          </w:p>
          <w:p w14:paraId="4355D0E7">
            <w:pPr>
              <w:pStyle w:val="6"/>
              <w:spacing w:before="58" w:line="232" w:lineRule="auto"/>
              <w:ind w:left="269"/>
            </w:pPr>
            <w:r>
              <w:rPr>
                <w:spacing w:val="-9"/>
              </w:rPr>
              <w:t>对接</w:t>
            </w:r>
          </w:p>
        </w:tc>
        <w:tc>
          <w:tcPr>
            <w:tcW w:w="850" w:type="dxa"/>
            <w:vAlign w:val="top"/>
          </w:tcPr>
          <w:p w14:paraId="32871367">
            <w:pPr>
              <w:spacing w:line="293" w:lineRule="auto"/>
              <w:rPr>
                <w:rFonts w:ascii="Arial"/>
                <w:sz w:val="21"/>
              </w:rPr>
            </w:pPr>
          </w:p>
          <w:p w14:paraId="0ABC248C">
            <w:pPr>
              <w:spacing w:line="293" w:lineRule="auto"/>
              <w:rPr>
                <w:rFonts w:ascii="Arial"/>
                <w:sz w:val="21"/>
              </w:rPr>
            </w:pPr>
          </w:p>
          <w:p w14:paraId="1423D68E">
            <w:pPr>
              <w:spacing w:line="293" w:lineRule="auto"/>
              <w:rPr>
                <w:rFonts w:ascii="Arial"/>
                <w:sz w:val="21"/>
              </w:rPr>
            </w:pPr>
          </w:p>
          <w:p w14:paraId="2375B5D2">
            <w:pPr>
              <w:spacing w:line="294" w:lineRule="auto"/>
              <w:rPr>
                <w:rFonts w:ascii="Arial"/>
                <w:sz w:val="21"/>
              </w:rPr>
            </w:pPr>
          </w:p>
          <w:p w14:paraId="383E26E5">
            <w:pPr>
              <w:spacing w:before="69" w:line="315" w:lineRule="exact"/>
              <w:ind w:left="36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3879" w:type="dxa"/>
            <w:vAlign w:val="top"/>
          </w:tcPr>
          <w:p w14:paraId="374CAF4F">
            <w:pPr>
              <w:spacing w:line="288" w:lineRule="auto"/>
              <w:rPr>
                <w:rFonts w:ascii="Arial"/>
                <w:sz w:val="21"/>
              </w:rPr>
            </w:pPr>
          </w:p>
          <w:p w14:paraId="0D17DB16">
            <w:pPr>
              <w:spacing w:line="289" w:lineRule="auto"/>
              <w:rPr>
                <w:rFonts w:ascii="Arial"/>
                <w:sz w:val="21"/>
              </w:rPr>
            </w:pPr>
          </w:p>
          <w:p w14:paraId="5C045A13">
            <w:pPr>
              <w:pStyle w:val="6"/>
              <w:spacing w:before="88" w:line="278" w:lineRule="auto"/>
              <w:ind w:left="115" w:right="13" w:firstLine="28"/>
              <w:jc w:val="both"/>
            </w:pPr>
            <w:r>
              <w:rPr>
                <w:spacing w:val="-8"/>
              </w:rPr>
              <w:t>医保相关信息按照标准全面、准确、</w:t>
            </w:r>
            <w:r>
              <w:rPr>
                <w:spacing w:val="3"/>
              </w:rPr>
              <w:t>及时、传输至医保信息系统，实现与医保结算系统、监管系统有效对</w:t>
            </w:r>
            <w:r>
              <w:rPr>
                <w:spacing w:val="-6"/>
              </w:rPr>
              <w:t>接。</w:t>
            </w:r>
          </w:p>
        </w:tc>
        <w:tc>
          <w:tcPr>
            <w:tcW w:w="4613" w:type="dxa"/>
            <w:vAlign w:val="top"/>
          </w:tcPr>
          <w:p w14:paraId="25729F8E">
            <w:pPr>
              <w:pStyle w:val="6"/>
              <w:spacing w:before="47" w:line="264" w:lineRule="auto"/>
              <w:ind w:left="120" w:right="107" w:firstLine="13"/>
            </w:pPr>
            <w:r>
              <w:rPr>
                <w:rFonts w:ascii="Times New Roman" w:hAnsi="Times New Roman" w:eastAsia="Times New Roman" w:cs="Times New Roman"/>
                <w:spacing w:val="-4"/>
              </w:rPr>
              <w:t>1</w:t>
            </w:r>
            <w:r>
              <w:rPr>
                <w:spacing w:val="-4"/>
              </w:rPr>
              <w:t>．按照规定与医保信息系统进行对接，全</w:t>
            </w:r>
            <w:r>
              <w:t>面、准确、及时、传输信息并应用，得满</w:t>
            </w:r>
            <w:r>
              <w:rPr>
                <w:spacing w:val="-8"/>
              </w:rPr>
              <w:t>分；</w:t>
            </w:r>
          </w:p>
          <w:p w14:paraId="5A468902">
            <w:pPr>
              <w:pStyle w:val="6"/>
              <w:spacing w:before="40" w:line="265" w:lineRule="auto"/>
              <w:ind w:left="123" w:right="107" w:hanging="12"/>
            </w:pPr>
            <w:r>
              <w:rPr>
                <w:rFonts w:ascii="Times New Roman" w:hAnsi="Times New Roman" w:eastAsia="Times New Roman" w:cs="Times New Roman"/>
                <w:spacing w:val="-3"/>
              </w:rPr>
              <w:t>2</w:t>
            </w:r>
            <w:r>
              <w:rPr>
                <w:spacing w:val="-3"/>
              </w:rPr>
              <w:t>．未按信息编码规则上传数据的，上传信</w:t>
            </w:r>
            <w:r>
              <w:rPr>
                <w:spacing w:val="3"/>
              </w:rPr>
              <w:t>息数据不全面、缺项的，上传信息数据不准确、不规范的，上传信息数据未按时限</w:t>
            </w:r>
            <w:r>
              <w:rPr>
                <w:spacing w:val="-5"/>
              </w:rPr>
              <w:t>要求的，发现一次扣</w:t>
            </w:r>
            <w:r>
              <w:rPr>
                <w:rFonts w:ascii="Times New Roman" w:hAnsi="Times New Roman" w:eastAsia="Times New Roman" w:cs="Times New Roman"/>
                <w:spacing w:val="-5"/>
              </w:rPr>
              <w:t>1</w:t>
            </w:r>
            <w:r>
              <w:rPr>
                <w:spacing w:val="-5"/>
              </w:rPr>
              <w:t>分，扣完为止。</w:t>
            </w:r>
          </w:p>
        </w:tc>
      </w:tr>
      <w:tr w14:paraId="11EFD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5" w:hRule="atLeast"/>
        </w:trPr>
        <w:tc>
          <w:tcPr>
            <w:tcW w:w="807" w:type="dxa"/>
            <w:vAlign w:val="top"/>
          </w:tcPr>
          <w:p w14:paraId="6BF6E7CD">
            <w:pPr>
              <w:spacing w:line="261" w:lineRule="auto"/>
              <w:rPr>
                <w:rFonts w:ascii="Arial"/>
                <w:sz w:val="21"/>
              </w:rPr>
            </w:pPr>
          </w:p>
          <w:p w14:paraId="596D6DA5">
            <w:pPr>
              <w:spacing w:line="261" w:lineRule="auto"/>
              <w:rPr>
                <w:rFonts w:ascii="Arial"/>
                <w:sz w:val="21"/>
              </w:rPr>
            </w:pPr>
          </w:p>
          <w:p w14:paraId="4745862F">
            <w:pPr>
              <w:spacing w:line="261" w:lineRule="auto"/>
              <w:rPr>
                <w:rFonts w:ascii="Arial"/>
                <w:sz w:val="21"/>
              </w:rPr>
            </w:pPr>
          </w:p>
          <w:p w14:paraId="1EF335C9">
            <w:pPr>
              <w:spacing w:line="262" w:lineRule="auto"/>
              <w:rPr>
                <w:rFonts w:ascii="Arial"/>
                <w:sz w:val="21"/>
              </w:rPr>
            </w:pPr>
          </w:p>
          <w:p w14:paraId="0292B394">
            <w:pPr>
              <w:spacing w:line="262" w:lineRule="auto"/>
              <w:rPr>
                <w:rFonts w:ascii="Arial"/>
                <w:sz w:val="21"/>
              </w:rPr>
            </w:pPr>
          </w:p>
          <w:p w14:paraId="71C3694B">
            <w:pPr>
              <w:spacing w:line="262" w:lineRule="auto"/>
              <w:rPr>
                <w:rFonts w:ascii="Arial"/>
                <w:sz w:val="21"/>
              </w:rPr>
            </w:pPr>
          </w:p>
          <w:p w14:paraId="5C834BE0">
            <w:pPr>
              <w:spacing w:before="69" w:line="315" w:lineRule="exact"/>
              <w:ind w:left="34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1272" w:type="dxa"/>
            <w:vMerge w:val="continue"/>
            <w:tcBorders>
              <w:top w:val="nil"/>
            </w:tcBorders>
            <w:vAlign w:val="top"/>
          </w:tcPr>
          <w:p w14:paraId="573517C6">
            <w:pPr>
              <w:rPr>
                <w:rFonts w:ascii="Arial"/>
                <w:sz w:val="21"/>
              </w:rPr>
            </w:pPr>
          </w:p>
        </w:tc>
        <w:tc>
          <w:tcPr>
            <w:tcW w:w="910" w:type="dxa"/>
            <w:vAlign w:val="top"/>
          </w:tcPr>
          <w:p w14:paraId="5FD3963F">
            <w:pPr>
              <w:spacing w:line="274" w:lineRule="auto"/>
              <w:rPr>
                <w:rFonts w:ascii="Arial"/>
                <w:sz w:val="21"/>
              </w:rPr>
            </w:pPr>
          </w:p>
          <w:p w14:paraId="46722A62">
            <w:pPr>
              <w:spacing w:line="274" w:lineRule="auto"/>
              <w:rPr>
                <w:rFonts w:ascii="Arial"/>
                <w:sz w:val="21"/>
              </w:rPr>
            </w:pPr>
          </w:p>
          <w:p w14:paraId="1FD0689F">
            <w:pPr>
              <w:spacing w:line="274" w:lineRule="auto"/>
              <w:rPr>
                <w:rFonts w:ascii="Arial"/>
                <w:sz w:val="21"/>
              </w:rPr>
            </w:pPr>
          </w:p>
          <w:p w14:paraId="5A197107">
            <w:pPr>
              <w:spacing w:line="274" w:lineRule="auto"/>
              <w:rPr>
                <w:rFonts w:ascii="Arial"/>
                <w:sz w:val="21"/>
              </w:rPr>
            </w:pPr>
          </w:p>
          <w:p w14:paraId="2400B49F">
            <w:pPr>
              <w:spacing w:line="275" w:lineRule="auto"/>
              <w:rPr>
                <w:rFonts w:ascii="Arial"/>
                <w:sz w:val="21"/>
              </w:rPr>
            </w:pPr>
          </w:p>
          <w:p w14:paraId="77CACE11">
            <w:pPr>
              <w:pStyle w:val="6"/>
              <w:spacing w:before="88" w:line="233" w:lineRule="auto"/>
              <w:ind w:left="227"/>
            </w:pPr>
            <w:r>
              <w:rPr>
                <w:spacing w:val="-8"/>
              </w:rPr>
              <w:t>财务</w:t>
            </w:r>
          </w:p>
          <w:p w14:paraId="77DC9C6B">
            <w:pPr>
              <w:pStyle w:val="6"/>
              <w:spacing w:before="60" w:line="231" w:lineRule="auto"/>
              <w:ind w:left="234"/>
            </w:pPr>
            <w:r>
              <w:rPr>
                <w:spacing w:val="-12"/>
              </w:rPr>
              <w:t>管理</w:t>
            </w:r>
          </w:p>
        </w:tc>
        <w:tc>
          <w:tcPr>
            <w:tcW w:w="990" w:type="dxa"/>
            <w:vAlign w:val="top"/>
          </w:tcPr>
          <w:p w14:paraId="07447FC8">
            <w:pPr>
              <w:spacing w:line="274" w:lineRule="auto"/>
              <w:rPr>
                <w:rFonts w:ascii="Arial"/>
                <w:sz w:val="21"/>
              </w:rPr>
            </w:pPr>
          </w:p>
          <w:p w14:paraId="6BE3821E">
            <w:pPr>
              <w:spacing w:line="274" w:lineRule="auto"/>
              <w:rPr>
                <w:rFonts w:ascii="Arial"/>
                <w:sz w:val="21"/>
              </w:rPr>
            </w:pPr>
          </w:p>
          <w:p w14:paraId="74A60EB8">
            <w:pPr>
              <w:spacing w:line="274" w:lineRule="auto"/>
              <w:rPr>
                <w:rFonts w:ascii="Arial"/>
                <w:sz w:val="21"/>
              </w:rPr>
            </w:pPr>
          </w:p>
          <w:p w14:paraId="68C20EE3">
            <w:pPr>
              <w:spacing w:line="274" w:lineRule="auto"/>
              <w:rPr>
                <w:rFonts w:ascii="Arial"/>
                <w:sz w:val="21"/>
              </w:rPr>
            </w:pPr>
          </w:p>
          <w:p w14:paraId="46D45BA4">
            <w:pPr>
              <w:spacing w:line="275" w:lineRule="auto"/>
              <w:rPr>
                <w:rFonts w:ascii="Arial"/>
                <w:sz w:val="21"/>
              </w:rPr>
            </w:pPr>
          </w:p>
          <w:p w14:paraId="5D47C945">
            <w:pPr>
              <w:pStyle w:val="6"/>
              <w:spacing w:before="88" w:line="233" w:lineRule="auto"/>
              <w:ind w:left="268"/>
            </w:pPr>
            <w:r>
              <w:rPr>
                <w:spacing w:val="-8"/>
              </w:rPr>
              <w:t>财务</w:t>
            </w:r>
          </w:p>
          <w:p w14:paraId="0D571E0B">
            <w:pPr>
              <w:pStyle w:val="6"/>
              <w:spacing w:before="60" w:line="233" w:lineRule="auto"/>
              <w:ind w:left="264"/>
            </w:pPr>
            <w:r>
              <w:rPr>
                <w:spacing w:val="-7"/>
              </w:rPr>
              <w:t>账表</w:t>
            </w:r>
          </w:p>
        </w:tc>
        <w:tc>
          <w:tcPr>
            <w:tcW w:w="850" w:type="dxa"/>
            <w:vAlign w:val="top"/>
          </w:tcPr>
          <w:p w14:paraId="37F13BE5">
            <w:pPr>
              <w:spacing w:line="261" w:lineRule="auto"/>
              <w:rPr>
                <w:rFonts w:ascii="Arial"/>
                <w:sz w:val="21"/>
              </w:rPr>
            </w:pPr>
          </w:p>
          <w:p w14:paraId="653B4B74">
            <w:pPr>
              <w:spacing w:line="261" w:lineRule="auto"/>
              <w:rPr>
                <w:rFonts w:ascii="Arial"/>
                <w:sz w:val="21"/>
              </w:rPr>
            </w:pPr>
          </w:p>
          <w:p w14:paraId="038D6F6B">
            <w:pPr>
              <w:spacing w:line="261" w:lineRule="auto"/>
              <w:rPr>
                <w:rFonts w:ascii="Arial"/>
                <w:sz w:val="21"/>
              </w:rPr>
            </w:pPr>
          </w:p>
          <w:p w14:paraId="0EBBEBDA">
            <w:pPr>
              <w:spacing w:line="262" w:lineRule="auto"/>
              <w:rPr>
                <w:rFonts w:ascii="Arial"/>
                <w:sz w:val="21"/>
              </w:rPr>
            </w:pPr>
          </w:p>
          <w:p w14:paraId="0CC2177F">
            <w:pPr>
              <w:spacing w:line="262" w:lineRule="auto"/>
              <w:rPr>
                <w:rFonts w:ascii="Arial"/>
                <w:sz w:val="21"/>
              </w:rPr>
            </w:pPr>
          </w:p>
          <w:p w14:paraId="1F6F9531">
            <w:pPr>
              <w:spacing w:line="262" w:lineRule="auto"/>
              <w:rPr>
                <w:rFonts w:ascii="Arial"/>
                <w:sz w:val="21"/>
              </w:rPr>
            </w:pPr>
          </w:p>
          <w:p w14:paraId="683CCEA9">
            <w:pPr>
              <w:spacing w:before="69" w:line="315" w:lineRule="exact"/>
              <w:ind w:left="3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3879" w:type="dxa"/>
            <w:vAlign w:val="top"/>
          </w:tcPr>
          <w:p w14:paraId="1E14B265">
            <w:pPr>
              <w:spacing w:line="244" w:lineRule="auto"/>
              <w:rPr>
                <w:rFonts w:ascii="Arial"/>
                <w:sz w:val="21"/>
              </w:rPr>
            </w:pPr>
          </w:p>
          <w:p w14:paraId="56C4B80A">
            <w:pPr>
              <w:spacing w:line="244" w:lineRule="auto"/>
              <w:rPr>
                <w:rFonts w:ascii="Arial"/>
                <w:sz w:val="21"/>
              </w:rPr>
            </w:pPr>
          </w:p>
          <w:p w14:paraId="15673C81">
            <w:pPr>
              <w:spacing w:line="244" w:lineRule="auto"/>
              <w:rPr>
                <w:rFonts w:ascii="Arial"/>
                <w:sz w:val="21"/>
              </w:rPr>
            </w:pPr>
          </w:p>
          <w:p w14:paraId="7EBE84AA">
            <w:pPr>
              <w:spacing w:line="244" w:lineRule="auto"/>
              <w:rPr>
                <w:rFonts w:ascii="Arial"/>
                <w:sz w:val="21"/>
              </w:rPr>
            </w:pPr>
          </w:p>
          <w:p w14:paraId="28646A65">
            <w:pPr>
              <w:pStyle w:val="6"/>
              <w:spacing w:before="88" w:line="277" w:lineRule="auto"/>
              <w:ind w:left="115" w:right="13" w:firstLine="2"/>
              <w:jc w:val="both"/>
            </w:pPr>
            <w:r>
              <w:rPr>
                <w:spacing w:val="20"/>
              </w:rPr>
              <w:t>执行医疗机构财务制度和会计制</w:t>
            </w:r>
            <w:r>
              <w:rPr>
                <w:spacing w:val="-6"/>
              </w:rPr>
              <w:t>度，设立完整财务账套，包括总账、</w:t>
            </w:r>
            <w:r>
              <w:rPr>
                <w:spacing w:val="3"/>
              </w:rPr>
              <w:t>现金账、银行账、明细账等；业务</w:t>
            </w:r>
            <w:r>
              <w:rPr>
                <w:spacing w:val="-6"/>
              </w:rPr>
              <w:t>往来记录完整，真实反映财务状况。</w:t>
            </w:r>
          </w:p>
        </w:tc>
        <w:tc>
          <w:tcPr>
            <w:tcW w:w="4613" w:type="dxa"/>
            <w:vAlign w:val="top"/>
          </w:tcPr>
          <w:p w14:paraId="37321C5B">
            <w:pPr>
              <w:pStyle w:val="6"/>
              <w:spacing w:before="50" w:line="264" w:lineRule="auto"/>
              <w:ind w:left="117" w:right="107" w:firstLine="16"/>
            </w:pPr>
            <w:r>
              <w:rPr>
                <w:rFonts w:ascii="Times New Roman" w:hAnsi="Times New Roman" w:eastAsia="Times New Roman" w:cs="Times New Roman"/>
                <w:spacing w:val="-4"/>
              </w:rPr>
              <w:t>1</w:t>
            </w:r>
            <w:r>
              <w:rPr>
                <w:spacing w:val="-4"/>
              </w:rPr>
              <w:t>．按照规定执行医疗机构财务制度和会计</w:t>
            </w:r>
            <w:r>
              <w:rPr>
                <w:spacing w:val="-3"/>
              </w:rPr>
              <w:t>制度，按规定保管财务账目、记账凭证、</w:t>
            </w:r>
            <w:r>
              <w:rPr>
                <w:spacing w:val="-1"/>
              </w:rPr>
              <w:t>药品和医疗器械出入库记录、盘点表等涉及基金使用的相关资料，得满分；</w:t>
            </w:r>
          </w:p>
          <w:p w14:paraId="2AA810B3">
            <w:pPr>
              <w:pStyle w:val="6"/>
              <w:spacing w:before="53" w:line="267" w:lineRule="auto"/>
              <w:ind w:left="121" w:right="34" w:hanging="10"/>
            </w:pPr>
            <w:r>
              <w:rPr>
                <w:rFonts w:ascii="Times New Roman" w:hAnsi="Times New Roman" w:eastAsia="Times New Roman" w:cs="Times New Roman"/>
                <w:spacing w:val="-11"/>
              </w:rPr>
              <w:t>2</w:t>
            </w:r>
            <w:r>
              <w:rPr>
                <w:spacing w:val="-11"/>
              </w:rPr>
              <w:t>．已建立财务台账，但财务资料不完整的，</w:t>
            </w:r>
            <w:r>
              <w:rPr>
                <w:spacing w:val="-2"/>
              </w:rPr>
              <w:t>发现一次扣</w:t>
            </w:r>
            <w:r>
              <w:rPr>
                <w:rFonts w:ascii="Times New Roman" w:hAnsi="Times New Roman" w:eastAsia="Times New Roman" w:cs="Times New Roman"/>
                <w:spacing w:val="-2"/>
                <w:position w:val="-1"/>
              </w:rPr>
              <w:t>0.5</w:t>
            </w:r>
            <w:r>
              <w:rPr>
                <w:spacing w:val="-2"/>
              </w:rPr>
              <w:t>分，扣完为止；</w:t>
            </w:r>
          </w:p>
          <w:p w14:paraId="3F6FE42E">
            <w:pPr>
              <w:pStyle w:val="6"/>
              <w:spacing w:before="20" w:line="261" w:lineRule="auto"/>
              <w:ind w:left="121" w:right="107" w:hanging="5"/>
            </w:pPr>
            <w:r>
              <w:rPr>
                <w:rFonts w:ascii="Times New Roman" w:hAnsi="Times New Roman" w:eastAsia="Times New Roman" w:cs="Times New Roman"/>
                <w:spacing w:val="-7"/>
              </w:rPr>
              <w:t>3</w:t>
            </w:r>
            <w:r>
              <w:rPr>
                <w:spacing w:val="-7"/>
              </w:rPr>
              <w:t>．未按规定保管财务账目、记账凭证、药</w:t>
            </w:r>
            <w:r>
              <w:rPr>
                <w:spacing w:val="-1"/>
              </w:rPr>
              <w:t>品和医疗器械出入库记录、盘点表等涉及</w:t>
            </w:r>
            <w:r>
              <w:rPr>
                <w:spacing w:val="-2"/>
              </w:rPr>
              <w:t>基金使用的相关资料，不得分。</w:t>
            </w:r>
          </w:p>
        </w:tc>
      </w:tr>
    </w:tbl>
    <w:p w14:paraId="230A9A4E">
      <w:pPr>
        <w:spacing w:before="91" w:line="241"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5</w:t>
      </w:r>
      <w:r>
        <w:rPr>
          <w:rFonts w:ascii="宋体" w:hAnsi="宋体" w:eastAsia="宋体" w:cs="宋体"/>
          <w:spacing w:val="-10"/>
          <w:sz w:val="28"/>
          <w:szCs w:val="28"/>
        </w:rPr>
        <w:t>-</w:t>
      </w:r>
    </w:p>
    <w:p w14:paraId="686CB8F7">
      <w:pPr>
        <w:spacing w:line="241" w:lineRule="auto"/>
        <w:rPr>
          <w:rFonts w:ascii="宋体" w:hAnsi="宋体" w:eastAsia="宋体" w:cs="宋体"/>
          <w:sz w:val="28"/>
          <w:szCs w:val="28"/>
        </w:rPr>
        <w:sectPr>
          <w:footerReference r:id="rId8" w:type="default"/>
          <w:pgSz w:w="16839" w:h="11906"/>
          <w:pgMar w:top="1012" w:right="1479" w:bottom="400" w:left="1755" w:header="0" w:footer="0" w:gutter="0"/>
          <w:cols w:space="720" w:num="1"/>
        </w:sectPr>
      </w:pPr>
    </w:p>
    <w:tbl>
      <w:tblPr>
        <w:tblStyle w:val="5"/>
        <w:tblW w:w="13321"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272"/>
        <w:gridCol w:w="910"/>
        <w:gridCol w:w="990"/>
        <w:gridCol w:w="850"/>
        <w:gridCol w:w="3879"/>
        <w:gridCol w:w="4613"/>
      </w:tblGrid>
      <w:tr w14:paraId="44CD3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7" w:hRule="atLeast"/>
        </w:trPr>
        <w:tc>
          <w:tcPr>
            <w:tcW w:w="807" w:type="dxa"/>
            <w:vAlign w:val="top"/>
          </w:tcPr>
          <w:p w14:paraId="43E3AE6E">
            <w:pPr>
              <w:spacing w:line="275" w:lineRule="auto"/>
              <w:rPr>
                <w:rFonts w:ascii="Arial"/>
                <w:sz w:val="21"/>
              </w:rPr>
            </w:pPr>
          </w:p>
          <w:p w14:paraId="4852DD46">
            <w:pPr>
              <w:spacing w:line="275" w:lineRule="auto"/>
              <w:rPr>
                <w:rFonts w:ascii="Arial"/>
                <w:sz w:val="21"/>
              </w:rPr>
            </w:pPr>
          </w:p>
          <w:p w14:paraId="760AB3F8">
            <w:pPr>
              <w:spacing w:line="275" w:lineRule="auto"/>
              <w:rPr>
                <w:rFonts w:ascii="Arial"/>
                <w:sz w:val="21"/>
              </w:rPr>
            </w:pPr>
          </w:p>
          <w:p w14:paraId="10E51EFF">
            <w:pPr>
              <w:spacing w:line="275" w:lineRule="auto"/>
              <w:rPr>
                <w:rFonts w:ascii="Arial"/>
                <w:sz w:val="21"/>
              </w:rPr>
            </w:pPr>
          </w:p>
          <w:p w14:paraId="2BE2AF90">
            <w:pPr>
              <w:spacing w:line="275" w:lineRule="auto"/>
              <w:rPr>
                <w:rFonts w:ascii="Arial"/>
                <w:sz w:val="21"/>
              </w:rPr>
            </w:pPr>
          </w:p>
          <w:p w14:paraId="25D3B71D">
            <w:pPr>
              <w:spacing w:line="276" w:lineRule="auto"/>
              <w:rPr>
                <w:rFonts w:ascii="Arial"/>
                <w:sz w:val="21"/>
              </w:rPr>
            </w:pPr>
          </w:p>
          <w:p w14:paraId="5C04E344">
            <w:pPr>
              <w:spacing w:before="69" w:line="185" w:lineRule="auto"/>
              <w:ind w:left="351"/>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272" w:type="dxa"/>
            <w:vMerge w:val="restart"/>
            <w:tcBorders>
              <w:bottom w:val="nil"/>
            </w:tcBorders>
            <w:vAlign w:val="top"/>
          </w:tcPr>
          <w:p w14:paraId="03C6E9AD">
            <w:pPr>
              <w:rPr>
                <w:rFonts w:ascii="Arial"/>
                <w:sz w:val="21"/>
              </w:rPr>
            </w:pPr>
          </w:p>
        </w:tc>
        <w:tc>
          <w:tcPr>
            <w:tcW w:w="910" w:type="dxa"/>
            <w:vAlign w:val="top"/>
          </w:tcPr>
          <w:p w14:paraId="7E694003">
            <w:pPr>
              <w:rPr>
                <w:rFonts w:ascii="Arial"/>
                <w:sz w:val="21"/>
              </w:rPr>
            </w:pPr>
          </w:p>
        </w:tc>
        <w:tc>
          <w:tcPr>
            <w:tcW w:w="990" w:type="dxa"/>
            <w:vAlign w:val="top"/>
          </w:tcPr>
          <w:p w14:paraId="7FE21603">
            <w:pPr>
              <w:spacing w:line="275" w:lineRule="auto"/>
              <w:rPr>
                <w:rFonts w:ascii="Arial"/>
                <w:sz w:val="21"/>
              </w:rPr>
            </w:pPr>
          </w:p>
          <w:p w14:paraId="5D747957">
            <w:pPr>
              <w:spacing w:line="275" w:lineRule="auto"/>
              <w:rPr>
                <w:rFonts w:ascii="Arial"/>
                <w:sz w:val="21"/>
              </w:rPr>
            </w:pPr>
          </w:p>
          <w:p w14:paraId="3FCA09A2">
            <w:pPr>
              <w:spacing w:line="275" w:lineRule="auto"/>
              <w:rPr>
                <w:rFonts w:ascii="Arial"/>
                <w:sz w:val="21"/>
              </w:rPr>
            </w:pPr>
          </w:p>
          <w:p w14:paraId="3238C6EA">
            <w:pPr>
              <w:spacing w:line="275" w:lineRule="auto"/>
              <w:rPr>
                <w:rFonts w:ascii="Arial"/>
                <w:sz w:val="21"/>
              </w:rPr>
            </w:pPr>
          </w:p>
          <w:p w14:paraId="078DB1E8">
            <w:pPr>
              <w:spacing w:line="276" w:lineRule="auto"/>
              <w:rPr>
                <w:rFonts w:ascii="Arial"/>
                <w:sz w:val="21"/>
              </w:rPr>
            </w:pPr>
          </w:p>
          <w:p w14:paraId="607F432F">
            <w:pPr>
              <w:pStyle w:val="6"/>
              <w:spacing w:before="88" w:line="280" w:lineRule="auto"/>
              <w:ind w:left="274" w:right="132" w:hanging="132"/>
            </w:pPr>
            <w:r>
              <w:rPr>
                <w:spacing w:val="-4"/>
              </w:rPr>
              <w:t>进销存</w:t>
            </w:r>
            <w:r>
              <w:rPr>
                <w:spacing w:val="-12"/>
              </w:rPr>
              <w:t>管理</w:t>
            </w:r>
          </w:p>
        </w:tc>
        <w:tc>
          <w:tcPr>
            <w:tcW w:w="850" w:type="dxa"/>
            <w:vAlign w:val="top"/>
          </w:tcPr>
          <w:p w14:paraId="133F394B">
            <w:pPr>
              <w:spacing w:line="261" w:lineRule="auto"/>
              <w:rPr>
                <w:rFonts w:ascii="Arial"/>
                <w:sz w:val="21"/>
              </w:rPr>
            </w:pPr>
          </w:p>
          <w:p w14:paraId="3DD7F443">
            <w:pPr>
              <w:spacing w:line="262" w:lineRule="auto"/>
              <w:rPr>
                <w:rFonts w:ascii="Arial"/>
                <w:sz w:val="21"/>
              </w:rPr>
            </w:pPr>
          </w:p>
          <w:p w14:paraId="3DB54FEC">
            <w:pPr>
              <w:spacing w:line="262" w:lineRule="auto"/>
              <w:rPr>
                <w:rFonts w:ascii="Arial"/>
                <w:sz w:val="21"/>
              </w:rPr>
            </w:pPr>
          </w:p>
          <w:p w14:paraId="11880CB1">
            <w:pPr>
              <w:spacing w:line="262" w:lineRule="auto"/>
              <w:rPr>
                <w:rFonts w:ascii="Arial"/>
                <w:sz w:val="21"/>
              </w:rPr>
            </w:pPr>
          </w:p>
          <w:p w14:paraId="14DD19A7">
            <w:pPr>
              <w:spacing w:line="262" w:lineRule="auto"/>
              <w:rPr>
                <w:rFonts w:ascii="Arial"/>
                <w:sz w:val="21"/>
              </w:rPr>
            </w:pPr>
          </w:p>
          <w:p w14:paraId="5893E101">
            <w:pPr>
              <w:spacing w:line="262" w:lineRule="auto"/>
              <w:rPr>
                <w:rFonts w:ascii="Arial"/>
                <w:sz w:val="21"/>
              </w:rPr>
            </w:pPr>
          </w:p>
          <w:p w14:paraId="3C1361D1">
            <w:pPr>
              <w:spacing w:before="69" w:line="315" w:lineRule="exact"/>
              <w:ind w:left="3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3879" w:type="dxa"/>
            <w:vAlign w:val="top"/>
          </w:tcPr>
          <w:p w14:paraId="702DCFAF">
            <w:pPr>
              <w:spacing w:line="293" w:lineRule="auto"/>
              <w:rPr>
                <w:rFonts w:ascii="Arial"/>
                <w:sz w:val="21"/>
              </w:rPr>
            </w:pPr>
          </w:p>
          <w:p w14:paraId="633EBF65">
            <w:pPr>
              <w:spacing w:line="293" w:lineRule="auto"/>
              <w:rPr>
                <w:rFonts w:ascii="Arial"/>
                <w:sz w:val="21"/>
              </w:rPr>
            </w:pPr>
          </w:p>
          <w:p w14:paraId="328C4B90">
            <w:pPr>
              <w:spacing w:line="294" w:lineRule="auto"/>
              <w:rPr>
                <w:rFonts w:ascii="Arial"/>
                <w:sz w:val="21"/>
              </w:rPr>
            </w:pPr>
          </w:p>
          <w:p w14:paraId="205B3B46">
            <w:pPr>
              <w:spacing w:line="294" w:lineRule="auto"/>
              <w:rPr>
                <w:rFonts w:ascii="Arial"/>
                <w:sz w:val="21"/>
              </w:rPr>
            </w:pPr>
          </w:p>
          <w:p w14:paraId="62587110">
            <w:pPr>
              <w:pStyle w:val="6"/>
              <w:spacing w:before="88" w:line="280" w:lineRule="auto"/>
              <w:ind w:left="121" w:right="104" w:hanging="4"/>
            </w:pPr>
            <w:r>
              <w:rPr>
                <w:spacing w:val="3"/>
              </w:rPr>
              <w:t>建立药品及医用材料真实、完整、准确的购销存台账；保存真实完整</w:t>
            </w:r>
            <w:r>
              <w:rPr>
                <w:spacing w:val="-2"/>
              </w:rPr>
              <w:t>的购进和使用记录。</w:t>
            </w:r>
          </w:p>
        </w:tc>
        <w:tc>
          <w:tcPr>
            <w:tcW w:w="4613" w:type="dxa"/>
            <w:vAlign w:val="top"/>
          </w:tcPr>
          <w:p w14:paraId="69009A21">
            <w:pPr>
              <w:pStyle w:val="6"/>
              <w:spacing w:before="47" w:line="264" w:lineRule="auto"/>
              <w:ind w:left="121" w:right="107" w:firstLine="12"/>
            </w:pPr>
            <w:r>
              <w:rPr>
                <w:rFonts w:ascii="Times New Roman" w:hAnsi="Times New Roman" w:eastAsia="Times New Roman" w:cs="Times New Roman"/>
                <w:spacing w:val="-4"/>
              </w:rPr>
              <w:t>1</w:t>
            </w:r>
            <w:r>
              <w:rPr>
                <w:spacing w:val="-4"/>
              </w:rPr>
              <w:t>．按规定建立进销存台账或者使用相关信</w:t>
            </w:r>
            <w:r>
              <w:rPr>
                <w:spacing w:val="-1"/>
              </w:rPr>
              <w:t>息系统对药品、耗材和医疗器械的进销存</w:t>
            </w:r>
            <w:r>
              <w:rPr>
                <w:spacing w:val="-2"/>
              </w:rPr>
              <w:t>信息进行记录，得满分；</w:t>
            </w:r>
          </w:p>
          <w:p w14:paraId="05113FF9">
            <w:pPr>
              <w:pStyle w:val="6"/>
              <w:spacing w:before="44" w:line="269" w:lineRule="auto"/>
              <w:ind w:left="114" w:right="107" w:hanging="3"/>
            </w:pPr>
            <w:r>
              <w:rPr>
                <w:rFonts w:ascii="Times New Roman" w:hAnsi="Times New Roman" w:eastAsia="Times New Roman" w:cs="Times New Roman"/>
                <w:spacing w:val="-3"/>
              </w:rPr>
              <w:t>2</w:t>
            </w:r>
            <w:r>
              <w:rPr>
                <w:spacing w:val="-3"/>
              </w:rPr>
              <w:t>．建立进销存台账，但药品、耗材和医疗</w:t>
            </w:r>
            <w:r>
              <w:rPr>
                <w:spacing w:val="-1"/>
              </w:rPr>
              <w:t>器械信息不完整、不准确，发现一次，扣</w:t>
            </w:r>
            <w:r>
              <w:rPr>
                <w:rFonts w:ascii="Times New Roman" w:hAnsi="Times New Roman" w:eastAsia="Times New Roman" w:cs="Times New Roman"/>
                <w:spacing w:val="-1"/>
              </w:rPr>
              <w:t>0.5</w:t>
            </w:r>
            <w:r>
              <w:rPr>
                <w:spacing w:val="-1"/>
              </w:rPr>
              <w:t>分，扣完为止；</w:t>
            </w:r>
          </w:p>
          <w:p w14:paraId="065D815D">
            <w:pPr>
              <w:pStyle w:val="6"/>
              <w:spacing w:before="16" w:line="262" w:lineRule="auto"/>
              <w:ind w:left="120" w:right="107" w:hanging="4"/>
            </w:pPr>
            <w:r>
              <w:rPr>
                <w:rFonts w:ascii="Times New Roman" w:hAnsi="Times New Roman" w:eastAsia="Times New Roman" w:cs="Times New Roman"/>
                <w:spacing w:val="-3"/>
              </w:rPr>
              <w:t>3</w:t>
            </w:r>
            <w:r>
              <w:rPr>
                <w:spacing w:val="-3"/>
              </w:rPr>
              <w:t>．未按规定建立进销存台账对药品、耗材</w:t>
            </w:r>
            <w:r>
              <w:rPr>
                <w:spacing w:val="-1"/>
              </w:rPr>
              <w:t>和医疗器械的进销存信息进行记录，不得</w:t>
            </w:r>
            <w:r>
              <w:rPr>
                <w:spacing w:val="-8"/>
              </w:rPr>
              <w:t>分。</w:t>
            </w:r>
          </w:p>
        </w:tc>
      </w:tr>
      <w:tr w14:paraId="32A37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07" w:type="dxa"/>
            <w:vAlign w:val="top"/>
          </w:tcPr>
          <w:p w14:paraId="2213AAB1">
            <w:pPr>
              <w:spacing w:line="376" w:lineRule="auto"/>
              <w:rPr>
                <w:rFonts w:ascii="Arial"/>
                <w:sz w:val="21"/>
              </w:rPr>
            </w:pPr>
          </w:p>
          <w:p w14:paraId="2EC0058B">
            <w:pPr>
              <w:spacing w:before="69" w:line="315" w:lineRule="exact"/>
              <w:ind w:left="35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1272" w:type="dxa"/>
            <w:vMerge w:val="continue"/>
            <w:tcBorders>
              <w:top w:val="nil"/>
              <w:bottom w:val="nil"/>
            </w:tcBorders>
            <w:vAlign w:val="top"/>
          </w:tcPr>
          <w:p w14:paraId="00FF4291">
            <w:pPr>
              <w:rPr>
                <w:rFonts w:ascii="Arial"/>
                <w:sz w:val="21"/>
              </w:rPr>
            </w:pPr>
          </w:p>
        </w:tc>
        <w:tc>
          <w:tcPr>
            <w:tcW w:w="910" w:type="dxa"/>
            <w:vMerge w:val="restart"/>
            <w:tcBorders>
              <w:bottom w:val="nil"/>
            </w:tcBorders>
            <w:vAlign w:val="top"/>
          </w:tcPr>
          <w:p w14:paraId="227CD666">
            <w:pPr>
              <w:spacing w:line="294" w:lineRule="auto"/>
              <w:rPr>
                <w:rFonts w:ascii="Arial"/>
                <w:sz w:val="21"/>
              </w:rPr>
            </w:pPr>
          </w:p>
          <w:p w14:paraId="1C98E795">
            <w:pPr>
              <w:spacing w:line="295" w:lineRule="auto"/>
              <w:rPr>
                <w:rFonts w:ascii="Arial"/>
                <w:sz w:val="21"/>
              </w:rPr>
            </w:pPr>
          </w:p>
          <w:p w14:paraId="352318E5">
            <w:pPr>
              <w:spacing w:line="295" w:lineRule="auto"/>
              <w:rPr>
                <w:rFonts w:ascii="Arial"/>
                <w:sz w:val="21"/>
              </w:rPr>
            </w:pPr>
          </w:p>
          <w:p w14:paraId="4FF5CC4B">
            <w:pPr>
              <w:spacing w:line="295" w:lineRule="auto"/>
              <w:rPr>
                <w:rFonts w:ascii="Arial"/>
                <w:sz w:val="21"/>
              </w:rPr>
            </w:pPr>
          </w:p>
          <w:p w14:paraId="43D2D430">
            <w:pPr>
              <w:pStyle w:val="6"/>
              <w:spacing w:before="88" w:line="232" w:lineRule="auto"/>
              <w:ind w:left="251"/>
            </w:pPr>
            <w:r>
              <w:rPr>
                <w:spacing w:val="-20"/>
              </w:rPr>
              <w:t>医疗</w:t>
            </w:r>
          </w:p>
          <w:p w14:paraId="398D1DED">
            <w:pPr>
              <w:pStyle w:val="6"/>
              <w:spacing w:before="59" w:line="231" w:lineRule="auto"/>
              <w:ind w:left="234"/>
            </w:pPr>
            <w:r>
              <w:rPr>
                <w:spacing w:val="-12"/>
              </w:rPr>
              <w:t>管理</w:t>
            </w:r>
          </w:p>
        </w:tc>
        <w:tc>
          <w:tcPr>
            <w:tcW w:w="990" w:type="dxa"/>
            <w:vAlign w:val="top"/>
          </w:tcPr>
          <w:p w14:paraId="68308E7F">
            <w:pPr>
              <w:pStyle w:val="6"/>
              <w:spacing w:before="268" w:line="234" w:lineRule="auto"/>
              <w:ind w:left="270"/>
            </w:pPr>
            <w:r>
              <w:rPr>
                <w:spacing w:val="-9"/>
              </w:rPr>
              <w:t>身份</w:t>
            </w:r>
          </w:p>
          <w:p w14:paraId="52ADB7D1">
            <w:pPr>
              <w:pStyle w:val="6"/>
              <w:spacing w:before="56" w:line="235" w:lineRule="auto"/>
              <w:ind w:left="268"/>
            </w:pPr>
            <w:r>
              <w:rPr>
                <w:spacing w:val="-8"/>
              </w:rPr>
              <w:t>识别</w:t>
            </w:r>
          </w:p>
        </w:tc>
        <w:tc>
          <w:tcPr>
            <w:tcW w:w="850" w:type="dxa"/>
            <w:vAlign w:val="top"/>
          </w:tcPr>
          <w:p w14:paraId="4CF71144">
            <w:pPr>
              <w:spacing w:line="376" w:lineRule="auto"/>
              <w:rPr>
                <w:rFonts w:ascii="Arial"/>
                <w:sz w:val="21"/>
              </w:rPr>
            </w:pPr>
          </w:p>
          <w:p w14:paraId="6F8D1BD4">
            <w:pPr>
              <w:spacing w:before="69" w:line="315" w:lineRule="exact"/>
              <w:ind w:left="3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3879" w:type="dxa"/>
            <w:vAlign w:val="top"/>
          </w:tcPr>
          <w:p w14:paraId="2BF0417E">
            <w:pPr>
              <w:pStyle w:val="6"/>
              <w:spacing w:before="268" w:line="281" w:lineRule="auto"/>
              <w:ind w:left="115" w:right="152" w:firstLine="2"/>
            </w:pPr>
            <w:r>
              <w:t>核验参保人员医疗保障有效凭证，</w:t>
            </w:r>
            <w:r>
              <w:rPr>
                <w:spacing w:val="-2"/>
              </w:rPr>
              <w:t>做到人证相符。</w:t>
            </w:r>
          </w:p>
        </w:tc>
        <w:tc>
          <w:tcPr>
            <w:tcW w:w="4613" w:type="dxa"/>
            <w:vAlign w:val="top"/>
          </w:tcPr>
          <w:p w14:paraId="267C1EFC">
            <w:pPr>
              <w:pStyle w:val="6"/>
              <w:spacing w:before="49" w:line="380" w:lineRule="exact"/>
              <w:ind w:left="134"/>
            </w:pPr>
            <w:r>
              <w:rPr>
                <w:rFonts w:ascii="Times New Roman" w:hAnsi="Times New Roman" w:eastAsia="Times New Roman" w:cs="Times New Roman"/>
                <w:spacing w:val="-2"/>
                <w:position w:val="2"/>
              </w:rPr>
              <w:t>1</w:t>
            </w:r>
            <w:r>
              <w:rPr>
                <w:spacing w:val="-2"/>
                <w:position w:val="3"/>
              </w:rPr>
              <w:t>．全年未发生冒名就医问题的，得满分；</w:t>
            </w:r>
          </w:p>
          <w:p w14:paraId="20306433">
            <w:pPr>
              <w:pStyle w:val="6"/>
              <w:spacing w:before="19" w:line="255" w:lineRule="auto"/>
              <w:ind w:left="123" w:right="109" w:hanging="12"/>
            </w:pPr>
            <w:r>
              <w:rPr>
                <w:rFonts w:ascii="Times New Roman" w:hAnsi="Times New Roman" w:eastAsia="Times New Roman" w:cs="Times New Roman"/>
                <w:spacing w:val="-6"/>
              </w:rPr>
              <w:t>2</w:t>
            </w:r>
            <w:r>
              <w:rPr>
                <w:spacing w:val="-6"/>
              </w:rPr>
              <w:t>．发现冒名就医的，每发现一次扣</w:t>
            </w:r>
            <w:r>
              <w:rPr>
                <w:rFonts w:ascii="Times New Roman" w:hAnsi="Times New Roman" w:eastAsia="Times New Roman" w:cs="Times New Roman"/>
                <w:spacing w:val="-6"/>
              </w:rPr>
              <w:t>1</w:t>
            </w:r>
            <w:r>
              <w:rPr>
                <w:spacing w:val="-6"/>
              </w:rPr>
              <w:t>分，</w:t>
            </w:r>
            <w:r>
              <w:rPr>
                <w:spacing w:val="-4"/>
              </w:rPr>
              <w:t>扣完为止。</w:t>
            </w:r>
          </w:p>
        </w:tc>
      </w:tr>
      <w:tr w14:paraId="37CC7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807" w:type="dxa"/>
            <w:vAlign w:val="top"/>
          </w:tcPr>
          <w:p w14:paraId="005A2BF5">
            <w:pPr>
              <w:spacing w:line="285" w:lineRule="auto"/>
              <w:rPr>
                <w:rFonts w:ascii="Arial"/>
                <w:sz w:val="21"/>
              </w:rPr>
            </w:pPr>
          </w:p>
          <w:p w14:paraId="7165EB6F">
            <w:pPr>
              <w:spacing w:line="285" w:lineRule="auto"/>
              <w:rPr>
                <w:rFonts w:ascii="Arial"/>
                <w:sz w:val="21"/>
              </w:rPr>
            </w:pPr>
          </w:p>
          <w:p w14:paraId="166B2824">
            <w:pPr>
              <w:spacing w:line="285" w:lineRule="auto"/>
              <w:rPr>
                <w:rFonts w:ascii="Arial"/>
                <w:sz w:val="21"/>
              </w:rPr>
            </w:pPr>
          </w:p>
          <w:p w14:paraId="5BB2F00C">
            <w:pPr>
              <w:spacing w:before="69" w:line="185" w:lineRule="auto"/>
              <w:ind w:left="348"/>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72" w:type="dxa"/>
            <w:vMerge w:val="continue"/>
            <w:tcBorders>
              <w:top w:val="nil"/>
            </w:tcBorders>
            <w:vAlign w:val="top"/>
          </w:tcPr>
          <w:p w14:paraId="6FC64146">
            <w:pPr>
              <w:rPr>
                <w:rFonts w:ascii="Arial"/>
                <w:sz w:val="21"/>
              </w:rPr>
            </w:pPr>
          </w:p>
        </w:tc>
        <w:tc>
          <w:tcPr>
            <w:tcW w:w="910" w:type="dxa"/>
            <w:vMerge w:val="continue"/>
            <w:tcBorders>
              <w:top w:val="nil"/>
            </w:tcBorders>
            <w:vAlign w:val="top"/>
          </w:tcPr>
          <w:p w14:paraId="7AD1DE99">
            <w:pPr>
              <w:rPr>
                <w:rFonts w:ascii="Arial"/>
                <w:sz w:val="21"/>
              </w:rPr>
            </w:pPr>
          </w:p>
        </w:tc>
        <w:tc>
          <w:tcPr>
            <w:tcW w:w="990" w:type="dxa"/>
            <w:vAlign w:val="top"/>
          </w:tcPr>
          <w:p w14:paraId="7B17FBBD">
            <w:pPr>
              <w:spacing w:line="289" w:lineRule="auto"/>
              <w:rPr>
                <w:rFonts w:ascii="Arial"/>
                <w:sz w:val="21"/>
              </w:rPr>
            </w:pPr>
          </w:p>
          <w:p w14:paraId="13C3CA2F">
            <w:pPr>
              <w:spacing w:line="290" w:lineRule="auto"/>
              <w:rPr>
                <w:rFonts w:ascii="Arial"/>
                <w:sz w:val="21"/>
              </w:rPr>
            </w:pPr>
          </w:p>
          <w:p w14:paraId="2B287A86">
            <w:pPr>
              <w:pStyle w:val="6"/>
              <w:spacing w:before="87" w:line="233" w:lineRule="auto"/>
              <w:ind w:left="280"/>
            </w:pPr>
            <w:r>
              <w:rPr>
                <w:spacing w:val="-15"/>
              </w:rPr>
              <w:t>收费</w:t>
            </w:r>
          </w:p>
          <w:p w14:paraId="1A68F2EC">
            <w:pPr>
              <w:pStyle w:val="6"/>
              <w:spacing w:before="57" w:line="231" w:lineRule="auto"/>
              <w:ind w:left="262"/>
            </w:pPr>
            <w:r>
              <w:rPr>
                <w:spacing w:val="-6"/>
              </w:rPr>
              <w:t>标准</w:t>
            </w:r>
          </w:p>
        </w:tc>
        <w:tc>
          <w:tcPr>
            <w:tcW w:w="850" w:type="dxa"/>
            <w:vAlign w:val="top"/>
          </w:tcPr>
          <w:p w14:paraId="27ABDCBD">
            <w:pPr>
              <w:spacing w:line="258" w:lineRule="auto"/>
              <w:rPr>
                <w:rFonts w:ascii="Arial"/>
                <w:sz w:val="21"/>
              </w:rPr>
            </w:pPr>
          </w:p>
          <w:p w14:paraId="71680C02">
            <w:pPr>
              <w:spacing w:line="258" w:lineRule="auto"/>
              <w:rPr>
                <w:rFonts w:ascii="Arial"/>
                <w:sz w:val="21"/>
              </w:rPr>
            </w:pPr>
          </w:p>
          <w:p w14:paraId="3231FDA9">
            <w:pPr>
              <w:spacing w:line="259" w:lineRule="auto"/>
              <w:rPr>
                <w:rFonts w:ascii="Arial"/>
                <w:sz w:val="21"/>
              </w:rPr>
            </w:pPr>
          </w:p>
          <w:p w14:paraId="7A16CE79">
            <w:pPr>
              <w:spacing w:before="69" w:line="315" w:lineRule="exact"/>
              <w:ind w:left="3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3879" w:type="dxa"/>
            <w:vAlign w:val="top"/>
          </w:tcPr>
          <w:p w14:paraId="04BF5962">
            <w:pPr>
              <w:spacing w:line="379" w:lineRule="auto"/>
              <w:rPr>
                <w:rFonts w:ascii="Arial"/>
                <w:sz w:val="21"/>
              </w:rPr>
            </w:pPr>
          </w:p>
          <w:p w14:paraId="1F825C1E">
            <w:pPr>
              <w:pStyle w:val="6"/>
              <w:spacing w:before="88" w:line="279" w:lineRule="auto"/>
              <w:ind w:left="114" w:right="104" w:firstLine="1"/>
              <w:jc w:val="both"/>
            </w:pPr>
            <w:r>
              <w:rPr>
                <w:spacing w:val="3"/>
              </w:rPr>
              <w:t>按医疗服务项目和价格收费标准及其说明等规定进行收费，并将收费</w:t>
            </w:r>
            <w:r>
              <w:rPr>
                <w:spacing w:val="-2"/>
              </w:rPr>
              <w:t>标准公布在醒目位置。</w:t>
            </w:r>
          </w:p>
        </w:tc>
        <w:tc>
          <w:tcPr>
            <w:tcW w:w="4613" w:type="dxa"/>
            <w:vAlign w:val="top"/>
          </w:tcPr>
          <w:p w14:paraId="302F0171">
            <w:pPr>
              <w:pStyle w:val="6"/>
              <w:spacing w:before="51" w:line="257" w:lineRule="auto"/>
              <w:ind w:left="126" w:right="107" w:firstLine="7"/>
            </w:pPr>
            <w:r>
              <w:rPr>
                <w:rFonts w:ascii="Times New Roman" w:hAnsi="Times New Roman" w:eastAsia="Times New Roman" w:cs="Times New Roman"/>
                <w:spacing w:val="-4"/>
              </w:rPr>
              <w:t>1</w:t>
            </w:r>
            <w:r>
              <w:rPr>
                <w:spacing w:val="-4"/>
              </w:rPr>
              <w:t>．遵守物价政策及物价标准，并执行医疗</w:t>
            </w:r>
            <w:r>
              <w:rPr>
                <w:spacing w:val="-2"/>
              </w:rPr>
              <w:t>物价公示制度的得满分；</w:t>
            </w:r>
          </w:p>
          <w:p w14:paraId="2D7897A0">
            <w:pPr>
              <w:pStyle w:val="6"/>
              <w:spacing w:before="47" w:line="261" w:lineRule="auto"/>
              <w:ind w:left="127" w:right="107" w:hanging="16"/>
            </w:pPr>
            <w:r>
              <w:rPr>
                <w:rFonts w:ascii="Times New Roman" w:hAnsi="Times New Roman" w:eastAsia="Times New Roman" w:cs="Times New Roman"/>
                <w:spacing w:val="-3"/>
              </w:rPr>
              <w:t>2</w:t>
            </w:r>
            <w:r>
              <w:rPr>
                <w:spacing w:val="-3"/>
              </w:rPr>
              <w:t>．违反物价政策及物价标准，以及不按收</w:t>
            </w:r>
            <w:r>
              <w:rPr>
                <w:spacing w:val="-5"/>
              </w:rPr>
              <w:t>费标准收费的，每发现一次扣</w:t>
            </w:r>
            <w:r>
              <w:rPr>
                <w:rFonts w:ascii="Times New Roman" w:hAnsi="Times New Roman" w:eastAsia="Times New Roman" w:cs="Times New Roman"/>
                <w:spacing w:val="-5"/>
              </w:rPr>
              <w:t>1</w:t>
            </w:r>
            <w:r>
              <w:rPr>
                <w:spacing w:val="-5"/>
              </w:rPr>
              <w:t>分，扣完</w:t>
            </w:r>
            <w:r>
              <w:rPr>
                <w:spacing w:val="-8"/>
              </w:rPr>
              <w:t>为止。</w:t>
            </w:r>
          </w:p>
        </w:tc>
      </w:tr>
    </w:tbl>
    <w:p w14:paraId="3883BCDF">
      <w:pPr>
        <w:rPr>
          <w:rFonts w:ascii="Arial"/>
          <w:sz w:val="21"/>
        </w:rPr>
      </w:pPr>
    </w:p>
    <w:p w14:paraId="0CE9AC5B">
      <w:pPr>
        <w:rPr>
          <w:rFonts w:ascii="Arial" w:hAnsi="Arial" w:eastAsia="Arial" w:cs="Arial"/>
          <w:sz w:val="21"/>
          <w:szCs w:val="21"/>
        </w:rPr>
        <w:sectPr>
          <w:footerReference r:id="rId9" w:type="default"/>
          <w:pgSz w:w="16839" w:h="11906"/>
          <w:pgMar w:top="1012" w:right="1756" w:bottom="1166" w:left="1599" w:header="0" w:footer="800" w:gutter="0"/>
          <w:cols w:space="720" w:num="1"/>
        </w:sectPr>
      </w:pPr>
    </w:p>
    <w:tbl>
      <w:tblPr>
        <w:tblStyle w:val="5"/>
        <w:tblW w:w="13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272"/>
        <w:gridCol w:w="910"/>
        <w:gridCol w:w="990"/>
        <w:gridCol w:w="850"/>
        <w:gridCol w:w="3879"/>
        <w:gridCol w:w="4613"/>
      </w:tblGrid>
      <w:tr w14:paraId="19E36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7" w:type="dxa"/>
            <w:vAlign w:val="top"/>
          </w:tcPr>
          <w:p w14:paraId="232CAD22">
            <w:pPr>
              <w:spacing w:line="402" w:lineRule="auto"/>
              <w:rPr>
                <w:rFonts w:ascii="Arial"/>
                <w:sz w:val="21"/>
              </w:rPr>
            </w:pPr>
          </w:p>
          <w:p w14:paraId="38BC65F8">
            <w:pPr>
              <w:spacing w:before="69" w:line="315" w:lineRule="exact"/>
              <w:ind w:left="35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8</w:t>
            </w:r>
          </w:p>
        </w:tc>
        <w:tc>
          <w:tcPr>
            <w:tcW w:w="1272" w:type="dxa"/>
            <w:vMerge w:val="restart"/>
            <w:tcBorders>
              <w:bottom w:val="nil"/>
            </w:tcBorders>
            <w:vAlign w:val="top"/>
          </w:tcPr>
          <w:p w14:paraId="2B32D7F4">
            <w:pPr>
              <w:spacing w:line="244" w:lineRule="auto"/>
              <w:rPr>
                <w:rFonts w:ascii="Arial"/>
                <w:sz w:val="21"/>
              </w:rPr>
            </w:pPr>
          </w:p>
          <w:p w14:paraId="4B44A5B3">
            <w:pPr>
              <w:spacing w:line="244" w:lineRule="auto"/>
              <w:rPr>
                <w:rFonts w:ascii="Arial"/>
                <w:sz w:val="21"/>
              </w:rPr>
            </w:pPr>
          </w:p>
          <w:p w14:paraId="5D9D475C">
            <w:pPr>
              <w:spacing w:line="245" w:lineRule="auto"/>
              <w:rPr>
                <w:rFonts w:ascii="Arial"/>
                <w:sz w:val="21"/>
              </w:rPr>
            </w:pPr>
          </w:p>
          <w:p w14:paraId="4F6F34E2">
            <w:pPr>
              <w:spacing w:line="245" w:lineRule="auto"/>
              <w:rPr>
                <w:rFonts w:ascii="Arial"/>
                <w:sz w:val="21"/>
              </w:rPr>
            </w:pPr>
          </w:p>
          <w:p w14:paraId="26AA0744">
            <w:pPr>
              <w:spacing w:line="245" w:lineRule="auto"/>
              <w:rPr>
                <w:rFonts w:ascii="Arial"/>
                <w:sz w:val="21"/>
              </w:rPr>
            </w:pPr>
          </w:p>
          <w:p w14:paraId="69483870">
            <w:pPr>
              <w:spacing w:line="245" w:lineRule="auto"/>
              <w:rPr>
                <w:rFonts w:ascii="Arial"/>
                <w:sz w:val="21"/>
              </w:rPr>
            </w:pPr>
          </w:p>
          <w:p w14:paraId="6E09151C">
            <w:pPr>
              <w:spacing w:line="245" w:lineRule="auto"/>
              <w:rPr>
                <w:rFonts w:ascii="Arial"/>
                <w:sz w:val="21"/>
              </w:rPr>
            </w:pPr>
          </w:p>
          <w:p w14:paraId="7BAF362C">
            <w:pPr>
              <w:spacing w:line="245" w:lineRule="auto"/>
              <w:rPr>
                <w:rFonts w:ascii="Arial"/>
                <w:sz w:val="21"/>
              </w:rPr>
            </w:pPr>
          </w:p>
          <w:p w14:paraId="31E0566B">
            <w:pPr>
              <w:spacing w:line="245" w:lineRule="auto"/>
              <w:rPr>
                <w:rFonts w:ascii="Arial"/>
                <w:sz w:val="21"/>
              </w:rPr>
            </w:pPr>
          </w:p>
          <w:p w14:paraId="09427875">
            <w:pPr>
              <w:pStyle w:val="6"/>
              <w:spacing w:before="87" w:line="231" w:lineRule="auto"/>
              <w:ind w:left="143"/>
            </w:pPr>
            <w:r>
              <w:rPr>
                <w:spacing w:val="-10"/>
              </w:rPr>
              <w:t>医保监管</w:t>
            </w:r>
          </w:p>
        </w:tc>
        <w:tc>
          <w:tcPr>
            <w:tcW w:w="910" w:type="dxa"/>
            <w:vMerge w:val="restart"/>
            <w:tcBorders>
              <w:bottom w:val="nil"/>
            </w:tcBorders>
            <w:vAlign w:val="top"/>
          </w:tcPr>
          <w:p w14:paraId="5CE440D4">
            <w:pPr>
              <w:spacing w:line="250" w:lineRule="auto"/>
              <w:rPr>
                <w:rFonts w:ascii="Arial"/>
                <w:sz w:val="21"/>
              </w:rPr>
            </w:pPr>
          </w:p>
          <w:p w14:paraId="0F8CA540">
            <w:pPr>
              <w:spacing w:line="250" w:lineRule="auto"/>
              <w:rPr>
                <w:rFonts w:ascii="Arial"/>
                <w:sz w:val="21"/>
              </w:rPr>
            </w:pPr>
          </w:p>
          <w:p w14:paraId="797A6907">
            <w:pPr>
              <w:spacing w:line="250" w:lineRule="auto"/>
              <w:rPr>
                <w:rFonts w:ascii="Arial"/>
                <w:sz w:val="21"/>
              </w:rPr>
            </w:pPr>
          </w:p>
          <w:p w14:paraId="0509E1FF">
            <w:pPr>
              <w:spacing w:line="250" w:lineRule="auto"/>
              <w:rPr>
                <w:rFonts w:ascii="Arial"/>
                <w:sz w:val="21"/>
              </w:rPr>
            </w:pPr>
          </w:p>
          <w:p w14:paraId="3A68D252">
            <w:pPr>
              <w:spacing w:line="250" w:lineRule="auto"/>
              <w:rPr>
                <w:rFonts w:ascii="Arial"/>
                <w:sz w:val="21"/>
              </w:rPr>
            </w:pPr>
          </w:p>
          <w:p w14:paraId="320EBEC0">
            <w:pPr>
              <w:spacing w:line="251" w:lineRule="auto"/>
              <w:rPr>
                <w:rFonts w:ascii="Arial"/>
                <w:sz w:val="21"/>
              </w:rPr>
            </w:pPr>
          </w:p>
          <w:p w14:paraId="6DAEC0AB">
            <w:pPr>
              <w:spacing w:line="251" w:lineRule="auto"/>
              <w:rPr>
                <w:rFonts w:ascii="Arial"/>
                <w:sz w:val="21"/>
              </w:rPr>
            </w:pPr>
          </w:p>
          <w:p w14:paraId="709C59A2">
            <w:pPr>
              <w:spacing w:line="251" w:lineRule="auto"/>
              <w:rPr>
                <w:rFonts w:ascii="Arial"/>
                <w:sz w:val="21"/>
              </w:rPr>
            </w:pPr>
          </w:p>
          <w:p w14:paraId="75D3D6E7">
            <w:pPr>
              <w:pStyle w:val="6"/>
              <w:spacing w:before="88" w:line="237" w:lineRule="auto"/>
              <w:ind w:left="227"/>
            </w:pPr>
            <w:r>
              <w:rPr>
                <w:spacing w:val="-8"/>
              </w:rPr>
              <w:t>基金</w:t>
            </w:r>
          </w:p>
          <w:p w14:paraId="24091DD8">
            <w:pPr>
              <w:pStyle w:val="6"/>
              <w:spacing w:before="53" w:line="231" w:lineRule="auto"/>
              <w:ind w:left="234"/>
            </w:pPr>
            <w:r>
              <w:rPr>
                <w:spacing w:val="-12"/>
              </w:rPr>
              <w:t>管理</w:t>
            </w:r>
          </w:p>
        </w:tc>
        <w:tc>
          <w:tcPr>
            <w:tcW w:w="990" w:type="dxa"/>
            <w:vAlign w:val="top"/>
          </w:tcPr>
          <w:p w14:paraId="0DC8D0DB">
            <w:pPr>
              <w:pStyle w:val="6"/>
              <w:spacing w:before="295" w:line="233" w:lineRule="auto"/>
              <w:ind w:left="276"/>
            </w:pPr>
            <w:r>
              <w:rPr>
                <w:spacing w:val="-13"/>
              </w:rPr>
              <w:t>费用</w:t>
            </w:r>
          </w:p>
          <w:p w14:paraId="66FC4928">
            <w:pPr>
              <w:pStyle w:val="6"/>
              <w:spacing w:before="56" w:line="229" w:lineRule="auto"/>
              <w:ind w:left="270"/>
            </w:pPr>
            <w:r>
              <w:rPr>
                <w:spacing w:val="-9"/>
              </w:rPr>
              <w:t>结算</w:t>
            </w:r>
          </w:p>
        </w:tc>
        <w:tc>
          <w:tcPr>
            <w:tcW w:w="850" w:type="dxa"/>
            <w:vAlign w:val="top"/>
          </w:tcPr>
          <w:p w14:paraId="40DA8FD0">
            <w:pPr>
              <w:spacing w:line="402" w:lineRule="auto"/>
              <w:rPr>
                <w:rFonts w:ascii="Arial"/>
                <w:sz w:val="21"/>
              </w:rPr>
            </w:pPr>
          </w:p>
          <w:p w14:paraId="75F5FC9B">
            <w:pPr>
              <w:spacing w:before="69" w:line="315" w:lineRule="exact"/>
              <w:ind w:left="3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3879" w:type="dxa"/>
            <w:vAlign w:val="top"/>
          </w:tcPr>
          <w:p w14:paraId="30E17CD8">
            <w:pPr>
              <w:pStyle w:val="6"/>
              <w:spacing w:before="93" w:line="263" w:lineRule="auto"/>
              <w:ind w:left="119" w:right="104" w:hanging="5"/>
              <w:jc w:val="both"/>
            </w:pPr>
            <w:r>
              <w:t>进行医保费用直接结算，提供收费</w:t>
            </w:r>
            <w:r>
              <w:rPr>
                <w:spacing w:val="3"/>
              </w:rPr>
              <w:t>票据（票据需要注明医保基金支付</w:t>
            </w:r>
            <w:r>
              <w:rPr>
                <w:spacing w:val="-2"/>
              </w:rPr>
              <w:t>金额）、费用明细和相关资料。</w:t>
            </w:r>
          </w:p>
        </w:tc>
        <w:tc>
          <w:tcPr>
            <w:tcW w:w="4613" w:type="dxa"/>
            <w:vAlign w:val="top"/>
          </w:tcPr>
          <w:p w14:paraId="2E3B6032">
            <w:pPr>
              <w:pStyle w:val="6"/>
              <w:spacing w:before="93" w:line="263" w:lineRule="auto"/>
              <w:ind w:left="123" w:right="107" w:firstLine="2"/>
              <w:jc w:val="both"/>
            </w:pPr>
            <w:r>
              <w:rPr>
                <w:spacing w:val="2"/>
              </w:rPr>
              <w:t>不规范开具医保专用票据的或未提供医疗</w:t>
            </w:r>
            <w:r>
              <w:t>费用查询服务和费用清单的，每发现一次</w:t>
            </w:r>
            <w:r>
              <w:rPr>
                <w:spacing w:val="-4"/>
              </w:rPr>
              <w:t>扣</w:t>
            </w:r>
            <w:r>
              <w:rPr>
                <w:rFonts w:ascii="Times New Roman" w:hAnsi="Times New Roman" w:eastAsia="Times New Roman" w:cs="Times New Roman"/>
                <w:spacing w:val="-4"/>
              </w:rPr>
              <w:t>0.5</w:t>
            </w:r>
            <w:r>
              <w:rPr>
                <w:spacing w:val="-4"/>
              </w:rPr>
              <w:t>分，扣完为止。</w:t>
            </w:r>
          </w:p>
        </w:tc>
      </w:tr>
      <w:tr w14:paraId="2EB1E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07" w:type="dxa"/>
            <w:vAlign w:val="top"/>
          </w:tcPr>
          <w:p w14:paraId="38D241D6">
            <w:pPr>
              <w:spacing w:line="287" w:lineRule="auto"/>
              <w:rPr>
                <w:rFonts w:ascii="Arial"/>
                <w:sz w:val="21"/>
              </w:rPr>
            </w:pPr>
          </w:p>
          <w:p w14:paraId="5F3F7375">
            <w:pPr>
              <w:spacing w:line="287" w:lineRule="auto"/>
              <w:rPr>
                <w:rFonts w:ascii="Arial"/>
                <w:sz w:val="21"/>
              </w:rPr>
            </w:pPr>
          </w:p>
          <w:p w14:paraId="47DF7A39">
            <w:pPr>
              <w:spacing w:before="69" w:line="315" w:lineRule="exact"/>
              <w:ind w:left="349"/>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9</w:t>
            </w:r>
          </w:p>
        </w:tc>
        <w:tc>
          <w:tcPr>
            <w:tcW w:w="1272" w:type="dxa"/>
            <w:vMerge w:val="continue"/>
            <w:tcBorders>
              <w:top w:val="nil"/>
              <w:bottom w:val="nil"/>
            </w:tcBorders>
            <w:vAlign w:val="top"/>
          </w:tcPr>
          <w:p w14:paraId="7DEFBC92">
            <w:pPr>
              <w:rPr>
                <w:rFonts w:ascii="Arial"/>
                <w:sz w:val="21"/>
              </w:rPr>
            </w:pPr>
          </w:p>
        </w:tc>
        <w:tc>
          <w:tcPr>
            <w:tcW w:w="910" w:type="dxa"/>
            <w:vMerge w:val="continue"/>
            <w:tcBorders>
              <w:top w:val="nil"/>
              <w:bottom w:val="nil"/>
            </w:tcBorders>
            <w:vAlign w:val="top"/>
          </w:tcPr>
          <w:p w14:paraId="24E6C49D">
            <w:pPr>
              <w:rPr>
                <w:rFonts w:ascii="Arial"/>
                <w:sz w:val="21"/>
              </w:rPr>
            </w:pPr>
          </w:p>
        </w:tc>
        <w:tc>
          <w:tcPr>
            <w:tcW w:w="990" w:type="dxa"/>
            <w:vAlign w:val="top"/>
          </w:tcPr>
          <w:p w14:paraId="7EE03D5D">
            <w:pPr>
              <w:spacing w:line="286" w:lineRule="auto"/>
              <w:rPr>
                <w:rFonts w:ascii="Arial"/>
                <w:sz w:val="21"/>
              </w:rPr>
            </w:pPr>
          </w:p>
          <w:p w14:paraId="6B30A289">
            <w:pPr>
              <w:spacing w:line="287" w:lineRule="auto"/>
              <w:rPr>
                <w:rFonts w:ascii="Arial"/>
                <w:sz w:val="21"/>
              </w:rPr>
            </w:pPr>
          </w:p>
          <w:p w14:paraId="7F80A371">
            <w:pPr>
              <w:pStyle w:val="6"/>
              <w:spacing w:before="88" w:line="236" w:lineRule="auto"/>
              <w:ind w:left="115"/>
            </w:pPr>
            <w:r>
              <w:rPr>
                <w:spacing w:val="-5"/>
              </w:rPr>
              <w:t>追溯码</w:t>
            </w:r>
          </w:p>
        </w:tc>
        <w:tc>
          <w:tcPr>
            <w:tcW w:w="850" w:type="dxa"/>
            <w:vAlign w:val="top"/>
          </w:tcPr>
          <w:p w14:paraId="0386DD09">
            <w:pPr>
              <w:spacing w:line="287" w:lineRule="auto"/>
              <w:rPr>
                <w:rFonts w:ascii="Arial"/>
                <w:sz w:val="21"/>
              </w:rPr>
            </w:pPr>
          </w:p>
          <w:p w14:paraId="01FBA105">
            <w:pPr>
              <w:spacing w:line="287" w:lineRule="auto"/>
              <w:rPr>
                <w:rFonts w:ascii="Arial"/>
                <w:sz w:val="21"/>
              </w:rPr>
            </w:pPr>
          </w:p>
          <w:p w14:paraId="0247524F">
            <w:pPr>
              <w:spacing w:before="69" w:line="315" w:lineRule="exact"/>
              <w:ind w:left="3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3879" w:type="dxa"/>
            <w:vAlign w:val="top"/>
          </w:tcPr>
          <w:p w14:paraId="54D61C2E">
            <w:pPr>
              <w:pStyle w:val="6"/>
              <w:spacing w:before="268" w:line="280" w:lineRule="auto"/>
              <w:ind w:left="119" w:right="104" w:hanging="2"/>
              <w:jc w:val="both"/>
            </w:pPr>
            <w:r>
              <w:rPr>
                <w:spacing w:val="3"/>
              </w:rPr>
              <w:t>全流程记录药品、医用耗材的追溯码信息，并实现相关信息数据可追</w:t>
            </w:r>
            <w:r>
              <w:rPr>
                <w:spacing w:val="-8"/>
              </w:rPr>
              <w:t>溯。</w:t>
            </w:r>
          </w:p>
        </w:tc>
        <w:tc>
          <w:tcPr>
            <w:tcW w:w="4613" w:type="dxa"/>
            <w:vAlign w:val="top"/>
          </w:tcPr>
          <w:p w14:paraId="324FE4FE">
            <w:pPr>
              <w:pStyle w:val="6"/>
              <w:spacing w:before="45" w:line="258" w:lineRule="auto"/>
              <w:ind w:left="120" w:right="107" w:firstLine="13"/>
            </w:pPr>
            <w:r>
              <w:rPr>
                <w:rFonts w:ascii="Times New Roman" w:hAnsi="Times New Roman" w:eastAsia="Times New Roman" w:cs="Times New Roman"/>
                <w:spacing w:val="-4"/>
                <w:position w:val="-1"/>
              </w:rPr>
              <w:t>1</w:t>
            </w:r>
            <w:r>
              <w:rPr>
                <w:spacing w:val="-4"/>
              </w:rPr>
              <w:t>．按规定全流程记录追溯码信息的，得满</w:t>
            </w:r>
            <w:r>
              <w:rPr>
                <w:spacing w:val="-8"/>
              </w:rPr>
              <w:t>分；</w:t>
            </w:r>
          </w:p>
          <w:p w14:paraId="69958398">
            <w:pPr>
              <w:pStyle w:val="6"/>
              <w:spacing w:before="44" w:line="256" w:lineRule="auto"/>
              <w:ind w:left="126" w:right="107" w:hanging="15"/>
            </w:pPr>
            <w:r>
              <w:rPr>
                <w:rFonts w:ascii="Times New Roman" w:hAnsi="Times New Roman" w:eastAsia="Times New Roman" w:cs="Times New Roman"/>
                <w:spacing w:val="-3"/>
              </w:rPr>
              <w:t>2</w:t>
            </w:r>
            <w:r>
              <w:rPr>
                <w:spacing w:val="-3"/>
              </w:rPr>
              <w:t>．未按规定记录追溯码信息的，每发现一</w:t>
            </w:r>
            <w:r>
              <w:rPr>
                <w:spacing w:val="-8"/>
              </w:rPr>
              <w:t>次扣</w:t>
            </w:r>
            <w:r>
              <w:rPr>
                <w:rFonts w:ascii="Times New Roman" w:hAnsi="Times New Roman" w:eastAsia="Times New Roman" w:cs="Times New Roman"/>
                <w:spacing w:val="-8"/>
              </w:rPr>
              <w:t>1</w:t>
            </w:r>
            <w:r>
              <w:rPr>
                <w:spacing w:val="-8"/>
              </w:rPr>
              <w:t>分，扣完为止。</w:t>
            </w:r>
          </w:p>
        </w:tc>
      </w:tr>
      <w:tr w14:paraId="784DE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807" w:type="dxa"/>
            <w:vAlign w:val="top"/>
          </w:tcPr>
          <w:p w14:paraId="174D1C3B">
            <w:pPr>
              <w:spacing w:line="258" w:lineRule="auto"/>
              <w:rPr>
                <w:rFonts w:ascii="Arial"/>
                <w:sz w:val="21"/>
              </w:rPr>
            </w:pPr>
          </w:p>
          <w:p w14:paraId="28BC0311">
            <w:pPr>
              <w:spacing w:line="258" w:lineRule="auto"/>
              <w:rPr>
                <w:rFonts w:ascii="Arial"/>
                <w:sz w:val="21"/>
              </w:rPr>
            </w:pPr>
          </w:p>
          <w:p w14:paraId="50B43C98">
            <w:pPr>
              <w:spacing w:line="258" w:lineRule="auto"/>
              <w:rPr>
                <w:rFonts w:ascii="Arial"/>
                <w:sz w:val="21"/>
              </w:rPr>
            </w:pPr>
          </w:p>
          <w:p w14:paraId="3BA60953">
            <w:pPr>
              <w:spacing w:before="69" w:line="315"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10</w:t>
            </w:r>
          </w:p>
        </w:tc>
        <w:tc>
          <w:tcPr>
            <w:tcW w:w="1272" w:type="dxa"/>
            <w:vMerge w:val="continue"/>
            <w:tcBorders>
              <w:top w:val="nil"/>
            </w:tcBorders>
            <w:vAlign w:val="top"/>
          </w:tcPr>
          <w:p w14:paraId="14C5FFAA">
            <w:pPr>
              <w:rPr>
                <w:rFonts w:ascii="Arial"/>
                <w:sz w:val="21"/>
              </w:rPr>
            </w:pPr>
          </w:p>
        </w:tc>
        <w:tc>
          <w:tcPr>
            <w:tcW w:w="910" w:type="dxa"/>
            <w:vMerge w:val="continue"/>
            <w:tcBorders>
              <w:top w:val="nil"/>
            </w:tcBorders>
            <w:vAlign w:val="top"/>
          </w:tcPr>
          <w:p w14:paraId="12935281">
            <w:pPr>
              <w:rPr>
                <w:rFonts w:ascii="Arial"/>
                <w:sz w:val="21"/>
              </w:rPr>
            </w:pPr>
          </w:p>
        </w:tc>
        <w:tc>
          <w:tcPr>
            <w:tcW w:w="990" w:type="dxa"/>
            <w:vAlign w:val="top"/>
          </w:tcPr>
          <w:p w14:paraId="4EFD946C">
            <w:pPr>
              <w:spacing w:line="287" w:lineRule="auto"/>
              <w:rPr>
                <w:rFonts w:ascii="Arial"/>
                <w:sz w:val="21"/>
              </w:rPr>
            </w:pPr>
          </w:p>
          <w:p w14:paraId="5D5F38E6">
            <w:pPr>
              <w:spacing w:line="288" w:lineRule="auto"/>
              <w:rPr>
                <w:rFonts w:ascii="Arial"/>
                <w:sz w:val="21"/>
              </w:rPr>
            </w:pPr>
          </w:p>
          <w:p w14:paraId="5C4EB801">
            <w:pPr>
              <w:pStyle w:val="6"/>
              <w:spacing w:before="87" w:line="234" w:lineRule="auto"/>
              <w:ind w:left="117"/>
            </w:pPr>
            <w:r>
              <w:rPr>
                <w:spacing w:val="12"/>
              </w:rPr>
              <w:t>执行总</w:t>
            </w:r>
          </w:p>
          <w:p w14:paraId="17A7B1A6">
            <w:pPr>
              <w:pStyle w:val="6"/>
              <w:spacing w:before="58" w:line="232" w:lineRule="auto"/>
              <w:ind w:left="125"/>
            </w:pPr>
            <w:r>
              <w:rPr>
                <w:spacing w:val="-8"/>
              </w:rPr>
              <w:t>额预算</w:t>
            </w:r>
          </w:p>
        </w:tc>
        <w:tc>
          <w:tcPr>
            <w:tcW w:w="850" w:type="dxa"/>
            <w:vAlign w:val="top"/>
          </w:tcPr>
          <w:p w14:paraId="678830AC">
            <w:pPr>
              <w:spacing w:line="258" w:lineRule="auto"/>
              <w:rPr>
                <w:rFonts w:ascii="Arial"/>
                <w:sz w:val="21"/>
              </w:rPr>
            </w:pPr>
          </w:p>
          <w:p w14:paraId="330805A7">
            <w:pPr>
              <w:spacing w:line="258" w:lineRule="auto"/>
              <w:rPr>
                <w:rFonts w:ascii="Arial"/>
                <w:sz w:val="21"/>
              </w:rPr>
            </w:pPr>
          </w:p>
          <w:p w14:paraId="75503733">
            <w:pPr>
              <w:spacing w:line="258" w:lineRule="auto"/>
              <w:rPr>
                <w:rFonts w:ascii="Arial"/>
                <w:sz w:val="21"/>
              </w:rPr>
            </w:pPr>
          </w:p>
          <w:p w14:paraId="188F8E4B">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879" w:type="dxa"/>
            <w:vAlign w:val="top"/>
          </w:tcPr>
          <w:p w14:paraId="5ADAAFF1">
            <w:pPr>
              <w:spacing w:line="258" w:lineRule="auto"/>
              <w:rPr>
                <w:rFonts w:ascii="Arial"/>
                <w:sz w:val="21"/>
              </w:rPr>
            </w:pPr>
          </w:p>
          <w:p w14:paraId="70B4E99E">
            <w:pPr>
              <w:spacing w:line="258" w:lineRule="auto"/>
              <w:rPr>
                <w:rFonts w:ascii="Arial"/>
                <w:sz w:val="21"/>
              </w:rPr>
            </w:pPr>
          </w:p>
          <w:p w14:paraId="58A3871C">
            <w:pPr>
              <w:spacing w:line="259" w:lineRule="auto"/>
              <w:rPr>
                <w:rFonts w:ascii="Arial"/>
                <w:sz w:val="21"/>
              </w:rPr>
            </w:pPr>
          </w:p>
          <w:p w14:paraId="52AEABAC">
            <w:pPr>
              <w:pStyle w:val="6"/>
              <w:spacing w:before="88" w:line="232" w:lineRule="auto"/>
              <w:ind w:left="117"/>
            </w:pPr>
            <w:r>
              <w:rPr>
                <w:spacing w:val="-2"/>
              </w:rPr>
              <w:t>年度总额控制预算执行情况。</w:t>
            </w:r>
          </w:p>
        </w:tc>
        <w:tc>
          <w:tcPr>
            <w:tcW w:w="4613" w:type="dxa"/>
            <w:vAlign w:val="top"/>
          </w:tcPr>
          <w:p w14:paraId="4FA335F3">
            <w:pPr>
              <w:pStyle w:val="6"/>
              <w:spacing w:before="47" w:line="266" w:lineRule="auto"/>
              <w:ind w:left="127" w:right="56" w:firstLine="23"/>
              <w:jc w:val="both"/>
            </w:pPr>
            <w:r>
              <w:rPr>
                <w:spacing w:val="-2"/>
              </w:rPr>
              <w:t>当期总额控制支出发生额</w:t>
            </w:r>
            <w:r>
              <w:rPr>
                <w:rFonts w:ascii="Times New Roman" w:hAnsi="Times New Roman" w:eastAsia="Times New Roman" w:cs="Times New Roman"/>
                <w:spacing w:val="-2"/>
              </w:rPr>
              <w:t>/</w:t>
            </w:r>
            <w:r>
              <w:rPr>
                <w:spacing w:val="-2"/>
              </w:rPr>
              <w:t>当期总额控制支</w:t>
            </w:r>
            <w:r>
              <w:rPr>
                <w:spacing w:val="4"/>
              </w:rPr>
              <w:t>出预算额</w:t>
            </w:r>
            <w:r>
              <w:rPr>
                <w:rFonts w:ascii="Times New Roman" w:hAnsi="Times New Roman" w:eastAsia="Times New Roman" w:cs="Times New Roman"/>
                <w:spacing w:val="4"/>
              </w:rPr>
              <w:t>*100%</w:t>
            </w:r>
            <w:r>
              <w:rPr>
                <w:spacing w:val="4"/>
              </w:rPr>
              <w:t>（均为总额控制年终清算</w:t>
            </w:r>
            <w:r>
              <w:rPr>
                <w:spacing w:val="-3"/>
              </w:rPr>
              <w:t>口径）。年度总额预算目标的</w:t>
            </w:r>
            <w:r>
              <w:rPr>
                <w:rFonts w:ascii="Times New Roman" w:hAnsi="Times New Roman" w:eastAsia="Times New Roman" w:cs="Times New Roman"/>
                <w:spacing w:val="-3"/>
              </w:rPr>
              <w:t>80%</w:t>
            </w:r>
            <w:r>
              <w:rPr>
                <w:spacing w:val="-3"/>
              </w:rPr>
              <w:t>－</w:t>
            </w:r>
            <w:r>
              <w:rPr>
                <w:rFonts w:ascii="Times New Roman" w:hAnsi="Times New Roman" w:eastAsia="Times New Roman" w:cs="Times New Roman"/>
                <w:spacing w:val="-3"/>
              </w:rPr>
              <w:t>105%</w:t>
            </w:r>
            <w:r>
              <w:rPr>
                <w:spacing w:val="5"/>
              </w:rPr>
              <w:t>为标杆，不扣分。当执行总额目标大于</w:t>
            </w:r>
            <w:r>
              <w:rPr>
                <w:rFonts w:ascii="Times New Roman" w:hAnsi="Times New Roman" w:eastAsia="Times New Roman" w:cs="Times New Roman"/>
                <w:spacing w:val="-6"/>
              </w:rPr>
              <w:t>105%</w:t>
            </w:r>
            <w:r>
              <w:rPr>
                <w:spacing w:val="-6"/>
              </w:rPr>
              <w:t>时，每偏离</w:t>
            </w:r>
            <w:r>
              <w:rPr>
                <w:rFonts w:ascii="Times New Roman" w:hAnsi="Times New Roman" w:eastAsia="Times New Roman" w:cs="Times New Roman"/>
                <w:spacing w:val="-6"/>
              </w:rPr>
              <w:t>1%</w:t>
            </w:r>
            <w:r>
              <w:rPr>
                <w:spacing w:val="-6"/>
              </w:rPr>
              <w:t>扣</w:t>
            </w:r>
            <w:r>
              <w:rPr>
                <w:rFonts w:ascii="Times New Roman" w:hAnsi="Times New Roman" w:eastAsia="Times New Roman" w:cs="Times New Roman"/>
                <w:spacing w:val="-6"/>
              </w:rPr>
              <w:t>0.2</w:t>
            </w:r>
            <w:r>
              <w:rPr>
                <w:spacing w:val="-6"/>
              </w:rPr>
              <w:t>分。扣完为止。</w:t>
            </w:r>
          </w:p>
        </w:tc>
      </w:tr>
      <w:tr w14:paraId="1DACE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6" w:hRule="atLeast"/>
        </w:trPr>
        <w:tc>
          <w:tcPr>
            <w:tcW w:w="807" w:type="dxa"/>
            <w:vAlign w:val="top"/>
          </w:tcPr>
          <w:p w14:paraId="473CA143">
            <w:pPr>
              <w:spacing w:line="293" w:lineRule="auto"/>
              <w:rPr>
                <w:rFonts w:ascii="Arial"/>
                <w:sz w:val="21"/>
              </w:rPr>
            </w:pPr>
          </w:p>
          <w:p w14:paraId="453CFB95">
            <w:pPr>
              <w:spacing w:line="293" w:lineRule="auto"/>
              <w:rPr>
                <w:rFonts w:ascii="Arial"/>
                <w:sz w:val="21"/>
              </w:rPr>
            </w:pPr>
          </w:p>
          <w:p w14:paraId="5A7137F9">
            <w:pPr>
              <w:spacing w:line="293" w:lineRule="auto"/>
              <w:rPr>
                <w:rFonts w:ascii="Arial"/>
                <w:sz w:val="21"/>
              </w:rPr>
            </w:pPr>
          </w:p>
          <w:p w14:paraId="41A8739C">
            <w:pPr>
              <w:spacing w:line="294" w:lineRule="auto"/>
              <w:rPr>
                <w:rFonts w:ascii="Arial"/>
                <w:sz w:val="21"/>
              </w:rPr>
            </w:pPr>
          </w:p>
          <w:p w14:paraId="5B857052">
            <w:pPr>
              <w:spacing w:before="69" w:line="315"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11</w:t>
            </w:r>
          </w:p>
        </w:tc>
        <w:tc>
          <w:tcPr>
            <w:tcW w:w="1272" w:type="dxa"/>
            <w:vAlign w:val="top"/>
          </w:tcPr>
          <w:p w14:paraId="73F458FD">
            <w:pPr>
              <w:spacing w:line="293" w:lineRule="auto"/>
              <w:rPr>
                <w:rFonts w:ascii="Arial"/>
                <w:sz w:val="21"/>
              </w:rPr>
            </w:pPr>
          </w:p>
          <w:p w14:paraId="50057660">
            <w:pPr>
              <w:spacing w:line="293" w:lineRule="auto"/>
              <w:rPr>
                <w:rFonts w:ascii="Arial"/>
                <w:sz w:val="21"/>
              </w:rPr>
            </w:pPr>
          </w:p>
          <w:p w14:paraId="34AEA1A3">
            <w:pPr>
              <w:spacing w:line="294" w:lineRule="auto"/>
              <w:rPr>
                <w:rFonts w:ascii="Arial"/>
                <w:sz w:val="21"/>
              </w:rPr>
            </w:pPr>
          </w:p>
          <w:p w14:paraId="2265A658">
            <w:pPr>
              <w:spacing w:line="294" w:lineRule="auto"/>
              <w:rPr>
                <w:rFonts w:ascii="Arial"/>
                <w:sz w:val="21"/>
              </w:rPr>
            </w:pPr>
          </w:p>
          <w:p w14:paraId="50DA5372">
            <w:pPr>
              <w:pStyle w:val="6"/>
              <w:spacing w:before="88" w:line="234" w:lineRule="auto"/>
              <w:ind w:left="119"/>
            </w:pPr>
            <w:r>
              <w:rPr>
                <w:spacing w:val="-4"/>
              </w:rPr>
              <w:t>基金绩效</w:t>
            </w:r>
          </w:p>
        </w:tc>
        <w:tc>
          <w:tcPr>
            <w:tcW w:w="910" w:type="dxa"/>
            <w:vAlign w:val="top"/>
          </w:tcPr>
          <w:p w14:paraId="5048844C">
            <w:pPr>
              <w:spacing w:line="243" w:lineRule="auto"/>
              <w:rPr>
                <w:rFonts w:ascii="Arial"/>
                <w:sz w:val="21"/>
              </w:rPr>
            </w:pPr>
          </w:p>
          <w:p w14:paraId="218A5ADB">
            <w:pPr>
              <w:spacing w:line="243" w:lineRule="auto"/>
              <w:rPr>
                <w:rFonts w:ascii="Arial"/>
                <w:sz w:val="21"/>
              </w:rPr>
            </w:pPr>
          </w:p>
          <w:p w14:paraId="0D3B8431">
            <w:pPr>
              <w:spacing w:line="244" w:lineRule="auto"/>
              <w:rPr>
                <w:rFonts w:ascii="Arial"/>
                <w:sz w:val="21"/>
              </w:rPr>
            </w:pPr>
          </w:p>
          <w:p w14:paraId="7A7AEAB2">
            <w:pPr>
              <w:spacing w:line="244" w:lineRule="auto"/>
              <w:rPr>
                <w:rFonts w:ascii="Arial"/>
                <w:sz w:val="21"/>
              </w:rPr>
            </w:pPr>
          </w:p>
          <w:p w14:paraId="211E07D8">
            <w:pPr>
              <w:pStyle w:val="6"/>
              <w:spacing w:before="88" w:line="233" w:lineRule="auto"/>
              <w:ind w:left="236"/>
            </w:pPr>
            <w:r>
              <w:rPr>
                <w:spacing w:val="-13"/>
              </w:rPr>
              <w:t>费用</w:t>
            </w:r>
          </w:p>
          <w:p w14:paraId="5E351CA2">
            <w:pPr>
              <w:pStyle w:val="6"/>
              <w:spacing w:before="59" w:line="234" w:lineRule="auto"/>
              <w:ind w:left="227"/>
            </w:pPr>
            <w:r>
              <w:rPr>
                <w:spacing w:val="-8"/>
              </w:rPr>
              <w:t>控制</w:t>
            </w:r>
          </w:p>
        </w:tc>
        <w:tc>
          <w:tcPr>
            <w:tcW w:w="990" w:type="dxa"/>
            <w:vAlign w:val="top"/>
          </w:tcPr>
          <w:p w14:paraId="7AC9D2A4">
            <w:pPr>
              <w:spacing w:line="258" w:lineRule="auto"/>
              <w:rPr>
                <w:rFonts w:ascii="Arial"/>
                <w:sz w:val="21"/>
              </w:rPr>
            </w:pPr>
          </w:p>
          <w:p w14:paraId="6FADA708">
            <w:pPr>
              <w:spacing w:line="259" w:lineRule="auto"/>
              <w:rPr>
                <w:rFonts w:ascii="Arial"/>
                <w:sz w:val="21"/>
              </w:rPr>
            </w:pPr>
          </w:p>
          <w:p w14:paraId="0BEE27AD">
            <w:pPr>
              <w:spacing w:line="259" w:lineRule="auto"/>
              <w:rPr>
                <w:rFonts w:ascii="Arial"/>
                <w:sz w:val="21"/>
              </w:rPr>
            </w:pPr>
          </w:p>
          <w:p w14:paraId="19F03B44">
            <w:pPr>
              <w:pStyle w:val="6"/>
              <w:spacing w:before="88" w:line="232" w:lineRule="auto"/>
              <w:ind w:left="114"/>
            </w:pPr>
            <w:r>
              <w:rPr>
                <w:spacing w:val="13"/>
              </w:rPr>
              <w:t>特病月</w:t>
            </w:r>
          </w:p>
          <w:p w14:paraId="709C86CB">
            <w:pPr>
              <w:pStyle w:val="6"/>
              <w:spacing w:before="61" w:line="233" w:lineRule="auto"/>
              <w:ind w:left="119"/>
            </w:pPr>
            <w:r>
              <w:rPr>
                <w:spacing w:val="12"/>
              </w:rPr>
              <w:t>人均费</w:t>
            </w:r>
          </w:p>
          <w:p w14:paraId="2DCBBA40">
            <w:pPr>
              <w:pStyle w:val="6"/>
              <w:spacing w:before="56" w:line="231" w:lineRule="auto"/>
              <w:ind w:left="119"/>
            </w:pPr>
            <w:r>
              <w:rPr>
                <w:spacing w:val="-6"/>
              </w:rPr>
              <w:t>用增幅</w:t>
            </w:r>
          </w:p>
        </w:tc>
        <w:tc>
          <w:tcPr>
            <w:tcW w:w="850" w:type="dxa"/>
            <w:vAlign w:val="top"/>
          </w:tcPr>
          <w:p w14:paraId="4AB495C7">
            <w:pPr>
              <w:spacing w:line="293" w:lineRule="auto"/>
              <w:rPr>
                <w:rFonts w:ascii="Arial"/>
                <w:sz w:val="21"/>
              </w:rPr>
            </w:pPr>
          </w:p>
          <w:p w14:paraId="67798C2A">
            <w:pPr>
              <w:spacing w:line="293" w:lineRule="auto"/>
              <w:rPr>
                <w:rFonts w:ascii="Arial"/>
                <w:sz w:val="21"/>
              </w:rPr>
            </w:pPr>
          </w:p>
          <w:p w14:paraId="2A03FA21">
            <w:pPr>
              <w:spacing w:line="293" w:lineRule="auto"/>
              <w:rPr>
                <w:rFonts w:ascii="Arial"/>
                <w:sz w:val="21"/>
              </w:rPr>
            </w:pPr>
          </w:p>
          <w:p w14:paraId="3D3D6003">
            <w:pPr>
              <w:spacing w:line="294" w:lineRule="auto"/>
              <w:rPr>
                <w:rFonts w:ascii="Arial"/>
                <w:sz w:val="21"/>
              </w:rPr>
            </w:pPr>
          </w:p>
          <w:p w14:paraId="5D75070D">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879" w:type="dxa"/>
            <w:vAlign w:val="top"/>
          </w:tcPr>
          <w:p w14:paraId="0049DAE3">
            <w:pPr>
              <w:spacing w:line="293" w:lineRule="auto"/>
              <w:rPr>
                <w:rFonts w:ascii="Arial"/>
                <w:sz w:val="21"/>
              </w:rPr>
            </w:pPr>
          </w:p>
          <w:p w14:paraId="5CD95158">
            <w:pPr>
              <w:spacing w:line="293" w:lineRule="auto"/>
              <w:rPr>
                <w:rFonts w:ascii="Arial"/>
                <w:sz w:val="21"/>
              </w:rPr>
            </w:pPr>
          </w:p>
          <w:p w14:paraId="44A2A138">
            <w:pPr>
              <w:spacing w:line="294" w:lineRule="auto"/>
              <w:rPr>
                <w:rFonts w:ascii="Arial"/>
                <w:sz w:val="21"/>
              </w:rPr>
            </w:pPr>
          </w:p>
          <w:p w14:paraId="782AC8A4">
            <w:pPr>
              <w:spacing w:line="294" w:lineRule="auto"/>
              <w:rPr>
                <w:rFonts w:ascii="Arial"/>
                <w:sz w:val="21"/>
              </w:rPr>
            </w:pPr>
          </w:p>
          <w:p w14:paraId="63B8616A">
            <w:pPr>
              <w:pStyle w:val="6"/>
              <w:spacing w:before="88" w:line="231" w:lineRule="auto"/>
              <w:ind w:left="118"/>
            </w:pPr>
            <w:r>
              <w:rPr>
                <w:spacing w:val="-1"/>
              </w:rPr>
              <w:t>衡量该院特病患者费用负担情况。</w:t>
            </w:r>
          </w:p>
        </w:tc>
        <w:tc>
          <w:tcPr>
            <w:tcW w:w="4613" w:type="dxa"/>
            <w:vAlign w:val="top"/>
          </w:tcPr>
          <w:p w14:paraId="4A33782C">
            <w:pPr>
              <w:pStyle w:val="6"/>
              <w:spacing w:before="70" w:line="266" w:lineRule="auto"/>
              <w:ind w:left="117" w:right="107" w:firstLine="6"/>
            </w:pPr>
            <w:r>
              <w:rPr>
                <w:spacing w:val="7"/>
              </w:rPr>
              <w:t>计算公式</w:t>
            </w:r>
            <w:r>
              <w:rPr>
                <w:spacing w:val="-28"/>
              </w:rPr>
              <w:t>：（</w:t>
            </w:r>
            <w:r>
              <w:rPr>
                <w:spacing w:val="7"/>
              </w:rPr>
              <w:t>本年特病月人均费用－上年</w:t>
            </w:r>
            <w:r>
              <w:rPr>
                <w:spacing w:val="13"/>
              </w:rPr>
              <w:t>特病月人均费用）</w:t>
            </w:r>
            <w:r>
              <w:rPr>
                <w:rFonts w:ascii="Times New Roman" w:hAnsi="Times New Roman" w:eastAsia="Times New Roman" w:cs="Times New Roman"/>
                <w:spacing w:val="13"/>
              </w:rPr>
              <w:t>/</w:t>
            </w:r>
            <w:r>
              <w:rPr>
                <w:spacing w:val="13"/>
              </w:rPr>
              <w:t>上年特病月人均费用</w:t>
            </w:r>
          </w:p>
          <w:p w14:paraId="4B19144C">
            <w:pPr>
              <w:pStyle w:val="6"/>
              <w:spacing w:line="379" w:lineRule="exact"/>
              <w:ind w:left="123"/>
            </w:pPr>
            <w:r>
              <w:rPr>
                <w:rFonts w:ascii="Times New Roman" w:hAnsi="Times New Roman" w:eastAsia="Times New Roman" w:cs="Times New Roman"/>
                <w:spacing w:val="-3"/>
                <w:position w:val="5"/>
              </w:rPr>
              <w:t>*100%</w:t>
            </w:r>
            <w:r>
              <w:rPr>
                <w:spacing w:val="-3"/>
                <w:position w:val="5"/>
              </w:rPr>
              <w:t>；</w:t>
            </w:r>
          </w:p>
          <w:p w14:paraId="5ADDBA5B">
            <w:pPr>
              <w:pStyle w:val="6"/>
              <w:spacing w:before="23" w:line="264" w:lineRule="auto"/>
              <w:ind w:left="120" w:right="107" w:hanging="5"/>
            </w:pPr>
            <w:r>
              <w:rPr>
                <w:spacing w:val="3"/>
              </w:rPr>
              <w:t>低于等于</w:t>
            </w:r>
            <w:r>
              <w:rPr>
                <w:rFonts w:ascii="Times New Roman" w:hAnsi="Times New Roman" w:eastAsia="Times New Roman" w:cs="Times New Roman"/>
                <w:spacing w:val="3"/>
              </w:rPr>
              <w:t>0</w:t>
            </w:r>
            <w:r>
              <w:rPr>
                <w:spacing w:val="3"/>
              </w:rPr>
              <w:t>得满分，大于</w:t>
            </w:r>
            <w:r>
              <w:rPr>
                <w:rFonts w:ascii="Times New Roman" w:hAnsi="Times New Roman" w:eastAsia="Times New Roman" w:cs="Times New Roman"/>
                <w:spacing w:val="3"/>
              </w:rPr>
              <w:t>0</w:t>
            </w:r>
            <w:r>
              <w:rPr>
                <w:spacing w:val="3"/>
              </w:rPr>
              <w:t>小于等于</w:t>
            </w:r>
            <w:r>
              <w:rPr>
                <w:rFonts w:ascii="Times New Roman" w:hAnsi="Times New Roman" w:eastAsia="Times New Roman" w:cs="Times New Roman"/>
                <w:spacing w:val="3"/>
              </w:rPr>
              <w:t>0.1</w:t>
            </w:r>
            <w:r>
              <w:rPr>
                <w:spacing w:val="-8"/>
              </w:rPr>
              <w:t>得</w:t>
            </w:r>
            <w:r>
              <w:rPr>
                <w:rFonts w:ascii="Times New Roman" w:hAnsi="Times New Roman" w:eastAsia="Times New Roman" w:cs="Times New Roman"/>
                <w:spacing w:val="-8"/>
              </w:rPr>
              <w:t>4</w:t>
            </w:r>
            <w:r>
              <w:rPr>
                <w:spacing w:val="-8"/>
              </w:rPr>
              <w:t>分，大于</w:t>
            </w:r>
            <w:r>
              <w:rPr>
                <w:rFonts w:ascii="Times New Roman" w:hAnsi="Times New Roman" w:eastAsia="Times New Roman" w:cs="Times New Roman"/>
                <w:spacing w:val="-8"/>
              </w:rPr>
              <w:t>0.1</w:t>
            </w:r>
            <w:r>
              <w:rPr>
                <w:spacing w:val="-8"/>
              </w:rPr>
              <w:t>小于等于</w:t>
            </w:r>
            <w:r>
              <w:rPr>
                <w:rFonts w:ascii="Times New Roman" w:hAnsi="Times New Roman" w:eastAsia="Times New Roman" w:cs="Times New Roman"/>
                <w:spacing w:val="-8"/>
              </w:rPr>
              <w:t>0.2</w:t>
            </w:r>
            <w:r>
              <w:rPr>
                <w:spacing w:val="-8"/>
              </w:rPr>
              <w:t>得</w:t>
            </w:r>
            <w:r>
              <w:rPr>
                <w:rFonts w:ascii="Times New Roman" w:hAnsi="Times New Roman" w:eastAsia="Times New Roman" w:cs="Times New Roman"/>
                <w:spacing w:val="-8"/>
              </w:rPr>
              <w:t>2</w:t>
            </w:r>
            <w:r>
              <w:rPr>
                <w:spacing w:val="-8"/>
              </w:rPr>
              <w:t>分，大</w:t>
            </w:r>
            <w:r>
              <w:rPr>
                <w:spacing w:val="-9"/>
              </w:rPr>
              <w:t>于</w:t>
            </w:r>
            <w:r>
              <w:rPr>
                <w:rFonts w:ascii="Times New Roman" w:hAnsi="Times New Roman" w:eastAsia="Times New Roman" w:cs="Times New Roman"/>
                <w:spacing w:val="-9"/>
              </w:rPr>
              <w:t>0.2</w:t>
            </w:r>
            <w:r>
              <w:rPr>
                <w:spacing w:val="-9"/>
              </w:rPr>
              <w:t>不得分。无</w:t>
            </w:r>
            <w:r>
              <w:rPr>
                <w:rFonts w:ascii="Times New Roman" w:hAnsi="Times New Roman" w:eastAsia="Times New Roman" w:cs="Times New Roman"/>
                <w:spacing w:val="-9"/>
              </w:rPr>
              <w:t>2</w:t>
            </w:r>
            <w:r>
              <w:rPr>
                <w:spacing w:val="-9"/>
              </w:rPr>
              <w:t>年完整数据的按得分系</w:t>
            </w:r>
            <w:r>
              <w:rPr>
                <w:spacing w:val="-6"/>
              </w:rPr>
              <w:t>数</w:t>
            </w:r>
            <w:r>
              <w:rPr>
                <w:rFonts w:ascii="Times New Roman" w:hAnsi="Times New Roman" w:eastAsia="Times New Roman" w:cs="Times New Roman"/>
                <w:spacing w:val="-6"/>
              </w:rPr>
              <w:t>0.5</w:t>
            </w:r>
            <w:r>
              <w:rPr>
                <w:spacing w:val="-6"/>
              </w:rPr>
              <w:t>计分。</w:t>
            </w:r>
          </w:p>
        </w:tc>
      </w:tr>
    </w:tbl>
    <w:p w14:paraId="2EB7BC0D">
      <w:pPr>
        <w:rPr>
          <w:rFonts w:ascii="Arial"/>
          <w:sz w:val="21"/>
        </w:rPr>
      </w:pPr>
    </w:p>
    <w:p w14:paraId="5EF9C2FE">
      <w:pPr>
        <w:rPr>
          <w:rFonts w:ascii="Arial" w:hAnsi="Arial" w:eastAsia="Arial" w:cs="Arial"/>
          <w:sz w:val="21"/>
          <w:szCs w:val="21"/>
        </w:rPr>
        <w:sectPr>
          <w:footerReference r:id="rId10" w:type="default"/>
          <w:pgSz w:w="16839" w:h="11906"/>
          <w:pgMar w:top="1012" w:right="1479" w:bottom="1166" w:left="1755" w:header="0" w:footer="800" w:gutter="0"/>
          <w:cols w:space="720" w:num="1"/>
        </w:sectPr>
      </w:pPr>
    </w:p>
    <w:tbl>
      <w:tblPr>
        <w:tblStyle w:val="5"/>
        <w:tblW w:w="13321"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272"/>
        <w:gridCol w:w="910"/>
        <w:gridCol w:w="990"/>
        <w:gridCol w:w="850"/>
        <w:gridCol w:w="3879"/>
        <w:gridCol w:w="4613"/>
      </w:tblGrid>
      <w:tr w14:paraId="4444E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807" w:type="dxa"/>
            <w:vAlign w:val="top"/>
          </w:tcPr>
          <w:p w14:paraId="511CFE42">
            <w:pPr>
              <w:spacing w:line="285" w:lineRule="auto"/>
              <w:rPr>
                <w:rFonts w:ascii="Arial"/>
                <w:sz w:val="21"/>
              </w:rPr>
            </w:pPr>
          </w:p>
          <w:p w14:paraId="34CD468B">
            <w:pPr>
              <w:spacing w:line="285" w:lineRule="auto"/>
              <w:rPr>
                <w:rFonts w:ascii="Arial"/>
                <w:sz w:val="21"/>
              </w:rPr>
            </w:pPr>
          </w:p>
          <w:p w14:paraId="68093096">
            <w:pPr>
              <w:spacing w:line="285" w:lineRule="auto"/>
              <w:rPr>
                <w:rFonts w:ascii="Arial"/>
                <w:sz w:val="21"/>
              </w:rPr>
            </w:pPr>
          </w:p>
          <w:p w14:paraId="34D28582">
            <w:pPr>
              <w:spacing w:before="69" w:line="315"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12</w:t>
            </w:r>
          </w:p>
        </w:tc>
        <w:tc>
          <w:tcPr>
            <w:tcW w:w="1272" w:type="dxa"/>
            <w:vMerge w:val="restart"/>
            <w:tcBorders>
              <w:bottom w:val="nil"/>
            </w:tcBorders>
            <w:vAlign w:val="top"/>
          </w:tcPr>
          <w:p w14:paraId="7841D626">
            <w:pPr>
              <w:rPr>
                <w:rFonts w:ascii="Arial"/>
                <w:sz w:val="21"/>
              </w:rPr>
            </w:pPr>
          </w:p>
        </w:tc>
        <w:tc>
          <w:tcPr>
            <w:tcW w:w="910" w:type="dxa"/>
            <w:vMerge w:val="restart"/>
            <w:tcBorders>
              <w:bottom w:val="nil"/>
            </w:tcBorders>
            <w:vAlign w:val="top"/>
          </w:tcPr>
          <w:p w14:paraId="6420F704">
            <w:pPr>
              <w:rPr>
                <w:rFonts w:ascii="Arial"/>
                <w:sz w:val="21"/>
              </w:rPr>
            </w:pPr>
          </w:p>
        </w:tc>
        <w:tc>
          <w:tcPr>
            <w:tcW w:w="990" w:type="dxa"/>
            <w:vAlign w:val="top"/>
          </w:tcPr>
          <w:p w14:paraId="06C28D98">
            <w:pPr>
              <w:spacing w:line="339" w:lineRule="auto"/>
              <w:rPr>
                <w:rFonts w:ascii="Arial"/>
                <w:sz w:val="21"/>
              </w:rPr>
            </w:pPr>
          </w:p>
          <w:p w14:paraId="0A388FCF">
            <w:pPr>
              <w:spacing w:line="339" w:lineRule="auto"/>
              <w:rPr>
                <w:rFonts w:ascii="Arial"/>
                <w:sz w:val="21"/>
              </w:rPr>
            </w:pPr>
          </w:p>
          <w:p w14:paraId="21FB5A4F">
            <w:pPr>
              <w:pStyle w:val="6"/>
              <w:spacing w:before="87" w:line="254" w:lineRule="auto"/>
              <w:ind w:left="118" w:right="108"/>
            </w:pPr>
            <w:r>
              <w:rPr>
                <w:spacing w:val="12"/>
              </w:rPr>
              <w:t>住院率</w:t>
            </w:r>
            <w:r>
              <w:rPr>
                <w:spacing w:val="-8"/>
              </w:rPr>
              <w:t>增幅</w:t>
            </w:r>
          </w:p>
        </w:tc>
        <w:tc>
          <w:tcPr>
            <w:tcW w:w="850" w:type="dxa"/>
            <w:vAlign w:val="top"/>
          </w:tcPr>
          <w:p w14:paraId="757A887B">
            <w:pPr>
              <w:spacing w:line="285" w:lineRule="auto"/>
              <w:rPr>
                <w:rFonts w:ascii="Arial"/>
                <w:sz w:val="21"/>
              </w:rPr>
            </w:pPr>
          </w:p>
          <w:p w14:paraId="4F2FD846">
            <w:pPr>
              <w:spacing w:line="285" w:lineRule="auto"/>
              <w:rPr>
                <w:rFonts w:ascii="Arial"/>
                <w:sz w:val="21"/>
              </w:rPr>
            </w:pPr>
          </w:p>
          <w:p w14:paraId="0F146F8D">
            <w:pPr>
              <w:spacing w:line="285" w:lineRule="auto"/>
              <w:rPr>
                <w:rFonts w:ascii="Arial"/>
                <w:sz w:val="21"/>
              </w:rPr>
            </w:pPr>
          </w:p>
          <w:p w14:paraId="59215DE0">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879" w:type="dxa"/>
            <w:vAlign w:val="top"/>
          </w:tcPr>
          <w:p w14:paraId="253A0DA8">
            <w:pPr>
              <w:spacing w:line="249" w:lineRule="auto"/>
              <w:rPr>
                <w:rFonts w:ascii="Arial"/>
                <w:sz w:val="21"/>
              </w:rPr>
            </w:pPr>
          </w:p>
          <w:p w14:paraId="485A7DF5">
            <w:pPr>
              <w:spacing w:line="250" w:lineRule="auto"/>
              <w:rPr>
                <w:rFonts w:ascii="Arial"/>
                <w:sz w:val="21"/>
              </w:rPr>
            </w:pPr>
          </w:p>
          <w:p w14:paraId="7F652213">
            <w:pPr>
              <w:pStyle w:val="6"/>
              <w:spacing w:before="88" w:line="253" w:lineRule="auto"/>
              <w:ind w:left="120" w:right="104" w:hanging="2"/>
              <w:jc w:val="both"/>
            </w:pPr>
            <w:r>
              <w:rPr>
                <w:spacing w:val="3"/>
              </w:rPr>
              <w:t>衡量该院为参保人员提供的住院医疗服务量，防止医疗机构门诊住院</w:t>
            </w:r>
            <w:r>
              <w:rPr>
                <w:spacing w:val="-9"/>
              </w:rPr>
              <w:t>化。</w:t>
            </w:r>
          </w:p>
        </w:tc>
        <w:tc>
          <w:tcPr>
            <w:tcW w:w="4613" w:type="dxa"/>
            <w:vAlign w:val="top"/>
          </w:tcPr>
          <w:p w14:paraId="44AD97EB">
            <w:pPr>
              <w:pStyle w:val="6"/>
              <w:spacing w:before="30" w:line="253" w:lineRule="auto"/>
              <w:ind w:left="134" w:right="105" w:hanging="15"/>
            </w:pPr>
            <w:r>
              <w:rPr>
                <w:spacing w:val="4"/>
              </w:rPr>
              <w:t>本期住院率</w:t>
            </w:r>
            <w:r>
              <w:rPr>
                <w:rFonts w:ascii="Times New Roman" w:hAnsi="Times New Roman" w:eastAsia="Times New Roman" w:cs="Times New Roman"/>
                <w:spacing w:val="4"/>
              </w:rPr>
              <w:t>-</w:t>
            </w:r>
            <w:r>
              <w:rPr>
                <w:spacing w:val="4"/>
              </w:rPr>
              <w:t>上期住院率（住院率</w:t>
            </w:r>
            <w:r>
              <w:rPr>
                <w:rFonts w:ascii="Times New Roman" w:hAnsi="Times New Roman" w:eastAsia="Times New Roman" w:cs="Times New Roman"/>
                <w:spacing w:val="4"/>
              </w:rPr>
              <w:t>=</w:t>
            </w:r>
            <w:r>
              <w:rPr>
                <w:spacing w:val="4"/>
              </w:rPr>
              <w:t>住院出</w:t>
            </w:r>
            <w:r>
              <w:rPr>
                <w:spacing w:val="2"/>
              </w:rPr>
              <w:t>院人次</w:t>
            </w:r>
            <w:r>
              <w:rPr>
                <w:rFonts w:ascii="Times New Roman" w:hAnsi="Times New Roman" w:eastAsia="Times New Roman" w:cs="Times New Roman"/>
                <w:spacing w:val="2"/>
              </w:rPr>
              <w:t>/</w:t>
            </w:r>
            <w:r>
              <w:rPr>
                <w:spacing w:val="2"/>
              </w:rPr>
              <w:t>门急诊人次</w:t>
            </w:r>
            <w:r>
              <w:rPr>
                <w:rFonts w:ascii="Times New Roman" w:hAnsi="Times New Roman" w:eastAsia="Times New Roman" w:cs="Times New Roman"/>
                <w:spacing w:val="2"/>
              </w:rPr>
              <w:t>×100</w:t>
            </w:r>
            <w:r>
              <w:rPr>
                <w:spacing w:val="2"/>
              </w:rPr>
              <w:t>%)</w:t>
            </w:r>
          </w:p>
          <w:p w14:paraId="17EBD753">
            <w:pPr>
              <w:pStyle w:val="6"/>
              <w:spacing w:before="2" w:line="241" w:lineRule="auto"/>
              <w:ind w:left="119" w:right="107"/>
            </w:pPr>
            <w:r>
              <w:t>在对比范围内，按实际值从小到大排列，</w:t>
            </w:r>
            <w:r>
              <w:rPr>
                <w:spacing w:val="3"/>
              </w:rPr>
              <w:t>本辖区内同级医院的中位数为标杆值，不</w:t>
            </w:r>
            <w:r>
              <w:rPr>
                <w:spacing w:val="-5"/>
              </w:rPr>
              <w:t>扣分。</w:t>
            </w:r>
          </w:p>
          <w:p w14:paraId="5B565642">
            <w:pPr>
              <w:pStyle w:val="6"/>
              <w:spacing w:line="224" w:lineRule="auto"/>
              <w:ind w:left="117"/>
            </w:pPr>
            <w:r>
              <w:rPr>
                <w:spacing w:val="-7"/>
              </w:rPr>
              <w:t>其他数值时，每偏离</w:t>
            </w:r>
            <w:r>
              <w:rPr>
                <w:rFonts w:ascii="Times New Roman" w:hAnsi="Times New Roman" w:eastAsia="Times New Roman" w:cs="Times New Roman"/>
                <w:spacing w:val="-7"/>
              </w:rPr>
              <w:t>0.1%</w:t>
            </w:r>
            <w:r>
              <w:rPr>
                <w:spacing w:val="-7"/>
              </w:rPr>
              <w:t>扣</w:t>
            </w:r>
            <w:r>
              <w:rPr>
                <w:rFonts w:ascii="Times New Roman" w:hAnsi="Times New Roman" w:eastAsia="Times New Roman" w:cs="Times New Roman"/>
                <w:spacing w:val="-7"/>
              </w:rPr>
              <w:t>1</w:t>
            </w:r>
            <w:r>
              <w:rPr>
                <w:spacing w:val="-7"/>
              </w:rPr>
              <w:t>分。</w:t>
            </w:r>
          </w:p>
        </w:tc>
      </w:tr>
      <w:tr w14:paraId="5A3AC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807" w:type="dxa"/>
            <w:vAlign w:val="top"/>
          </w:tcPr>
          <w:p w14:paraId="38E9F34B">
            <w:pPr>
              <w:spacing w:line="284" w:lineRule="auto"/>
              <w:rPr>
                <w:rFonts w:ascii="Arial"/>
                <w:sz w:val="21"/>
              </w:rPr>
            </w:pPr>
          </w:p>
          <w:p w14:paraId="1CB8D261">
            <w:pPr>
              <w:spacing w:line="284" w:lineRule="auto"/>
              <w:rPr>
                <w:rFonts w:ascii="Arial"/>
                <w:sz w:val="21"/>
              </w:rPr>
            </w:pPr>
          </w:p>
          <w:p w14:paraId="3A39A590">
            <w:pPr>
              <w:spacing w:line="284" w:lineRule="auto"/>
              <w:rPr>
                <w:rFonts w:ascii="Arial"/>
                <w:sz w:val="21"/>
              </w:rPr>
            </w:pPr>
          </w:p>
          <w:p w14:paraId="2BA14B21">
            <w:pPr>
              <w:spacing w:before="69" w:line="315"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13</w:t>
            </w:r>
          </w:p>
        </w:tc>
        <w:tc>
          <w:tcPr>
            <w:tcW w:w="1272" w:type="dxa"/>
            <w:vMerge w:val="continue"/>
            <w:tcBorders>
              <w:top w:val="nil"/>
              <w:bottom w:val="nil"/>
            </w:tcBorders>
            <w:vAlign w:val="top"/>
          </w:tcPr>
          <w:p w14:paraId="4CF0071F">
            <w:pPr>
              <w:rPr>
                <w:rFonts w:ascii="Arial"/>
                <w:sz w:val="21"/>
              </w:rPr>
            </w:pPr>
          </w:p>
        </w:tc>
        <w:tc>
          <w:tcPr>
            <w:tcW w:w="910" w:type="dxa"/>
            <w:vMerge w:val="continue"/>
            <w:tcBorders>
              <w:top w:val="nil"/>
              <w:bottom w:val="nil"/>
            </w:tcBorders>
            <w:vAlign w:val="top"/>
          </w:tcPr>
          <w:p w14:paraId="2333A9BD">
            <w:pPr>
              <w:rPr>
                <w:rFonts w:ascii="Arial"/>
                <w:sz w:val="21"/>
              </w:rPr>
            </w:pPr>
          </w:p>
        </w:tc>
        <w:tc>
          <w:tcPr>
            <w:tcW w:w="990" w:type="dxa"/>
            <w:vAlign w:val="top"/>
          </w:tcPr>
          <w:p w14:paraId="15201D70">
            <w:pPr>
              <w:spacing w:line="248" w:lineRule="auto"/>
              <w:rPr>
                <w:rFonts w:ascii="Arial"/>
                <w:sz w:val="21"/>
              </w:rPr>
            </w:pPr>
          </w:p>
          <w:p w14:paraId="529BB593">
            <w:pPr>
              <w:spacing w:line="248" w:lineRule="auto"/>
              <w:rPr>
                <w:rFonts w:ascii="Arial"/>
                <w:sz w:val="21"/>
              </w:rPr>
            </w:pPr>
          </w:p>
          <w:p w14:paraId="5839B925">
            <w:pPr>
              <w:pStyle w:val="6"/>
              <w:spacing w:before="87" w:line="234" w:lineRule="auto"/>
              <w:ind w:left="147"/>
            </w:pPr>
            <w:r>
              <w:rPr>
                <w:spacing w:val="-6"/>
              </w:rPr>
              <w:t>住院次</w:t>
            </w:r>
          </w:p>
          <w:p w14:paraId="51577DA5">
            <w:pPr>
              <w:pStyle w:val="6"/>
              <w:spacing w:before="17" w:line="254" w:lineRule="auto"/>
              <w:ind w:left="267" w:right="132" w:hanging="116"/>
            </w:pPr>
            <w:r>
              <w:rPr>
                <w:spacing w:val="-7"/>
              </w:rPr>
              <w:t>均费用</w:t>
            </w:r>
            <w:r>
              <w:rPr>
                <w:spacing w:val="-8"/>
              </w:rPr>
              <w:t>增幅</w:t>
            </w:r>
          </w:p>
        </w:tc>
        <w:tc>
          <w:tcPr>
            <w:tcW w:w="850" w:type="dxa"/>
            <w:vAlign w:val="top"/>
          </w:tcPr>
          <w:p w14:paraId="770977EE">
            <w:pPr>
              <w:spacing w:line="284" w:lineRule="auto"/>
              <w:rPr>
                <w:rFonts w:ascii="Arial"/>
                <w:sz w:val="21"/>
              </w:rPr>
            </w:pPr>
          </w:p>
          <w:p w14:paraId="331AE050">
            <w:pPr>
              <w:spacing w:line="284" w:lineRule="auto"/>
              <w:rPr>
                <w:rFonts w:ascii="Arial"/>
                <w:sz w:val="21"/>
              </w:rPr>
            </w:pPr>
          </w:p>
          <w:p w14:paraId="06B97635">
            <w:pPr>
              <w:spacing w:line="284" w:lineRule="auto"/>
              <w:rPr>
                <w:rFonts w:ascii="Arial"/>
                <w:sz w:val="21"/>
              </w:rPr>
            </w:pPr>
          </w:p>
          <w:p w14:paraId="66EC0012">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879" w:type="dxa"/>
            <w:vAlign w:val="top"/>
          </w:tcPr>
          <w:p w14:paraId="399AB75D">
            <w:pPr>
              <w:spacing w:line="284" w:lineRule="auto"/>
              <w:rPr>
                <w:rFonts w:ascii="Arial"/>
                <w:sz w:val="21"/>
              </w:rPr>
            </w:pPr>
          </w:p>
          <w:p w14:paraId="221C7BD5">
            <w:pPr>
              <w:spacing w:line="284" w:lineRule="auto"/>
              <w:rPr>
                <w:rFonts w:ascii="Arial"/>
                <w:sz w:val="21"/>
              </w:rPr>
            </w:pPr>
          </w:p>
          <w:p w14:paraId="688B5687">
            <w:pPr>
              <w:spacing w:line="285" w:lineRule="auto"/>
              <w:rPr>
                <w:rFonts w:ascii="Arial"/>
                <w:sz w:val="21"/>
              </w:rPr>
            </w:pPr>
          </w:p>
          <w:p w14:paraId="541922CF">
            <w:pPr>
              <w:pStyle w:val="6"/>
              <w:spacing w:before="88" w:line="231" w:lineRule="auto"/>
              <w:ind w:left="118"/>
            </w:pPr>
            <w:r>
              <w:rPr>
                <w:spacing w:val="-2"/>
              </w:rPr>
              <w:t>衡量该住院患者费用负担情况。</w:t>
            </w:r>
          </w:p>
        </w:tc>
        <w:tc>
          <w:tcPr>
            <w:tcW w:w="4613" w:type="dxa"/>
            <w:vAlign w:val="top"/>
          </w:tcPr>
          <w:p w14:paraId="199873B1">
            <w:pPr>
              <w:pStyle w:val="6"/>
              <w:spacing w:before="49" w:line="243" w:lineRule="auto"/>
              <w:ind w:left="115" w:right="107" w:firstLine="8"/>
            </w:pPr>
            <w:r>
              <w:rPr>
                <w:spacing w:val="2"/>
              </w:rPr>
              <w:t>计算公式</w:t>
            </w:r>
            <w:r>
              <w:rPr>
                <w:spacing w:val="-26"/>
              </w:rPr>
              <w:t>：（</w:t>
            </w:r>
            <w:r>
              <w:rPr>
                <w:spacing w:val="2"/>
              </w:rPr>
              <w:t>本年次均住院费用－上年次</w:t>
            </w:r>
            <w:r>
              <w:rPr>
                <w:spacing w:val="-1"/>
              </w:rPr>
              <w:t>均住院费用）</w:t>
            </w:r>
            <w:r>
              <w:rPr>
                <w:rFonts w:ascii="Times New Roman" w:hAnsi="Times New Roman" w:eastAsia="Times New Roman" w:cs="Times New Roman"/>
                <w:spacing w:val="-1"/>
              </w:rPr>
              <w:t>/</w:t>
            </w:r>
            <w:r>
              <w:rPr>
                <w:spacing w:val="-1"/>
              </w:rPr>
              <w:t>上年次均住院费用</w:t>
            </w:r>
            <w:r>
              <w:rPr>
                <w:rFonts w:ascii="Times New Roman" w:hAnsi="Times New Roman" w:eastAsia="Times New Roman" w:cs="Times New Roman"/>
                <w:spacing w:val="-1"/>
              </w:rPr>
              <w:t>*100%</w:t>
            </w:r>
            <w:r>
              <w:rPr>
                <w:spacing w:val="-1"/>
              </w:rPr>
              <w:t>；</w:t>
            </w:r>
            <w:r>
              <w:rPr>
                <w:spacing w:val="4"/>
              </w:rPr>
              <w:t>低于等于</w:t>
            </w:r>
            <w:r>
              <w:rPr>
                <w:rFonts w:ascii="Times New Roman" w:hAnsi="Times New Roman" w:eastAsia="Times New Roman" w:cs="Times New Roman"/>
                <w:spacing w:val="4"/>
              </w:rPr>
              <w:t>0</w:t>
            </w:r>
            <w:r>
              <w:rPr>
                <w:spacing w:val="4"/>
              </w:rPr>
              <w:t>得满分，大于</w:t>
            </w:r>
            <w:r>
              <w:rPr>
                <w:rFonts w:ascii="Times New Roman" w:hAnsi="Times New Roman" w:eastAsia="Times New Roman" w:cs="Times New Roman"/>
                <w:spacing w:val="4"/>
              </w:rPr>
              <w:t>0</w:t>
            </w:r>
            <w:r>
              <w:rPr>
                <w:spacing w:val="4"/>
              </w:rPr>
              <w:t>小于等于</w:t>
            </w:r>
            <w:r>
              <w:rPr>
                <w:rFonts w:ascii="Times New Roman" w:hAnsi="Times New Roman" w:eastAsia="Times New Roman" w:cs="Times New Roman"/>
                <w:spacing w:val="4"/>
              </w:rPr>
              <w:t>0.1</w:t>
            </w:r>
            <w:r>
              <w:rPr>
                <w:spacing w:val="-7"/>
              </w:rPr>
              <w:t>得</w:t>
            </w:r>
            <w:r>
              <w:rPr>
                <w:rFonts w:ascii="Times New Roman" w:hAnsi="Times New Roman" w:eastAsia="Times New Roman" w:cs="Times New Roman"/>
                <w:spacing w:val="-7"/>
              </w:rPr>
              <w:t>4</w:t>
            </w:r>
            <w:r>
              <w:rPr>
                <w:spacing w:val="-7"/>
              </w:rPr>
              <w:t>分，大于</w:t>
            </w:r>
            <w:r>
              <w:rPr>
                <w:rFonts w:ascii="Times New Roman" w:hAnsi="Times New Roman" w:eastAsia="Times New Roman" w:cs="Times New Roman"/>
                <w:spacing w:val="-7"/>
              </w:rPr>
              <w:t>0.1</w:t>
            </w:r>
            <w:r>
              <w:rPr>
                <w:spacing w:val="-7"/>
              </w:rPr>
              <w:t>小于等于</w:t>
            </w:r>
            <w:r>
              <w:rPr>
                <w:rFonts w:ascii="Times New Roman" w:hAnsi="Times New Roman" w:eastAsia="Times New Roman" w:cs="Times New Roman"/>
                <w:spacing w:val="-7"/>
              </w:rPr>
              <w:t>0.2</w:t>
            </w:r>
            <w:r>
              <w:rPr>
                <w:spacing w:val="-7"/>
              </w:rPr>
              <w:t>得</w:t>
            </w:r>
            <w:r>
              <w:rPr>
                <w:rFonts w:ascii="Times New Roman" w:hAnsi="Times New Roman" w:eastAsia="Times New Roman" w:cs="Times New Roman"/>
                <w:spacing w:val="-7"/>
              </w:rPr>
              <w:t>2</w:t>
            </w:r>
            <w:r>
              <w:rPr>
                <w:spacing w:val="-7"/>
              </w:rPr>
              <w:t>分，大</w:t>
            </w:r>
            <w:r>
              <w:rPr>
                <w:spacing w:val="-5"/>
              </w:rPr>
              <w:t>于</w:t>
            </w:r>
            <w:r>
              <w:rPr>
                <w:rFonts w:ascii="Times New Roman" w:hAnsi="Times New Roman" w:eastAsia="Times New Roman" w:cs="Times New Roman"/>
                <w:spacing w:val="-5"/>
              </w:rPr>
              <w:t>0.2</w:t>
            </w:r>
            <w:r>
              <w:rPr>
                <w:spacing w:val="-5"/>
              </w:rPr>
              <w:t>不得分。</w:t>
            </w:r>
          </w:p>
          <w:p w14:paraId="1B438FB7">
            <w:pPr>
              <w:pStyle w:val="6"/>
              <w:spacing w:before="1" w:line="223" w:lineRule="auto"/>
              <w:ind w:left="127"/>
            </w:pPr>
            <w:r>
              <w:t>无</w:t>
            </w:r>
            <w:r>
              <w:rPr>
                <w:rFonts w:ascii="Times New Roman" w:hAnsi="Times New Roman" w:eastAsia="Times New Roman" w:cs="Times New Roman"/>
              </w:rPr>
              <w:t>2</w:t>
            </w:r>
            <w:r>
              <w:t>年完整数据的按得分系数</w:t>
            </w:r>
            <w:r>
              <w:rPr>
                <w:rFonts w:ascii="Times New Roman" w:hAnsi="Times New Roman" w:eastAsia="Times New Roman" w:cs="Times New Roman"/>
              </w:rPr>
              <w:t>0.5</w:t>
            </w:r>
            <w:r>
              <w:t>计分。</w:t>
            </w:r>
          </w:p>
        </w:tc>
      </w:tr>
      <w:tr w14:paraId="44992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807" w:type="dxa"/>
            <w:vAlign w:val="top"/>
          </w:tcPr>
          <w:p w14:paraId="51BF488B">
            <w:pPr>
              <w:spacing w:line="316" w:lineRule="auto"/>
              <w:rPr>
                <w:rFonts w:ascii="Arial"/>
                <w:sz w:val="21"/>
              </w:rPr>
            </w:pPr>
          </w:p>
          <w:p w14:paraId="20EF5FE5">
            <w:pPr>
              <w:spacing w:before="69" w:line="315"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14</w:t>
            </w:r>
          </w:p>
        </w:tc>
        <w:tc>
          <w:tcPr>
            <w:tcW w:w="1272" w:type="dxa"/>
            <w:vMerge w:val="continue"/>
            <w:tcBorders>
              <w:top w:val="nil"/>
            </w:tcBorders>
            <w:vAlign w:val="top"/>
          </w:tcPr>
          <w:p w14:paraId="1FBD53BA">
            <w:pPr>
              <w:rPr>
                <w:rFonts w:ascii="Arial"/>
                <w:sz w:val="21"/>
              </w:rPr>
            </w:pPr>
          </w:p>
        </w:tc>
        <w:tc>
          <w:tcPr>
            <w:tcW w:w="910" w:type="dxa"/>
            <w:vMerge w:val="continue"/>
            <w:tcBorders>
              <w:top w:val="nil"/>
            </w:tcBorders>
            <w:vAlign w:val="top"/>
          </w:tcPr>
          <w:p w14:paraId="295535E7">
            <w:pPr>
              <w:rPr>
                <w:rFonts w:ascii="Arial"/>
                <w:sz w:val="21"/>
              </w:rPr>
            </w:pPr>
          </w:p>
        </w:tc>
        <w:tc>
          <w:tcPr>
            <w:tcW w:w="990" w:type="dxa"/>
            <w:vAlign w:val="top"/>
          </w:tcPr>
          <w:p w14:paraId="0594128A">
            <w:pPr>
              <w:pStyle w:val="6"/>
              <w:spacing w:before="47" w:line="228" w:lineRule="auto"/>
              <w:ind w:left="147"/>
            </w:pPr>
            <w:r>
              <w:rPr>
                <w:spacing w:val="-6"/>
              </w:rPr>
              <w:t>住院自</w:t>
            </w:r>
          </w:p>
          <w:p w14:paraId="699076A5">
            <w:pPr>
              <w:pStyle w:val="6"/>
              <w:spacing w:before="25" w:line="228" w:lineRule="auto"/>
              <w:ind w:left="387" w:right="132" w:hanging="231"/>
            </w:pPr>
            <w:r>
              <w:rPr>
                <w:spacing w:val="-9"/>
              </w:rPr>
              <w:t>费率增</w:t>
            </w:r>
            <w:r>
              <w:t>长</w:t>
            </w:r>
          </w:p>
        </w:tc>
        <w:tc>
          <w:tcPr>
            <w:tcW w:w="850" w:type="dxa"/>
            <w:vAlign w:val="top"/>
          </w:tcPr>
          <w:p w14:paraId="6B61FD68">
            <w:pPr>
              <w:spacing w:line="316" w:lineRule="auto"/>
              <w:rPr>
                <w:rFonts w:ascii="Arial"/>
                <w:sz w:val="21"/>
              </w:rPr>
            </w:pPr>
          </w:p>
          <w:p w14:paraId="4217CD30">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879" w:type="dxa"/>
            <w:vAlign w:val="top"/>
          </w:tcPr>
          <w:p w14:paraId="0B601F42">
            <w:pPr>
              <w:pStyle w:val="6"/>
              <w:spacing w:before="226" w:line="255" w:lineRule="auto"/>
              <w:ind w:left="120" w:right="104" w:hanging="2"/>
            </w:pPr>
            <w:r>
              <w:rPr>
                <w:spacing w:val="11"/>
              </w:rPr>
              <w:t>衡量该住院患者自费费用负担情</w:t>
            </w:r>
            <w:r>
              <w:rPr>
                <w:spacing w:val="-9"/>
              </w:rPr>
              <w:t>况。</w:t>
            </w:r>
          </w:p>
        </w:tc>
        <w:tc>
          <w:tcPr>
            <w:tcW w:w="4613" w:type="dxa"/>
            <w:vAlign w:val="top"/>
          </w:tcPr>
          <w:p w14:paraId="76FBE62D">
            <w:pPr>
              <w:pStyle w:val="6"/>
              <w:spacing w:before="207" w:line="255" w:lineRule="auto"/>
              <w:ind w:left="119" w:right="107" w:firstLine="13"/>
            </w:pPr>
            <w:r>
              <w:rPr>
                <w:spacing w:val="-4"/>
              </w:rPr>
              <w:t>与前一年相比，每上升</w:t>
            </w:r>
            <w:r>
              <w:rPr>
                <w:rFonts w:ascii="Times New Roman" w:hAnsi="Times New Roman" w:eastAsia="Times New Roman" w:cs="Times New Roman"/>
                <w:spacing w:val="-4"/>
              </w:rPr>
              <w:t>0.1</w:t>
            </w:r>
            <w:r>
              <w:rPr>
                <w:spacing w:val="-4"/>
              </w:rPr>
              <w:t>个百分点（按四</w:t>
            </w:r>
            <w:r>
              <w:rPr>
                <w:spacing w:val="-2"/>
              </w:rPr>
              <w:t>舍五入取整）扣</w:t>
            </w:r>
            <w:r>
              <w:rPr>
                <w:rFonts w:ascii="Times New Roman" w:hAnsi="Times New Roman" w:eastAsia="Times New Roman" w:cs="Times New Roman"/>
                <w:spacing w:val="-2"/>
              </w:rPr>
              <w:t>0.5</w:t>
            </w:r>
            <w:r>
              <w:rPr>
                <w:spacing w:val="-2"/>
              </w:rPr>
              <w:t>分。扣完为止。</w:t>
            </w:r>
          </w:p>
        </w:tc>
      </w:tr>
      <w:tr w14:paraId="3C25F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6" w:hRule="atLeast"/>
        </w:trPr>
        <w:tc>
          <w:tcPr>
            <w:tcW w:w="807" w:type="dxa"/>
            <w:vAlign w:val="top"/>
          </w:tcPr>
          <w:p w14:paraId="2C882971">
            <w:pPr>
              <w:spacing w:line="285" w:lineRule="auto"/>
              <w:rPr>
                <w:rFonts w:ascii="Arial"/>
                <w:sz w:val="21"/>
              </w:rPr>
            </w:pPr>
          </w:p>
          <w:p w14:paraId="4427835F">
            <w:pPr>
              <w:spacing w:line="285" w:lineRule="auto"/>
              <w:rPr>
                <w:rFonts w:ascii="Arial"/>
                <w:sz w:val="21"/>
              </w:rPr>
            </w:pPr>
          </w:p>
          <w:p w14:paraId="5713C535">
            <w:pPr>
              <w:spacing w:line="286" w:lineRule="auto"/>
              <w:rPr>
                <w:rFonts w:ascii="Arial"/>
                <w:sz w:val="21"/>
              </w:rPr>
            </w:pPr>
          </w:p>
          <w:p w14:paraId="32DFA1CF">
            <w:pPr>
              <w:spacing w:before="69" w:line="314"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15</w:t>
            </w:r>
          </w:p>
        </w:tc>
        <w:tc>
          <w:tcPr>
            <w:tcW w:w="1272" w:type="dxa"/>
            <w:vAlign w:val="top"/>
          </w:tcPr>
          <w:p w14:paraId="2D8FD4C2">
            <w:pPr>
              <w:spacing w:line="285" w:lineRule="auto"/>
              <w:rPr>
                <w:rFonts w:ascii="Arial"/>
                <w:sz w:val="21"/>
              </w:rPr>
            </w:pPr>
          </w:p>
          <w:p w14:paraId="65BDA9E1">
            <w:pPr>
              <w:spacing w:line="285" w:lineRule="auto"/>
              <w:rPr>
                <w:rFonts w:ascii="Arial"/>
                <w:sz w:val="21"/>
              </w:rPr>
            </w:pPr>
          </w:p>
          <w:p w14:paraId="29177B33">
            <w:pPr>
              <w:spacing w:line="285" w:lineRule="auto"/>
              <w:rPr>
                <w:rFonts w:ascii="Arial"/>
                <w:sz w:val="21"/>
              </w:rPr>
            </w:pPr>
          </w:p>
          <w:p w14:paraId="7F7594A9">
            <w:pPr>
              <w:pStyle w:val="6"/>
              <w:spacing w:before="88" w:line="228" w:lineRule="auto"/>
              <w:ind w:left="218"/>
            </w:pPr>
            <w:r>
              <w:rPr>
                <w:spacing w:val="-17"/>
              </w:rPr>
              <w:t>自律管理</w:t>
            </w:r>
          </w:p>
        </w:tc>
        <w:tc>
          <w:tcPr>
            <w:tcW w:w="910" w:type="dxa"/>
            <w:vAlign w:val="top"/>
          </w:tcPr>
          <w:p w14:paraId="66A80F05">
            <w:pPr>
              <w:pStyle w:val="6"/>
              <w:spacing w:before="250" w:line="197" w:lineRule="auto"/>
              <w:ind w:left="231"/>
            </w:pPr>
            <w:r>
              <w:rPr>
                <w:spacing w:val="-10"/>
              </w:rPr>
              <w:t>组织</w:t>
            </w:r>
          </w:p>
          <w:p w14:paraId="0DBD3FEA">
            <w:pPr>
              <w:pStyle w:val="6"/>
              <w:spacing w:before="50" w:line="231" w:lineRule="auto"/>
              <w:ind w:left="234"/>
            </w:pPr>
            <w:r>
              <w:rPr>
                <w:spacing w:val="-12"/>
              </w:rPr>
              <w:t>管理</w:t>
            </w:r>
          </w:p>
          <w:p w14:paraId="23540985">
            <w:pPr>
              <w:pStyle w:val="6"/>
              <w:spacing w:before="22" w:line="231" w:lineRule="auto"/>
              <w:ind w:left="239"/>
            </w:pPr>
            <w:r>
              <w:rPr>
                <w:spacing w:val="-14"/>
              </w:rPr>
              <w:t>与制</w:t>
            </w:r>
          </w:p>
          <w:p w14:paraId="0211BB2D">
            <w:pPr>
              <w:pStyle w:val="6"/>
              <w:spacing w:before="21" w:line="254" w:lineRule="auto"/>
              <w:ind w:left="343" w:right="213" w:hanging="120"/>
            </w:pPr>
            <w:r>
              <w:rPr>
                <w:spacing w:val="-6"/>
              </w:rPr>
              <w:t>度建</w:t>
            </w:r>
            <w:r>
              <w:t>设</w:t>
            </w:r>
          </w:p>
        </w:tc>
        <w:tc>
          <w:tcPr>
            <w:tcW w:w="990" w:type="dxa"/>
            <w:vAlign w:val="top"/>
          </w:tcPr>
          <w:p w14:paraId="30213F12">
            <w:pPr>
              <w:spacing w:line="338" w:lineRule="auto"/>
              <w:rPr>
                <w:rFonts w:ascii="Arial"/>
                <w:sz w:val="21"/>
              </w:rPr>
            </w:pPr>
          </w:p>
          <w:p w14:paraId="6AD7D285">
            <w:pPr>
              <w:spacing w:line="338" w:lineRule="auto"/>
              <w:rPr>
                <w:rFonts w:ascii="Arial"/>
                <w:sz w:val="21"/>
              </w:rPr>
            </w:pPr>
          </w:p>
          <w:p w14:paraId="0B410086">
            <w:pPr>
              <w:pStyle w:val="6"/>
              <w:spacing w:before="88" w:line="255" w:lineRule="auto"/>
              <w:ind w:left="263" w:right="132" w:hanging="112"/>
            </w:pPr>
            <w:r>
              <w:rPr>
                <w:spacing w:val="-7"/>
              </w:rPr>
              <w:t>制度及</w:t>
            </w:r>
            <w:r>
              <w:rPr>
                <w:spacing w:val="-6"/>
              </w:rPr>
              <w:t>培训</w:t>
            </w:r>
          </w:p>
        </w:tc>
        <w:tc>
          <w:tcPr>
            <w:tcW w:w="850" w:type="dxa"/>
            <w:vAlign w:val="top"/>
          </w:tcPr>
          <w:p w14:paraId="0E4F718F">
            <w:pPr>
              <w:spacing w:line="285" w:lineRule="auto"/>
              <w:rPr>
                <w:rFonts w:ascii="Arial"/>
                <w:sz w:val="21"/>
              </w:rPr>
            </w:pPr>
          </w:p>
          <w:p w14:paraId="3D1AA443">
            <w:pPr>
              <w:spacing w:line="285" w:lineRule="auto"/>
              <w:rPr>
                <w:rFonts w:ascii="Arial"/>
                <w:sz w:val="21"/>
              </w:rPr>
            </w:pPr>
          </w:p>
          <w:p w14:paraId="3149ED6D">
            <w:pPr>
              <w:spacing w:line="286" w:lineRule="auto"/>
              <w:rPr>
                <w:rFonts w:ascii="Arial"/>
                <w:sz w:val="21"/>
              </w:rPr>
            </w:pPr>
          </w:p>
          <w:p w14:paraId="51B6DA06">
            <w:pPr>
              <w:spacing w:before="69" w:line="314" w:lineRule="exact"/>
              <w:ind w:left="36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3879" w:type="dxa"/>
            <w:vAlign w:val="top"/>
          </w:tcPr>
          <w:p w14:paraId="7714F39D">
            <w:pPr>
              <w:pStyle w:val="6"/>
              <w:spacing w:before="226" w:line="250" w:lineRule="auto"/>
              <w:ind w:left="117" w:right="104"/>
            </w:pPr>
            <w:r>
              <w:rPr>
                <w:spacing w:val="3"/>
              </w:rPr>
              <w:t>建立健全定点医疗机构医保管理、费用管控、风险防范、监督检查、</w:t>
            </w:r>
            <w:r>
              <w:t>考核奖惩等制度，同时组织开展医</w:t>
            </w:r>
            <w:r>
              <w:rPr>
                <w:spacing w:val="3"/>
              </w:rPr>
              <w:t>疗保障基金相关制度、政策和管理</w:t>
            </w:r>
            <w:r>
              <w:rPr>
                <w:spacing w:val="-2"/>
              </w:rPr>
              <w:t>要求等业务培训。</w:t>
            </w:r>
          </w:p>
        </w:tc>
        <w:tc>
          <w:tcPr>
            <w:tcW w:w="4613" w:type="dxa"/>
            <w:vAlign w:val="top"/>
          </w:tcPr>
          <w:p w14:paraId="4E3CB8BE">
            <w:pPr>
              <w:pStyle w:val="6"/>
              <w:spacing w:before="32" w:line="244" w:lineRule="auto"/>
              <w:ind w:left="117" w:right="107" w:firstLine="16"/>
            </w:pPr>
            <w:r>
              <w:rPr>
                <w:rFonts w:ascii="Times New Roman" w:hAnsi="Times New Roman" w:eastAsia="Times New Roman" w:cs="Times New Roman"/>
                <w:spacing w:val="-8"/>
                <w:position w:val="-1"/>
              </w:rPr>
              <w:t>1</w:t>
            </w:r>
            <w:r>
              <w:rPr>
                <w:spacing w:val="-8"/>
              </w:rPr>
              <w:t>．建立相关管理制度且每半年至少</w:t>
            </w:r>
            <w:r>
              <w:rPr>
                <w:rFonts w:ascii="Times New Roman" w:hAnsi="Times New Roman" w:eastAsia="Times New Roman" w:cs="Times New Roman"/>
                <w:spacing w:val="-8"/>
                <w:position w:val="-1"/>
              </w:rPr>
              <w:t>1</w:t>
            </w:r>
            <w:r>
              <w:rPr>
                <w:spacing w:val="-8"/>
              </w:rPr>
              <w:t>次对</w:t>
            </w:r>
            <w:r>
              <w:rPr>
                <w:spacing w:val="-1"/>
              </w:rPr>
              <w:t>本机构职工进行医保相关法律法规、政策培训，并有培训记录，得满分；</w:t>
            </w:r>
          </w:p>
          <w:p w14:paraId="70B21CA5">
            <w:pPr>
              <w:pStyle w:val="6"/>
              <w:spacing w:before="9" w:line="238" w:lineRule="auto"/>
              <w:ind w:left="116" w:right="181" w:hanging="5"/>
            </w:pPr>
            <w:r>
              <w:rPr>
                <w:rFonts w:ascii="Times New Roman" w:hAnsi="Times New Roman" w:eastAsia="Times New Roman" w:cs="Times New Roman"/>
                <w:spacing w:val="-1"/>
                <w:position w:val="-1"/>
              </w:rPr>
              <w:t>2.</w:t>
            </w:r>
            <w:r>
              <w:rPr>
                <w:spacing w:val="-1"/>
              </w:rPr>
              <w:t>未建立相关制度或不按时对本机构职工进行医保相关法律法规、政策培训的，每</w:t>
            </w:r>
            <w:r>
              <w:rPr>
                <w:spacing w:val="-6"/>
              </w:rPr>
              <w:t>发现一次扣</w:t>
            </w:r>
            <w:r>
              <w:rPr>
                <w:rFonts w:ascii="Times New Roman" w:hAnsi="Times New Roman" w:eastAsia="Times New Roman" w:cs="Times New Roman"/>
                <w:spacing w:val="-6"/>
                <w:position w:val="-1"/>
              </w:rPr>
              <w:t>1</w:t>
            </w:r>
            <w:r>
              <w:rPr>
                <w:spacing w:val="-6"/>
              </w:rPr>
              <w:t>分，扣完为止。</w:t>
            </w:r>
          </w:p>
        </w:tc>
      </w:tr>
    </w:tbl>
    <w:p w14:paraId="689B35A3">
      <w:pPr>
        <w:rPr>
          <w:rFonts w:ascii="Arial"/>
          <w:sz w:val="21"/>
        </w:rPr>
      </w:pPr>
    </w:p>
    <w:p w14:paraId="4374BA32">
      <w:pPr>
        <w:rPr>
          <w:rFonts w:ascii="Arial" w:hAnsi="Arial" w:eastAsia="Arial" w:cs="Arial"/>
          <w:sz w:val="21"/>
          <w:szCs w:val="21"/>
        </w:rPr>
        <w:sectPr>
          <w:footerReference r:id="rId11" w:type="default"/>
          <w:pgSz w:w="16839" w:h="11906"/>
          <w:pgMar w:top="1012" w:right="1756" w:bottom="1166" w:left="1599" w:header="0" w:footer="800" w:gutter="0"/>
          <w:cols w:space="720" w:num="1"/>
        </w:sectPr>
      </w:pPr>
    </w:p>
    <w:tbl>
      <w:tblPr>
        <w:tblStyle w:val="5"/>
        <w:tblW w:w="133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272"/>
        <w:gridCol w:w="910"/>
        <w:gridCol w:w="990"/>
        <w:gridCol w:w="850"/>
        <w:gridCol w:w="3879"/>
        <w:gridCol w:w="4613"/>
      </w:tblGrid>
      <w:tr w14:paraId="16216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807" w:type="dxa"/>
            <w:vAlign w:val="top"/>
          </w:tcPr>
          <w:p w14:paraId="69461C8F">
            <w:pPr>
              <w:spacing w:line="259" w:lineRule="auto"/>
              <w:rPr>
                <w:rFonts w:ascii="Arial"/>
                <w:sz w:val="21"/>
              </w:rPr>
            </w:pPr>
          </w:p>
          <w:p w14:paraId="7AF20E11">
            <w:pPr>
              <w:spacing w:line="259" w:lineRule="auto"/>
              <w:rPr>
                <w:rFonts w:ascii="Arial"/>
                <w:sz w:val="21"/>
              </w:rPr>
            </w:pPr>
          </w:p>
          <w:p w14:paraId="0DFA0411">
            <w:pPr>
              <w:spacing w:line="259" w:lineRule="auto"/>
              <w:rPr>
                <w:rFonts w:ascii="Arial"/>
                <w:sz w:val="21"/>
              </w:rPr>
            </w:pPr>
          </w:p>
          <w:p w14:paraId="095554B8">
            <w:pPr>
              <w:spacing w:before="69" w:line="315"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16</w:t>
            </w:r>
          </w:p>
        </w:tc>
        <w:tc>
          <w:tcPr>
            <w:tcW w:w="1272" w:type="dxa"/>
            <w:vMerge w:val="restart"/>
            <w:tcBorders>
              <w:bottom w:val="nil"/>
            </w:tcBorders>
            <w:vAlign w:val="top"/>
          </w:tcPr>
          <w:p w14:paraId="208BF0D2">
            <w:pPr>
              <w:rPr>
                <w:rFonts w:ascii="Arial"/>
                <w:sz w:val="21"/>
              </w:rPr>
            </w:pPr>
          </w:p>
        </w:tc>
        <w:tc>
          <w:tcPr>
            <w:tcW w:w="910" w:type="dxa"/>
            <w:vMerge w:val="restart"/>
            <w:tcBorders>
              <w:bottom w:val="nil"/>
            </w:tcBorders>
            <w:vAlign w:val="top"/>
          </w:tcPr>
          <w:p w14:paraId="109C5301">
            <w:pPr>
              <w:spacing w:line="263" w:lineRule="auto"/>
              <w:rPr>
                <w:rFonts w:ascii="Arial"/>
                <w:sz w:val="21"/>
              </w:rPr>
            </w:pPr>
          </w:p>
          <w:p w14:paraId="30B7414B">
            <w:pPr>
              <w:spacing w:line="263" w:lineRule="auto"/>
              <w:rPr>
                <w:rFonts w:ascii="Arial"/>
                <w:sz w:val="21"/>
              </w:rPr>
            </w:pPr>
          </w:p>
          <w:p w14:paraId="2025D17E">
            <w:pPr>
              <w:spacing w:line="264" w:lineRule="auto"/>
              <w:rPr>
                <w:rFonts w:ascii="Arial"/>
                <w:sz w:val="21"/>
              </w:rPr>
            </w:pPr>
          </w:p>
          <w:p w14:paraId="1229F507">
            <w:pPr>
              <w:spacing w:line="264" w:lineRule="auto"/>
              <w:rPr>
                <w:rFonts w:ascii="Arial"/>
                <w:sz w:val="21"/>
              </w:rPr>
            </w:pPr>
          </w:p>
          <w:p w14:paraId="042C87E7">
            <w:pPr>
              <w:spacing w:line="264" w:lineRule="auto"/>
              <w:rPr>
                <w:rFonts w:ascii="Arial"/>
                <w:sz w:val="21"/>
              </w:rPr>
            </w:pPr>
          </w:p>
          <w:p w14:paraId="524488E5">
            <w:pPr>
              <w:spacing w:line="264" w:lineRule="auto"/>
              <w:rPr>
                <w:rFonts w:ascii="Arial"/>
                <w:sz w:val="21"/>
              </w:rPr>
            </w:pPr>
          </w:p>
          <w:p w14:paraId="1D8D738E">
            <w:pPr>
              <w:pStyle w:val="6"/>
              <w:spacing w:before="88" w:line="231" w:lineRule="auto"/>
              <w:ind w:left="234"/>
            </w:pPr>
            <w:r>
              <w:rPr>
                <w:spacing w:val="-12"/>
              </w:rPr>
              <w:t>管理</w:t>
            </w:r>
          </w:p>
          <w:p w14:paraId="79EB2EE0">
            <w:pPr>
              <w:pStyle w:val="6"/>
              <w:spacing w:before="62" w:line="234" w:lineRule="auto"/>
              <w:ind w:left="226"/>
            </w:pPr>
            <w:r>
              <w:rPr>
                <w:spacing w:val="-8"/>
              </w:rPr>
              <w:t>行为</w:t>
            </w:r>
          </w:p>
        </w:tc>
        <w:tc>
          <w:tcPr>
            <w:tcW w:w="990" w:type="dxa"/>
            <w:vAlign w:val="top"/>
          </w:tcPr>
          <w:p w14:paraId="014ED8CB">
            <w:pPr>
              <w:spacing w:line="289" w:lineRule="auto"/>
              <w:rPr>
                <w:rFonts w:ascii="Arial"/>
                <w:sz w:val="21"/>
              </w:rPr>
            </w:pPr>
          </w:p>
          <w:p w14:paraId="1519DD0A">
            <w:pPr>
              <w:spacing w:line="289" w:lineRule="auto"/>
              <w:rPr>
                <w:rFonts w:ascii="Arial"/>
                <w:sz w:val="21"/>
              </w:rPr>
            </w:pPr>
          </w:p>
          <w:p w14:paraId="0BACAEDD">
            <w:pPr>
              <w:pStyle w:val="6"/>
              <w:spacing w:before="88" w:line="228" w:lineRule="auto"/>
              <w:ind w:left="318"/>
            </w:pPr>
            <w:r>
              <w:rPr>
                <w:spacing w:val="-34"/>
              </w:rPr>
              <w:t>自查</w:t>
            </w:r>
          </w:p>
          <w:p w14:paraId="24BA4FD7">
            <w:pPr>
              <w:pStyle w:val="6"/>
              <w:spacing w:before="67" w:line="228" w:lineRule="auto"/>
              <w:ind w:left="318"/>
            </w:pPr>
            <w:r>
              <w:rPr>
                <w:spacing w:val="-34"/>
              </w:rPr>
              <w:t>自纠</w:t>
            </w:r>
          </w:p>
        </w:tc>
        <w:tc>
          <w:tcPr>
            <w:tcW w:w="850" w:type="dxa"/>
            <w:vAlign w:val="top"/>
          </w:tcPr>
          <w:p w14:paraId="516A3D03">
            <w:pPr>
              <w:spacing w:line="259" w:lineRule="auto"/>
              <w:rPr>
                <w:rFonts w:ascii="Arial"/>
                <w:sz w:val="21"/>
              </w:rPr>
            </w:pPr>
          </w:p>
          <w:p w14:paraId="186087EB">
            <w:pPr>
              <w:spacing w:line="259" w:lineRule="auto"/>
              <w:rPr>
                <w:rFonts w:ascii="Arial"/>
                <w:sz w:val="21"/>
              </w:rPr>
            </w:pPr>
          </w:p>
          <w:p w14:paraId="0C5B2AF4">
            <w:pPr>
              <w:spacing w:line="259" w:lineRule="auto"/>
              <w:rPr>
                <w:rFonts w:ascii="Arial"/>
                <w:sz w:val="21"/>
              </w:rPr>
            </w:pPr>
          </w:p>
          <w:p w14:paraId="21881959">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879" w:type="dxa"/>
            <w:vAlign w:val="top"/>
          </w:tcPr>
          <w:p w14:paraId="4C35CB0E">
            <w:pPr>
              <w:spacing w:line="382" w:lineRule="auto"/>
              <w:rPr>
                <w:rFonts w:ascii="Arial"/>
                <w:sz w:val="21"/>
              </w:rPr>
            </w:pPr>
          </w:p>
          <w:p w14:paraId="61A320A8">
            <w:pPr>
              <w:pStyle w:val="6"/>
              <w:spacing w:before="88" w:line="279" w:lineRule="auto"/>
              <w:ind w:left="119" w:right="104" w:hanging="2"/>
              <w:jc w:val="both"/>
            </w:pPr>
            <w:r>
              <w:rPr>
                <w:spacing w:val="3"/>
              </w:rPr>
              <w:t>定期检查定点医疗机构医保基金使</w:t>
            </w:r>
            <w:r>
              <w:t>用情况，及时纠正医疗保障基金使</w:t>
            </w:r>
            <w:r>
              <w:rPr>
                <w:spacing w:val="-2"/>
              </w:rPr>
              <w:t>用不规范的行为。</w:t>
            </w:r>
          </w:p>
        </w:tc>
        <w:tc>
          <w:tcPr>
            <w:tcW w:w="4613" w:type="dxa"/>
            <w:vAlign w:val="top"/>
          </w:tcPr>
          <w:p w14:paraId="0CF9E150">
            <w:pPr>
              <w:pStyle w:val="6"/>
              <w:spacing w:before="50" w:line="258" w:lineRule="auto"/>
              <w:ind w:left="126" w:right="31" w:firstLine="7"/>
            </w:pPr>
            <w:r>
              <w:rPr>
                <w:rFonts w:ascii="Times New Roman" w:hAnsi="Times New Roman" w:eastAsia="Times New Roman" w:cs="Times New Roman"/>
              </w:rPr>
              <w:t>1</w:t>
            </w:r>
            <w:r>
              <w:t>．开展自查自纠，及时报告存在的问题，</w:t>
            </w:r>
            <w:r>
              <w:rPr>
                <w:spacing w:val="-6"/>
              </w:rPr>
              <w:t>并主动全额退回违规医保基金的，得满分；</w:t>
            </w:r>
          </w:p>
          <w:p w14:paraId="479477AB">
            <w:pPr>
              <w:pStyle w:val="6"/>
              <w:spacing w:before="47" w:line="261" w:lineRule="auto"/>
              <w:ind w:left="121" w:right="34" w:hanging="10"/>
            </w:pPr>
            <w:r>
              <w:rPr>
                <w:rFonts w:ascii="Times New Roman" w:hAnsi="Times New Roman" w:eastAsia="Times New Roman" w:cs="Times New Roman"/>
                <w:spacing w:val="-6"/>
              </w:rPr>
              <w:t>2</w:t>
            </w:r>
            <w:r>
              <w:rPr>
                <w:spacing w:val="-6"/>
              </w:rPr>
              <w:t>．自查自纠不彻底、不全面，未主动全额</w:t>
            </w:r>
            <w:r>
              <w:rPr>
                <w:spacing w:val="-9"/>
              </w:rPr>
              <w:t>退回违规医保基金的，每发现一次扣</w:t>
            </w:r>
            <w:r>
              <w:rPr>
                <w:rFonts w:ascii="Times New Roman" w:hAnsi="Times New Roman" w:eastAsia="Times New Roman" w:cs="Times New Roman"/>
                <w:spacing w:val="-9"/>
              </w:rPr>
              <w:t>1</w:t>
            </w:r>
            <w:r>
              <w:rPr>
                <w:spacing w:val="-9"/>
              </w:rPr>
              <w:t>分，</w:t>
            </w:r>
            <w:r>
              <w:rPr>
                <w:spacing w:val="-4"/>
              </w:rPr>
              <w:t>扣完为止。</w:t>
            </w:r>
          </w:p>
        </w:tc>
      </w:tr>
      <w:tr w14:paraId="7C1D1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07" w:type="dxa"/>
            <w:vAlign w:val="top"/>
          </w:tcPr>
          <w:p w14:paraId="72CFA12A">
            <w:pPr>
              <w:spacing w:line="377" w:lineRule="auto"/>
              <w:rPr>
                <w:rFonts w:ascii="Arial"/>
                <w:sz w:val="21"/>
              </w:rPr>
            </w:pPr>
          </w:p>
          <w:p w14:paraId="0EE55BAA">
            <w:pPr>
              <w:spacing w:before="69" w:line="314"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2"/>
                <w:sz w:val="24"/>
                <w:szCs w:val="24"/>
              </w:rPr>
              <w:t>17</w:t>
            </w:r>
          </w:p>
        </w:tc>
        <w:tc>
          <w:tcPr>
            <w:tcW w:w="1272" w:type="dxa"/>
            <w:vMerge w:val="continue"/>
            <w:tcBorders>
              <w:top w:val="nil"/>
              <w:bottom w:val="nil"/>
            </w:tcBorders>
            <w:vAlign w:val="top"/>
          </w:tcPr>
          <w:p w14:paraId="7A284BFD">
            <w:pPr>
              <w:rPr>
                <w:rFonts w:ascii="Arial"/>
                <w:sz w:val="21"/>
              </w:rPr>
            </w:pPr>
          </w:p>
        </w:tc>
        <w:tc>
          <w:tcPr>
            <w:tcW w:w="910" w:type="dxa"/>
            <w:vMerge w:val="continue"/>
            <w:tcBorders>
              <w:top w:val="nil"/>
              <w:bottom w:val="nil"/>
            </w:tcBorders>
            <w:vAlign w:val="top"/>
          </w:tcPr>
          <w:p w14:paraId="4A28D767">
            <w:pPr>
              <w:rPr>
                <w:rFonts w:ascii="Arial"/>
                <w:sz w:val="21"/>
              </w:rPr>
            </w:pPr>
          </w:p>
        </w:tc>
        <w:tc>
          <w:tcPr>
            <w:tcW w:w="990" w:type="dxa"/>
            <w:vAlign w:val="top"/>
          </w:tcPr>
          <w:p w14:paraId="0933AA94">
            <w:pPr>
              <w:pStyle w:val="6"/>
              <w:spacing w:before="67" w:line="228" w:lineRule="auto"/>
              <w:ind w:left="170"/>
            </w:pPr>
            <w:r>
              <w:rPr>
                <w:spacing w:val="-14"/>
              </w:rPr>
              <w:t>自查自</w:t>
            </w:r>
          </w:p>
          <w:p w14:paraId="7562E2FB">
            <w:pPr>
              <w:pStyle w:val="6"/>
              <w:spacing w:before="64" w:line="249" w:lineRule="auto"/>
              <w:ind w:left="161" w:right="108" w:hanging="31"/>
            </w:pPr>
            <w:r>
              <w:rPr>
                <w:spacing w:val="-9"/>
              </w:rPr>
              <w:t>纠费用</w:t>
            </w:r>
            <w:r>
              <w:rPr>
                <w:spacing w:val="-30"/>
              </w:rPr>
              <w:t>占比</w:t>
            </w:r>
          </w:p>
        </w:tc>
        <w:tc>
          <w:tcPr>
            <w:tcW w:w="850" w:type="dxa"/>
            <w:vAlign w:val="top"/>
          </w:tcPr>
          <w:p w14:paraId="1B9B1184">
            <w:pPr>
              <w:spacing w:line="456" w:lineRule="auto"/>
              <w:rPr>
                <w:rFonts w:ascii="Arial"/>
                <w:sz w:val="21"/>
              </w:rPr>
            </w:pPr>
          </w:p>
          <w:p w14:paraId="2BC8F024">
            <w:pPr>
              <w:spacing w:before="69" w:line="185" w:lineRule="auto"/>
              <w:ind w:left="37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879" w:type="dxa"/>
            <w:vAlign w:val="top"/>
          </w:tcPr>
          <w:p w14:paraId="6762B34D">
            <w:pPr>
              <w:pStyle w:val="6"/>
              <w:spacing w:before="265" w:line="281" w:lineRule="auto"/>
              <w:ind w:left="117" w:right="104"/>
            </w:pPr>
            <w:r>
              <w:rPr>
                <w:spacing w:val="3"/>
              </w:rPr>
              <w:t>评价定点医疗机构医保违规行为自</w:t>
            </w:r>
            <w:r>
              <w:rPr>
                <w:spacing w:val="-2"/>
              </w:rPr>
              <w:t>查自纠是否彻底、全面。</w:t>
            </w:r>
          </w:p>
        </w:tc>
        <w:tc>
          <w:tcPr>
            <w:tcW w:w="4613" w:type="dxa"/>
            <w:vAlign w:val="top"/>
          </w:tcPr>
          <w:p w14:paraId="0C4E40BE">
            <w:pPr>
              <w:pStyle w:val="6"/>
              <w:spacing w:before="48" w:line="277" w:lineRule="auto"/>
              <w:ind w:left="120" w:right="107" w:firstLine="3"/>
            </w:pPr>
            <w:r>
              <w:rPr>
                <w:spacing w:val="-1"/>
              </w:rPr>
              <w:t>计算公式：评价年度内自查自纠退回金额</w:t>
            </w:r>
            <w:r>
              <w:rPr>
                <w:rFonts w:ascii="Times New Roman" w:hAnsi="Times New Roman" w:eastAsia="Times New Roman" w:cs="Times New Roman"/>
                <w:spacing w:val="-1"/>
              </w:rPr>
              <w:t>/</w:t>
            </w:r>
            <w:r>
              <w:rPr>
                <w:spacing w:val="-2"/>
              </w:rPr>
              <w:t>查实的违规金额；</w:t>
            </w:r>
          </w:p>
          <w:p w14:paraId="6510D085">
            <w:pPr>
              <w:pStyle w:val="6"/>
              <w:spacing w:before="7" w:line="224" w:lineRule="auto"/>
              <w:ind w:left="121"/>
            </w:pPr>
            <w:r>
              <w:rPr>
                <w:spacing w:val="-1"/>
              </w:rPr>
              <w:t>得分按照分值</w:t>
            </w:r>
            <w:r>
              <w:rPr>
                <w:rFonts w:ascii="Times New Roman" w:hAnsi="Times New Roman" w:eastAsia="Times New Roman" w:cs="Times New Roman"/>
                <w:spacing w:val="-1"/>
              </w:rPr>
              <w:t>*</w:t>
            </w:r>
            <w:r>
              <w:rPr>
                <w:spacing w:val="-1"/>
              </w:rPr>
              <w:t>自查自纠费用占比计分。</w:t>
            </w:r>
          </w:p>
        </w:tc>
      </w:tr>
      <w:tr w14:paraId="6D73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07" w:type="dxa"/>
            <w:vAlign w:val="top"/>
          </w:tcPr>
          <w:p w14:paraId="3D793AAE">
            <w:pPr>
              <w:spacing w:before="247" w:line="315"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18</w:t>
            </w:r>
          </w:p>
        </w:tc>
        <w:tc>
          <w:tcPr>
            <w:tcW w:w="1272" w:type="dxa"/>
            <w:vMerge w:val="continue"/>
            <w:tcBorders>
              <w:top w:val="nil"/>
            </w:tcBorders>
            <w:vAlign w:val="top"/>
          </w:tcPr>
          <w:p w14:paraId="36C78DA3">
            <w:pPr>
              <w:rPr>
                <w:rFonts w:ascii="Arial"/>
                <w:sz w:val="21"/>
              </w:rPr>
            </w:pPr>
          </w:p>
        </w:tc>
        <w:tc>
          <w:tcPr>
            <w:tcW w:w="910" w:type="dxa"/>
            <w:vMerge w:val="continue"/>
            <w:tcBorders>
              <w:top w:val="nil"/>
            </w:tcBorders>
            <w:vAlign w:val="top"/>
          </w:tcPr>
          <w:p w14:paraId="09A96031">
            <w:pPr>
              <w:rPr>
                <w:rFonts w:ascii="Arial"/>
                <w:sz w:val="21"/>
              </w:rPr>
            </w:pPr>
          </w:p>
        </w:tc>
        <w:tc>
          <w:tcPr>
            <w:tcW w:w="990" w:type="dxa"/>
            <w:vAlign w:val="top"/>
          </w:tcPr>
          <w:p w14:paraId="5717DD4F">
            <w:pPr>
              <w:pStyle w:val="6"/>
              <w:spacing w:before="68" w:line="248" w:lineRule="auto"/>
              <w:ind w:left="115" w:right="108"/>
            </w:pPr>
            <w:r>
              <w:rPr>
                <w:spacing w:val="13"/>
              </w:rPr>
              <w:t>举报投</w:t>
            </w:r>
            <w:r>
              <w:t>诉</w:t>
            </w:r>
          </w:p>
        </w:tc>
        <w:tc>
          <w:tcPr>
            <w:tcW w:w="850" w:type="dxa"/>
            <w:vAlign w:val="top"/>
          </w:tcPr>
          <w:p w14:paraId="33D91C99">
            <w:pPr>
              <w:spacing w:line="257" w:lineRule="auto"/>
              <w:rPr>
                <w:rFonts w:ascii="Arial"/>
                <w:sz w:val="21"/>
              </w:rPr>
            </w:pPr>
          </w:p>
          <w:p w14:paraId="6A7381C6">
            <w:pPr>
              <w:spacing w:before="69" w:line="185" w:lineRule="auto"/>
              <w:ind w:left="373"/>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879" w:type="dxa"/>
            <w:vAlign w:val="top"/>
          </w:tcPr>
          <w:p w14:paraId="197D8383">
            <w:pPr>
              <w:pStyle w:val="6"/>
              <w:spacing w:before="267" w:line="232" w:lineRule="auto"/>
              <w:jc w:val="right"/>
            </w:pPr>
            <w:r>
              <w:rPr>
                <w:spacing w:val="-9"/>
              </w:rPr>
              <w:t>网上、信函、电话等投诉查办情况。</w:t>
            </w:r>
          </w:p>
        </w:tc>
        <w:tc>
          <w:tcPr>
            <w:tcW w:w="4613" w:type="dxa"/>
            <w:vAlign w:val="top"/>
          </w:tcPr>
          <w:p w14:paraId="38C8950E">
            <w:pPr>
              <w:pStyle w:val="6"/>
              <w:spacing w:before="68" w:line="248" w:lineRule="auto"/>
              <w:ind w:left="124" w:right="154" w:firstLine="10"/>
            </w:pPr>
            <w:r>
              <w:rPr>
                <w:spacing w:val="-3"/>
              </w:rPr>
              <w:t>涉及本机构的网上、信函、电话投诉等，</w:t>
            </w:r>
            <w:r>
              <w:rPr>
                <w:spacing w:val="-4"/>
              </w:rPr>
              <w:t>经查证属实的，</w:t>
            </w:r>
            <w:r>
              <w:rPr>
                <w:rFonts w:ascii="Times New Roman" w:hAnsi="Times New Roman" w:eastAsia="Times New Roman" w:cs="Times New Roman"/>
                <w:spacing w:val="-4"/>
              </w:rPr>
              <w:t>1</w:t>
            </w:r>
            <w:r>
              <w:rPr>
                <w:spacing w:val="-4"/>
              </w:rPr>
              <w:t>次扣</w:t>
            </w:r>
            <w:r>
              <w:rPr>
                <w:rFonts w:ascii="Times New Roman" w:hAnsi="Times New Roman" w:eastAsia="Times New Roman" w:cs="Times New Roman"/>
                <w:spacing w:val="-4"/>
              </w:rPr>
              <w:t>1</w:t>
            </w:r>
            <w:r>
              <w:rPr>
                <w:spacing w:val="-4"/>
              </w:rPr>
              <w:t>分，扣完为止。</w:t>
            </w:r>
          </w:p>
        </w:tc>
      </w:tr>
      <w:tr w14:paraId="5E847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07" w:type="dxa"/>
            <w:vAlign w:val="top"/>
          </w:tcPr>
          <w:p w14:paraId="0479C292">
            <w:pPr>
              <w:spacing w:before="249" w:line="315" w:lineRule="exact"/>
              <w:ind w:left="307"/>
              <w:rPr>
                <w:rFonts w:ascii="Times New Roman" w:hAnsi="Times New Roman" w:eastAsia="Times New Roman" w:cs="Times New Roman"/>
                <w:sz w:val="24"/>
                <w:szCs w:val="24"/>
              </w:rPr>
            </w:pPr>
            <w:r>
              <w:rPr>
                <w:rFonts w:ascii="Times New Roman" w:hAnsi="Times New Roman" w:eastAsia="Times New Roman" w:cs="Times New Roman"/>
                <w:spacing w:val="-15"/>
                <w:position w:val="2"/>
                <w:sz w:val="24"/>
                <w:szCs w:val="24"/>
              </w:rPr>
              <w:t>19</w:t>
            </w:r>
          </w:p>
        </w:tc>
        <w:tc>
          <w:tcPr>
            <w:tcW w:w="1272" w:type="dxa"/>
            <w:vMerge w:val="restart"/>
            <w:tcBorders>
              <w:bottom w:val="nil"/>
            </w:tcBorders>
            <w:vAlign w:val="top"/>
          </w:tcPr>
          <w:p w14:paraId="1D45D6A8">
            <w:pPr>
              <w:spacing w:line="297" w:lineRule="auto"/>
              <w:rPr>
                <w:rFonts w:ascii="Arial"/>
                <w:sz w:val="21"/>
              </w:rPr>
            </w:pPr>
          </w:p>
          <w:p w14:paraId="631E8F4E">
            <w:pPr>
              <w:spacing w:line="297" w:lineRule="auto"/>
              <w:rPr>
                <w:rFonts w:ascii="Arial"/>
                <w:sz w:val="21"/>
              </w:rPr>
            </w:pPr>
          </w:p>
          <w:p w14:paraId="4E614395">
            <w:pPr>
              <w:spacing w:line="298" w:lineRule="auto"/>
              <w:rPr>
                <w:rFonts w:ascii="Arial"/>
                <w:sz w:val="21"/>
              </w:rPr>
            </w:pPr>
          </w:p>
          <w:p w14:paraId="3B386AFC">
            <w:pPr>
              <w:spacing w:line="298" w:lineRule="auto"/>
              <w:rPr>
                <w:rFonts w:ascii="Arial"/>
                <w:sz w:val="21"/>
              </w:rPr>
            </w:pPr>
          </w:p>
          <w:p w14:paraId="1E92DAA6">
            <w:pPr>
              <w:pStyle w:val="6"/>
              <w:spacing w:before="87" w:line="282" w:lineRule="auto"/>
              <w:ind w:left="405" w:right="155" w:hanging="240"/>
            </w:pPr>
            <w:r>
              <w:rPr>
                <w:spacing w:val="-4"/>
              </w:rPr>
              <w:t>违法违规</w:t>
            </w:r>
            <w:r>
              <w:rPr>
                <w:spacing w:val="-7"/>
              </w:rPr>
              <w:t>违约</w:t>
            </w:r>
          </w:p>
        </w:tc>
        <w:tc>
          <w:tcPr>
            <w:tcW w:w="910" w:type="dxa"/>
            <w:vMerge w:val="restart"/>
            <w:tcBorders>
              <w:bottom w:val="nil"/>
            </w:tcBorders>
            <w:vAlign w:val="top"/>
          </w:tcPr>
          <w:p w14:paraId="04D526E7">
            <w:pPr>
              <w:spacing w:line="262" w:lineRule="auto"/>
              <w:rPr>
                <w:rFonts w:ascii="Arial"/>
                <w:sz w:val="21"/>
              </w:rPr>
            </w:pPr>
          </w:p>
          <w:p w14:paraId="0C9224CF">
            <w:pPr>
              <w:spacing w:line="262" w:lineRule="auto"/>
              <w:rPr>
                <w:rFonts w:ascii="Arial"/>
                <w:sz w:val="21"/>
              </w:rPr>
            </w:pPr>
          </w:p>
          <w:p w14:paraId="77599135">
            <w:pPr>
              <w:spacing w:line="262" w:lineRule="auto"/>
              <w:rPr>
                <w:rFonts w:ascii="Arial"/>
                <w:sz w:val="21"/>
              </w:rPr>
            </w:pPr>
          </w:p>
          <w:p w14:paraId="7C4EA5A7">
            <w:pPr>
              <w:pStyle w:val="6"/>
              <w:spacing w:before="88" w:line="234" w:lineRule="auto"/>
              <w:ind w:left="239"/>
            </w:pPr>
            <w:r>
              <w:rPr>
                <w:spacing w:val="-14"/>
              </w:rPr>
              <w:t>一般</w:t>
            </w:r>
          </w:p>
          <w:p w14:paraId="6060AE73">
            <w:pPr>
              <w:pStyle w:val="6"/>
              <w:spacing w:before="59" w:line="231" w:lineRule="auto"/>
              <w:ind w:left="225"/>
            </w:pPr>
            <w:r>
              <w:rPr>
                <w:spacing w:val="-7"/>
              </w:rPr>
              <w:t>处理</w:t>
            </w:r>
          </w:p>
        </w:tc>
        <w:tc>
          <w:tcPr>
            <w:tcW w:w="990" w:type="dxa"/>
            <w:vAlign w:val="top"/>
          </w:tcPr>
          <w:p w14:paraId="5553BCE5">
            <w:pPr>
              <w:pStyle w:val="6"/>
              <w:spacing w:before="269" w:line="235" w:lineRule="auto"/>
              <w:ind w:left="277"/>
            </w:pPr>
            <w:r>
              <w:rPr>
                <w:spacing w:val="-13"/>
              </w:rPr>
              <w:t>约谈</w:t>
            </w:r>
          </w:p>
        </w:tc>
        <w:tc>
          <w:tcPr>
            <w:tcW w:w="850" w:type="dxa"/>
            <w:vAlign w:val="top"/>
          </w:tcPr>
          <w:p w14:paraId="66E87F2E">
            <w:pPr>
              <w:spacing w:before="24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879" w:type="dxa"/>
            <w:vAlign w:val="top"/>
          </w:tcPr>
          <w:p w14:paraId="24C25456">
            <w:pPr>
              <w:pStyle w:val="6"/>
              <w:spacing w:before="68" w:line="248" w:lineRule="auto"/>
              <w:ind w:left="117" w:right="104" w:firstLine="30"/>
            </w:pPr>
            <w:r>
              <w:rPr>
                <w:spacing w:val="1"/>
              </w:rPr>
              <w:t>因发生违规行为被医保部门进行约</w:t>
            </w:r>
            <w:r>
              <w:rPr>
                <w:spacing w:val="-7"/>
              </w:rPr>
              <w:t>谈。</w:t>
            </w:r>
          </w:p>
        </w:tc>
        <w:tc>
          <w:tcPr>
            <w:tcW w:w="4613" w:type="dxa"/>
            <w:vAlign w:val="top"/>
          </w:tcPr>
          <w:p w14:paraId="763755C1">
            <w:pPr>
              <w:pStyle w:val="6"/>
              <w:spacing w:before="249" w:line="382" w:lineRule="exact"/>
              <w:ind w:left="118"/>
            </w:pPr>
            <w:r>
              <w:rPr>
                <w:spacing w:val="-8"/>
                <w:position w:val="3"/>
              </w:rPr>
              <w:t>被医保部门约谈</w:t>
            </w:r>
            <w:r>
              <w:rPr>
                <w:rFonts w:ascii="Times New Roman" w:hAnsi="Times New Roman" w:eastAsia="Times New Roman" w:cs="Times New Roman"/>
                <w:spacing w:val="-8"/>
                <w:position w:val="3"/>
              </w:rPr>
              <w:t>1</w:t>
            </w:r>
            <w:r>
              <w:rPr>
                <w:spacing w:val="-8"/>
                <w:position w:val="3"/>
              </w:rPr>
              <w:t>次扣</w:t>
            </w:r>
            <w:r>
              <w:rPr>
                <w:rFonts w:ascii="Times New Roman" w:hAnsi="Times New Roman" w:eastAsia="Times New Roman" w:cs="Times New Roman"/>
                <w:spacing w:val="-8"/>
                <w:position w:val="3"/>
              </w:rPr>
              <w:t>1</w:t>
            </w:r>
            <w:r>
              <w:rPr>
                <w:spacing w:val="-8"/>
                <w:position w:val="3"/>
              </w:rPr>
              <w:t>分，扣完为止。</w:t>
            </w:r>
          </w:p>
        </w:tc>
      </w:tr>
      <w:tr w14:paraId="411F6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07" w:type="dxa"/>
            <w:vAlign w:val="top"/>
          </w:tcPr>
          <w:p w14:paraId="4D7DFC3F">
            <w:pPr>
              <w:spacing w:before="249" w:line="315" w:lineRule="exact"/>
              <w:ind w:left="28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20</w:t>
            </w:r>
          </w:p>
        </w:tc>
        <w:tc>
          <w:tcPr>
            <w:tcW w:w="1272" w:type="dxa"/>
            <w:vMerge w:val="continue"/>
            <w:tcBorders>
              <w:top w:val="nil"/>
              <w:bottom w:val="nil"/>
            </w:tcBorders>
            <w:vAlign w:val="top"/>
          </w:tcPr>
          <w:p w14:paraId="3A7BD465">
            <w:pPr>
              <w:rPr>
                <w:rFonts w:ascii="Arial"/>
                <w:sz w:val="21"/>
              </w:rPr>
            </w:pPr>
          </w:p>
        </w:tc>
        <w:tc>
          <w:tcPr>
            <w:tcW w:w="910" w:type="dxa"/>
            <w:vMerge w:val="continue"/>
            <w:tcBorders>
              <w:top w:val="nil"/>
              <w:bottom w:val="nil"/>
            </w:tcBorders>
            <w:vAlign w:val="top"/>
          </w:tcPr>
          <w:p w14:paraId="6CE16E6D">
            <w:pPr>
              <w:rPr>
                <w:rFonts w:ascii="Arial"/>
                <w:sz w:val="21"/>
              </w:rPr>
            </w:pPr>
          </w:p>
        </w:tc>
        <w:tc>
          <w:tcPr>
            <w:tcW w:w="990" w:type="dxa"/>
            <w:vAlign w:val="top"/>
          </w:tcPr>
          <w:p w14:paraId="6F448977">
            <w:pPr>
              <w:pStyle w:val="6"/>
              <w:spacing w:before="69" w:line="235" w:lineRule="auto"/>
              <w:ind w:left="288"/>
            </w:pPr>
            <w:r>
              <w:rPr>
                <w:spacing w:val="-19"/>
              </w:rPr>
              <w:t>限期</w:t>
            </w:r>
          </w:p>
          <w:p w14:paraId="36E479AC">
            <w:pPr>
              <w:pStyle w:val="6"/>
              <w:spacing w:before="58" w:line="221" w:lineRule="auto"/>
              <w:ind w:left="268"/>
            </w:pPr>
            <w:r>
              <w:rPr>
                <w:spacing w:val="-8"/>
              </w:rPr>
              <w:t>整改</w:t>
            </w:r>
          </w:p>
        </w:tc>
        <w:tc>
          <w:tcPr>
            <w:tcW w:w="850" w:type="dxa"/>
            <w:vAlign w:val="top"/>
          </w:tcPr>
          <w:p w14:paraId="11CD29C0">
            <w:pPr>
              <w:spacing w:before="24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879" w:type="dxa"/>
            <w:vAlign w:val="top"/>
          </w:tcPr>
          <w:p w14:paraId="24EA89ED">
            <w:pPr>
              <w:pStyle w:val="6"/>
              <w:spacing w:before="69" w:line="248" w:lineRule="auto"/>
              <w:ind w:left="125" w:right="104" w:firstLine="23"/>
            </w:pPr>
            <w:r>
              <w:rPr>
                <w:spacing w:val="1"/>
              </w:rPr>
              <w:t>因发生违规行为被医保部门要求限</w:t>
            </w:r>
            <w:r>
              <w:rPr>
                <w:spacing w:val="-6"/>
              </w:rPr>
              <w:t>期整改。</w:t>
            </w:r>
          </w:p>
        </w:tc>
        <w:tc>
          <w:tcPr>
            <w:tcW w:w="4613" w:type="dxa"/>
            <w:vAlign w:val="top"/>
          </w:tcPr>
          <w:p w14:paraId="66B82672">
            <w:pPr>
              <w:pStyle w:val="6"/>
              <w:spacing w:before="249" w:line="381" w:lineRule="exact"/>
              <w:jc w:val="right"/>
            </w:pPr>
            <w:r>
              <w:rPr>
                <w:spacing w:val="-18"/>
                <w:position w:val="3"/>
              </w:rPr>
              <w:t>被责令限期整改</w:t>
            </w:r>
            <w:r>
              <w:rPr>
                <w:rFonts w:ascii="Times New Roman" w:hAnsi="Times New Roman" w:eastAsia="Times New Roman" w:cs="Times New Roman"/>
                <w:spacing w:val="-18"/>
                <w:position w:val="3"/>
              </w:rPr>
              <w:t>1</w:t>
            </w:r>
            <w:r>
              <w:rPr>
                <w:spacing w:val="-18"/>
                <w:position w:val="3"/>
              </w:rPr>
              <w:t>次，扣</w:t>
            </w:r>
            <w:r>
              <w:rPr>
                <w:rFonts w:ascii="Times New Roman" w:hAnsi="Times New Roman" w:eastAsia="Times New Roman" w:cs="Times New Roman"/>
                <w:spacing w:val="-18"/>
                <w:position w:val="3"/>
              </w:rPr>
              <w:t>1.5</w:t>
            </w:r>
            <w:r>
              <w:rPr>
                <w:spacing w:val="-18"/>
                <w:position w:val="3"/>
              </w:rPr>
              <w:t>分，扣完为止。</w:t>
            </w:r>
          </w:p>
        </w:tc>
      </w:tr>
      <w:tr w14:paraId="2445D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07" w:type="dxa"/>
            <w:vAlign w:val="top"/>
          </w:tcPr>
          <w:p w14:paraId="5A71D414">
            <w:pPr>
              <w:spacing w:before="250" w:line="315" w:lineRule="exact"/>
              <w:ind w:left="28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21</w:t>
            </w:r>
          </w:p>
        </w:tc>
        <w:tc>
          <w:tcPr>
            <w:tcW w:w="1272" w:type="dxa"/>
            <w:vMerge w:val="continue"/>
            <w:tcBorders>
              <w:top w:val="nil"/>
              <w:bottom w:val="nil"/>
            </w:tcBorders>
            <w:vAlign w:val="top"/>
          </w:tcPr>
          <w:p w14:paraId="4E00EE9C">
            <w:pPr>
              <w:rPr>
                <w:rFonts w:ascii="Arial"/>
                <w:sz w:val="21"/>
              </w:rPr>
            </w:pPr>
          </w:p>
        </w:tc>
        <w:tc>
          <w:tcPr>
            <w:tcW w:w="910" w:type="dxa"/>
            <w:vMerge w:val="continue"/>
            <w:tcBorders>
              <w:top w:val="nil"/>
            </w:tcBorders>
            <w:vAlign w:val="top"/>
          </w:tcPr>
          <w:p w14:paraId="0A391EBD">
            <w:pPr>
              <w:rPr>
                <w:rFonts w:ascii="Arial"/>
                <w:sz w:val="21"/>
              </w:rPr>
            </w:pPr>
          </w:p>
        </w:tc>
        <w:tc>
          <w:tcPr>
            <w:tcW w:w="990" w:type="dxa"/>
            <w:vAlign w:val="top"/>
          </w:tcPr>
          <w:p w14:paraId="15831266">
            <w:pPr>
              <w:pStyle w:val="6"/>
              <w:spacing w:before="270" w:line="234" w:lineRule="auto"/>
              <w:ind w:left="267"/>
            </w:pPr>
            <w:r>
              <w:rPr>
                <w:spacing w:val="-8"/>
              </w:rPr>
              <w:t>通报</w:t>
            </w:r>
          </w:p>
        </w:tc>
        <w:tc>
          <w:tcPr>
            <w:tcW w:w="850" w:type="dxa"/>
            <w:vAlign w:val="top"/>
          </w:tcPr>
          <w:p w14:paraId="63A862C7">
            <w:pPr>
              <w:spacing w:before="250"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879" w:type="dxa"/>
            <w:vAlign w:val="top"/>
          </w:tcPr>
          <w:p w14:paraId="6BAD13C4">
            <w:pPr>
              <w:pStyle w:val="6"/>
              <w:spacing w:before="69" w:line="248" w:lineRule="auto"/>
              <w:ind w:left="121" w:right="104" w:firstLine="27"/>
            </w:pPr>
            <w:r>
              <w:rPr>
                <w:spacing w:val="1"/>
              </w:rPr>
              <w:t>因发生违规行为被医保部门进行通</w:t>
            </w:r>
            <w:r>
              <w:rPr>
                <w:spacing w:val="-9"/>
              </w:rPr>
              <w:t>报。</w:t>
            </w:r>
          </w:p>
        </w:tc>
        <w:tc>
          <w:tcPr>
            <w:tcW w:w="4613" w:type="dxa"/>
            <w:vAlign w:val="top"/>
          </w:tcPr>
          <w:p w14:paraId="7FEDA646">
            <w:pPr>
              <w:pStyle w:val="6"/>
              <w:spacing w:before="250" w:line="382" w:lineRule="exact"/>
              <w:jc w:val="right"/>
            </w:pPr>
            <w:r>
              <w:rPr>
                <w:spacing w:val="-11"/>
                <w:position w:val="3"/>
              </w:rPr>
              <w:t>每被医保部门通报</w:t>
            </w:r>
            <w:r>
              <w:rPr>
                <w:rFonts w:ascii="Times New Roman" w:hAnsi="Times New Roman" w:eastAsia="Times New Roman" w:cs="Times New Roman"/>
                <w:spacing w:val="-11"/>
                <w:position w:val="3"/>
              </w:rPr>
              <w:t>1</w:t>
            </w:r>
            <w:r>
              <w:rPr>
                <w:spacing w:val="-11"/>
                <w:position w:val="3"/>
              </w:rPr>
              <w:t>例扣</w:t>
            </w:r>
            <w:r>
              <w:rPr>
                <w:rFonts w:ascii="Times New Roman" w:hAnsi="Times New Roman" w:eastAsia="Times New Roman" w:cs="Times New Roman"/>
                <w:spacing w:val="-11"/>
                <w:position w:val="3"/>
              </w:rPr>
              <w:t>1</w:t>
            </w:r>
            <w:r>
              <w:rPr>
                <w:spacing w:val="-11"/>
                <w:position w:val="3"/>
              </w:rPr>
              <w:t>分，扣完为止。</w:t>
            </w:r>
          </w:p>
        </w:tc>
      </w:tr>
      <w:tr w14:paraId="2DFF8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07" w:type="dxa"/>
            <w:vAlign w:val="top"/>
          </w:tcPr>
          <w:p w14:paraId="5FE6286D">
            <w:pPr>
              <w:spacing w:before="249" w:line="315" w:lineRule="exact"/>
              <w:ind w:left="28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22</w:t>
            </w:r>
          </w:p>
        </w:tc>
        <w:tc>
          <w:tcPr>
            <w:tcW w:w="1272" w:type="dxa"/>
            <w:vMerge w:val="continue"/>
            <w:tcBorders>
              <w:top w:val="nil"/>
            </w:tcBorders>
            <w:vAlign w:val="top"/>
          </w:tcPr>
          <w:p w14:paraId="2D0481F1">
            <w:pPr>
              <w:rPr>
                <w:rFonts w:ascii="Arial"/>
                <w:sz w:val="21"/>
              </w:rPr>
            </w:pPr>
          </w:p>
        </w:tc>
        <w:tc>
          <w:tcPr>
            <w:tcW w:w="910" w:type="dxa"/>
            <w:vAlign w:val="top"/>
          </w:tcPr>
          <w:p w14:paraId="7F4D3FC8">
            <w:pPr>
              <w:pStyle w:val="6"/>
              <w:spacing w:before="70" w:line="234" w:lineRule="auto"/>
              <w:ind w:left="231"/>
            </w:pPr>
            <w:r>
              <w:rPr>
                <w:spacing w:val="-10"/>
              </w:rPr>
              <w:t>协议</w:t>
            </w:r>
          </w:p>
          <w:p w14:paraId="22207FC2">
            <w:pPr>
              <w:pStyle w:val="6"/>
              <w:spacing w:before="58" w:line="223" w:lineRule="auto"/>
              <w:ind w:left="225"/>
            </w:pPr>
            <w:r>
              <w:rPr>
                <w:spacing w:val="-7"/>
              </w:rPr>
              <w:t>处理</w:t>
            </w:r>
          </w:p>
        </w:tc>
        <w:tc>
          <w:tcPr>
            <w:tcW w:w="990" w:type="dxa"/>
            <w:vAlign w:val="top"/>
          </w:tcPr>
          <w:p w14:paraId="10CFFCE1">
            <w:pPr>
              <w:pStyle w:val="6"/>
              <w:spacing w:before="70" w:line="234" w:lineRule="auto"/>
              <w:ind w:left="272"/>
            </w:pPr>
            <w:r>
              <w:rPr>
                <w:spacing w:val="-10"/>
              </w:rPr>
              <w:t>协议</w:t>
            </w:r>
          </w:p>
          <w:p w14:paraId="7F64DEC7">
            <w:pPr>
              <w:pStyle w:val="6"/>
              <w:spacing w:before="58" w:line="223" w:lineRule="auto"/>
              <w:ind w:left="265"/>
            </w:pPr>
            <w:r>
              <w:rPr>
                <w:spacing w:val="-7"/>
              </w:rPr>
              <w:t>处理</w:t>
            </w:r>
          </w:p>
        </w:tc>
        <w:tc>
          <w:tcPr>
            <w:tcW w:w="850" w:type="dxa"/>
            <w:vAlign w:val="top"/>
          </w:tcPr>
          <w:p w14:paraId="4C405C3A">
            <w:pPr>
              <w:spacing w:before="24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879" w:type="dxa"/>
            <w:vAlign w:val="top"/>
          </w:tcPr>
          <w:p w14:paraId="38BD4568">
            <w:pPr>
              <w:pStyle w:val="6"/>
              <w:spacing w:before="270" w:line="231" w:lineRule="auto"/>
              <w:ind w:left="116"/>
            </w:pPr>
            <w:r>
              <w:rPr>
                <w:spacing w:val="-1"/>
              </w:rPr>
              <w:t>被医保部门给予协议处理情况。</w:t>
            </w:r>
          </w:p>
        </w:tc>
        <w:tc>
          <w:tcPr>
            <w:tcW w:w="4613" w:type="dxa"/>
            <w:vAlign w:val="top"/>
          </w:tcPr>
          <w:p w14:paraId="6AC579DD">
            <w:pPr>
              <w:pStyle w:val="6"/>
              <w:spacing w:before="51" w:line="255" w:lineRule="auto"/>
              <w:ind w:left="119" w:right="107" w:hanging="4"/>
            </w:pPr>
            <w:r>
              <w:rPr>
                <w:spacing w:val="-9"/>
              </w:rPr>
              <w:t>每被医保经办机构给予协议处理一次，扣</w:t>
            </w:r>
            <w:r>
              <w:rPr>
                <w:rFonts w:ascii="Times New Roman" w:hAnsi="Times New Roman" w:eastAsia="Times New Roman" w:cs="Times New Roman"/>
                <w:spacing w:val="-9"/>
              </w:rPr>
              <w:t>1</w:t>
            </w:r>
            <w:r>
              <w:rPr>
                <w:spacing w:val="-8"/>
              </w:rPr>
              <w:t>分。</w:t>
            </w:r>
          </w:p>
        </w:tc>
      </w:tr>
    </w:tbl>
    <w:p w14:paraId="3B769136">
      <w:pPr>
        <w:rPr>
          <w:rFonts w:ascii="Arial"/>
          <w:sz w:val="21"/>
        </w:rPr>
      </w:pPr>
    </w:p>
    <w:p w14:paraId="1419A02F">
      <w:pPr>
        <w:rPr>
          <w:rFonts w:ascii="Arial" w:hAnsi="Arial" w:eastAsia="Arial" w:cs="Arial"/>
          <w:sz w:val="21"/>
          <w:szCs w:val="21"/>
        </w:rPr>
        <w:sectPr>
          <w:footerReference r:id="rId12" w:type="default"/>
          <w:pgSz w:w="16839" w:h="11906"/>
          <w:pgMar w:top="1012" w:right="1479" w:bottom="1166" w:left="1755" w:header="0" w:footer="800" w:gutter="0"/>
          <w:cols w:space="720" w:num="1"/>
        </w:sectPr>
      </w:pPr>
    </w:p>
    <w:tbl>
      <w:tblPr>
        <w:tblStyle w:val="5"/>
        <w:tblW w:w="13321" w:type="dxa"/>
        <w:tblInd w:w="1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1272"/>
        <w:gridCol w:w="910"/>
        <w:gridCol w:w="990"/>
        <w:gridCol w:w="850"/>
        <w:gridCol w:w="3879"/>
        <w:gridCol w:w="4613"/>
      </w:tblGrid>
      <w:tr w14:paraId="0C0D4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807" w:type="dxa"/>
            <w:vAlign w:val="top"/>
          </w:tcPr>
          <w:p w14:paraId="0F41A534">
            <w:pPr>
              <w:spacing w:line="438" w:lineRule="auto"/>
              <w:rPr>
                <w:rFonts w:ascii="Arial"/>
                <w:sz w:val="21"/>
              </w:rPr>
            </w:pPr>
          </w:p>
          <w:p w14:paraId="6F8EE562">
            <w:pPr>
              <w:spacing w:before="69" w:line="315" w:lineRule="exact"/>
              <w:ind w:left="28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23</w:t>
            </w:r>
          </w:p>
        </w:tc>
        <w:tc>
          <w:tcPr>
            <w:tcW w:w="1272" w:type="dxa"/>
            <w:vMerge w:val="restart"/>
            <w:tcBorders>
              <w:bottom w:val="nil"/>
            </w:tcBorders>
            <w:vAlign w:val="top"/>
          </w:tcPr>
          <w:p w14:paraId="07502079">
            <w:pPr>
              <w:rPr>
                <w:rFonts w:ascii="Arial"/>
                <w:sz w:val="21"/>
              </w:rPr>
            </w:pPr>
          </w:p>
        </w:tc>
        <w:tc>
          <w:tcPr>
            <w:tcW w:w="910" w:type="dxa"/>
            <w:vAlign w:val="top"/>
          </w:tcPr>
          <w:p w14:paraId="31658F95">
            <w:pPr>
              <w:rPr>
                <w:rFonts w:ascii="Arial"/>
                <w:sz w:val="21"/>
              </w:rPr>
            </w:pPr>
          </w:p>
        </w:tc>
        <w:tc>
          <w:tcPr>
            <w:tcW w:w="990" w:type="dxa"/>
            <w:vAlign w:val="top"/>
          </w:tcPr>
          <w:p w14:paraId="5ACDDB04">
            <w:pPr>
              <w:pStyle w:val="6"/>
              <w:spacing w:before="310" w:line="231" w:lineRule="auto"/>
              <w:ind w:left="298"/>
            </w:pPr>
            <w:r>
              <w:rPr>
                <w:spacing w:val="-23"/>
              </w:rPr>
              <w:t>中止</w:t>
            </w:r>
          </w:p>
          <w:p w14:paraId="4715FF0E">
            <w:pPr>
              <w:pStyle w:val="6"/>
              <w:spacing w:before="103" w:line="234" w:lineRule="auto"/>
              <w:ind w:left="272"/>
            </w:pPr>
            <w:r>
              <w:rPr>
                <w:spacing w:val="-10"/>
              </w:rPr>
              <w:t>协议</w:t>
            </w:r>
          </w:p>
        </w:tc>
        <w:tc>
          <w:tcPr>
            <w:tcW w:w="850" w:type="dxa"/>
            <w:vAlign w:val="top"/>
          </w:tcPr>
          <w:p w14:paraId="033DC47F">
            <w:pPr>
              <w:spacing w:line="438" w:lineRule="auto"/>
              <w:rPr>
                <w:rFonts w:ascii="Arial"/>
                <w:sz w:val="21"/>
              </w:rPr>
            </w:pPr>
          </w:p>
          <w:p w14:paraId="42260749">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879" w:type="dxa"/>
            <w:vAlign w:val="top"/>
          </w:tcPr>
          <w:p w14:paraId="42289872">
            <w:pPr>
              <w:pStyle w:val="6"/>
              <w:spacing w:before="310" w:line="312" w:lineRule="auto"/>
              <w:ind w:left="116" w:right="104" w:firstLine="31"/>
            </w:pPr>
            <w:r>
              <w:rPr>
                <w:spacing w:val="1"/>
              </w:rPr>
              <w:t>因发生违规行为被医保部门中止协</w:t>
            </w:r>
            <w:r>
              <w:rPr>
                <w:spacing w:val="-7"/>
              </w:rPr>
              <w:t>议。</w:t>
            </w:r>
          </w:p>
        </w:tc>
        <w:tc>
          <w:tcPr>
            <w:tcW w:w="4613" w:type="dxa"/>
            <w:vAlign w:val="top"/>
          </w:tcPr>
          <w:p w14:paraId="3A3B34F6">
            <w:pPr>
              <w:pStyle w:val="6"/>
              <w:spacing w:before="72" w:line="284" w:lineRule="auto"/>
              <w:ind w:left="116" w:right="107" w:firstLine="12"/>
              <w:jc w:val="both"/>
            </w:pPr>
            <w:r>
              <w:rPr>
                <w:spacing w:val="12"/>
              </w:rPr>
              <w:t>暂停医保服务协议月数累计</w:t>
            </w:r>
            <w:r>
              <w:rPr>
                <w:rFonts w:ascii="Times New Roman" w:hAnsi="Times New Roman" w:eastAsia="Times New Roman" w:cs="Times New Roman"/>
                <w:spacing w:val="12"/>
              </w:rPr>
              <w:t>≤3</w:t>
            </w:r>
            <w:r>
              <w:rPr>
                <w:spacing w:val="12"/>
              </w:rPr>
              <w:t>个月扣</w:t>
            </w:r>
            <w:r>
              <w:rPr>
                <w:rFonts w:ascii="Times New Roman" w:hAnsi="Times New Roman" w:eastAsia="Times New Roman" w:cs="Times New Roman"/>
                <w:spacing w:val="12"/>
              </w:rPr>
              <w:t>2</w:t>
            </w:r>
            <w:r>
              <w:rPr>
                <w:spacing w:val="4"/>
              </w:rPr>
              <w:t>分</w:t>
            </w:r>
            <w:r>
              <w:rPr>
                <w:spacing w:val="-42"/>
              </w:rPr>
              <w:t>；＞</w:t>
            </w:r>
            <w:r>
              <w:rPr>
                <w:rFonts w:ascii="Times New Roman" w:hAnsi="Times New Roman" w:eastAsia="Times New Roman" w:cs="Times New Roman"/>
                <w:spacing w:val="4"/>
              </w:rPr>
              <w:t>3</w:t>
            </w:r>
            <w:r>
              <w:rPr>
                <w:spacing w:val="4"/>
              </w:rPr>
              <w:t>个月且</w:t>
            </w:r>
            <w:r>
              <w:rPr>
                <w:rFonts w:ascii="Times New Roman" w:hAnsi="Times New Roman" w:eastAsia="Times New Roman" w:cs="Times New Roman"/>
                <w:spacing w:val="4"/>
              </w:rPr>
              <w:t>≤6</w:t>
            </w:r>
            <w:r>
              <w:rPr>
                <w:spacing w:val="4"/>
              </w:rPr>
              <w:t>个月扣</w:t>
            </w:r>
            <w:r>
              <w:rPr>
                <w:rFonts w:ascii="Times New Roman" w:hAnsi="Times New Roman" w:eastAsia="Times New Roman" w:cs="Times New Roman"/>
                <w:spacing w:val="4"/>
              </w:rPr>
              <w:t>4</w:t>
            </w:r>
            <w:r>
              <w:rPr>
                <w:spacing w:val="4"/>
              </w:rPr>
              <w:t>分</w:t>
            </w:r>
            <w:r>
              <w:rPr>
                <w:spacing w:val="-42"/>
              </w:rPr>
              <w:t>；＞</w:t>
            </w:r>
            <w:r>
              <w:rPr>
                <w:rFonts w:ascii="Times New Roman" w:hAnsi="Times New Roman" w:eastAsia="Times New Roman" w:cs="Times New Roman"/>
                <w:spacing w:val="4"/>
              </w:rPr>
              <w:t>6</w:t>
            </w:r>
            <w:r>
              <w:rPr>
                <w:spacing w:val="4"/>
              </w:rPr>
              <w:t>个月扣</w:t>
            </w:r>
            <w:r>
              <w:rPr>
                <w:rFonts w:ascii="Times New Roman" w:hAnsi="Times New Roman" w:eastAsia="Times New Roman" w:cs="Times New Roman"/>
                <w:spacing w:val="-9"/>
              </w:rPr>
              <w:t>6</w:t>
            </w:r>
            <w:r>
              <w:rPr>
                <w:spacing w:val="-9"/>
              </w:rPr>
              <w:t>分。</w:t>
            </w:r>
          </w:p>
        </w:tc>
      </w:tr>
      <w:tr w14:paraId="1CDB6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07" w:type="dxa"/>
            <w:vAlign w:val="top"/>
          </w:tcPr>
          <w:p w14:paraId="17CCB6F2">
            <w:pPr>
              <w:spacing w:before="287" w:line="315" w:lineRule="exact"/>
              <w:ind w:left="28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24</w:t>
            </w:r>
          </w:p>
        </w:tc>
        <w:tc>
          <w:tcPr>
            <w:tcW w:w="1272" w:type="dxa"/>
            <w:vMerge w:val="continue"/>
            <w:tcBorders>
              <w:top w:val="nil"/>
              <w:bottom w:val="nil"/>
            </w:tcBorders>
            <w:vAlign w:val="top"/>
          </w:tcPr>
          <w:p w14:paraId="5C503B6F">
            <w:pPr>
              <w:rPr>
                <w:rFonts w:ascii="Arial"/>
                <w:sz w:val="21"/>
              </w:rPr>
            </w:pPr>
          </w:p>
        </w:tc>
        <w:tc>
          <w:tcPr>
            <w:tcW w:w="910" w:type="dxa"/>
            <w:vAlign w:val="top"/>
          </w:tcPr>
          <w:p w14:paraId="2CA6F868">
            <w:pPr>
              <w:pStyle w:val="6"/>
              <w:spacing w:before="87" w:line="233" w:lineRule="auto"/>
              <w:ind w:left="226"/>
            </w:pPr>
            <w:r>
              <w:rPr>
                <w:spacing w:val="-8"/>
              </w:rPr>
              <w:t>行政</w:t>
            </w:r>
          </w:p>
          <w:p w14:paraId="66F02E30">
            <w:pPr>
              <w:pStyle w:val="6"/>
              <w:spacing w:before="98" w:line="231" w:lineRule="auto"/>
              <w:ind w:left="225"/>
            </w:pPr>
            <w:r>
              <w:rPr>
                <w:spacing w:val="-7"/>
              </w:rPr>
              <w:t>处罚</w:t>
            </w:r>
          </w:p>
        </w:tc>
        <w:tc>
          <w:tcPr>
            <w:tcW w:w="990" w:type="dxa"/>
            <w:vAlign w:val="top"/>
          </w:tcPr>
          <w:p w14:paraId="1F7C7A10">
            <w:pPr>
              <w:pStyle w:val="6"/>
              <w:spacing w:before="87" w:line="233" w:lineRule="auto"/>
              <w:ind w:left="266"/>
            </w:pPr>
            <w:r>
              <w:rPr>
                <w:spacing w:val="-8"/>
              </w:rPr>
              <w:t>行政</w:t>
            </w:r>
          </w:p>
          <w:p w14:paraId="6976FF44">
            <w:pPr>
              <w:pStyle w:val="6"/>
              <w:spacing w:before="98" w:line="231" w:lineRule="auto"/>
              <w:ind w:left="265"/>
            </w:pPr>
            <w:r>
              <w:rPr>
                <w:spacing w:val="-7"/>
              </w:rPr>
              <w:t>处罚</w:t>
            </w:r>
          </w:p>
        </w:tc>
        <w:tc>
          <w:tcPr>
            <w:tcW w:w="850" w:type="dxa"/>
            <w:vAlign w:val="top"/>
          </w:tcPr>
          <w:p w14:paraId="5570B8BB">
            <w:pPr>
              <w:spacing w:before="287" w:line="315" w:lineRule="exact"/>
              <w:ind w:left="37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8</w:t>
            </w:r>
          </w:p>
        </w:tc>
        <w:tc>
          <w:tcPr>
            <w:tcW w:w="3879" w:type="dxa"/>
            <w:vAlign w:val="top"/>
          </w:tcPr>
          <w:p w14:paraId="719C6415">
            <w:pPr>
              <w:pStyle w:val="6"/>
              <w:spacing w:before="305" w:line="231" w:lineRule="auto"/>
              <w:ind w:left="116"/>
            </w:pPr>
            <w:r>
              <w:rPr>
                <w:spacing w:val="-1"/>
              </w:rPr>
              <w:t>被医保部门给予行政处罚情况。</w:t>
            </w:r>
          </w:p>
        </w:tc>
        <w:tc>
          <w:tcPr>
            <w:tcW w:w="4613" w:type="dxa"/>
            <w:vAlign w:val="top"/>
          </w:tcPr>
          <w:p w14:paraId="0FC467A9">
            <w:pPr>
              <w:pStyle w:val="6"/>
              <w:spacing w:before="66" w:line="276" w:lineRule="auto"/>
              <w:ind w:left="119" w:right="107" w:hanging="4"/>
            </w:pPr>
            <w:r>
              <w:rPr>
                <w:spacing w:val="-7"/>
              </w:rPr>
              <w:t>每被医保行政部门给予行政处罚一次，扣</w:t>
            </w:r>
            <w:r>
              <w:rPr>
                <w:rFonts w:ascii="Times New Roman" w:hAnsi="Times New Roman" w:eastAsia="Times New Roman" w:cs="Times New Roman"/>
                <w:spacing w:val="-7"/>
              </w:rPr>
              <w:t>2</w:t>
            </w:r>
            <w:r>
              <w:rPr>
                <w:spacing w:val="-8"/>
              </w:rPr>
              <w:t>分。</w:t>
            </w:r>
          </w:p>
        </w:tc>
      </w:tr>
      <w:tr w14:paraId="7D905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807" w:type="dxa"/>
            <w:vAlign w:val="top"/>
          </w:tcPr>
          <w:p w14:paraId="7BE12771">
            <w:pPr>
              <w:spacing w:line="435" w:lineRule="auto"/>
              <w:rPr>
                <w:rFonts w:ascii="Arial"/>
                <w:sz w:val="21"/>
              </w:rPr>
            </w:pPr>
          </w:p>
          <w:p w14:paraId="3A9A6E83">
            <w:pPr>
              <w:spacing w:before="69" w:line="315" w:lineRule="exact"/>
              <w:ind w:left="28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25</w:t>
            </w:r>
          </w:p>
        </w:tc>
        <w:tc>
          <w:tcPr>
            <w:tcW w:w="1272" w:type="dxa"/>
            <w:vMerge w:val="continue"/>
            <w:tcBorders>
              <w:top w:val="nil"/>
            </w:tcBorders>
            <w:vAlign w:val="top"/>
          </w:tcPr>
          <w:p w14:paraId="3323211F">
            <w:pPr>
              <w:rPr>
                <w:rFonts w:ascii="Arial"/>
                <w:sz w:val="21"/>
              </w:rPr>
            </w:pPr>
          </w:p>
        </w:tc>
        <w:tc>
          <w:tcPr>
            <w:tcW w:w="910" w:type="dxa"/>
            <w:vAlign w:val="top"/>
          </w:tcPr>
          <w:p w14:paraId="46CCF4E2">
            <w:pPr>
              <w:pStyle w:val="6"/>
              <w:spacing w:before="306" w:line="233" w:lineRule="auto"/>
              <w:ind w:left="236"/>
            </w:pPr>
            <w:r>
              <w:rPr>
                <w:spacing w:val="-13"/>
              </w:rPr>
              <w:t>费用</w:t>
            </w:r>
          </w:p>
          <w:p w14:paraId="0AEF8221">
            <w:pPr>
              <w:pStyle w:val="6"/>
              <w:spacing w:before="100" w:line="231" w:lineRule="auto"/>
              <w:ind w:left="225"/>
            </w:pPr>
            <w:r>
              <w:rPr>
                <w:spacing w:val="-7"/>
              </w:rPr>
              <w:t>处理</w:t>
            </w:r>
          </w:p>
        </w:tc>
        <w:tc>
          <w:tcPr>
            <w:tcW w:w="990" w:type="dxa"/>
            <w:vAlign w:val="top"/>
          </w:tcPr>
          <w:p w14:paraId="47A40930">
            <w:pPr>
              <w:pStyle w:val="6"/>
              <w:spacing w:before="87" w:line="236" w:lineRule="auto"/>
              <w:ind w:left="115"/>
            </w:pPr>
            <w:r>
              <w:rPr>
                <w:spacing w:val="13"/>
              </w:rPr>
              <w:t>追回、</w:t>
            </w:r>
          </w:p>
          <w:p w14:paraId="77C15A98">
            <w:pPr>
              <w:pStyle w:val="6"/>
              <w:spacing w:before="94" w:line="233" w:lineRule="auto"/>
              <w:ind w:left="120"/>
            </w:pPr>
            <w:r>
              <w:rPr>
                <w:spacing w:val="11"/>
              </w:rPr>
              <w:t>拒付费</w:t>
            </w:r>
          </w:p>
          <w:p w14:paraId="14B98282">
            <w:pPr>
              <w:pStyle w:val="6"/>
              <w:spacing w:before="97" w:line="234" w:lineRule="auto"/>
              <w:ind w:left="119"/>
            </w:pPr>
            <w:r>
              <w:rPr>
                <w:spacing w:val="-25"/>
              </w:rPr>
              <w:t>用占比</w:t>
            </w:r>
          </w:p>
        </w:tc>
        <w:tc>
          <w:tcPr>
            <w:tcW w:w="850" w:type="dxa"/>
            <w:vAlign w:val="top"/>
          </w:tcPr>
          <w:p w14:paraId="416B4BFE">
            <w:pPr>
              <w:spacing w:line="435" w:lineRule="auto"/>
              <w:rPr>
                <w:rFonts w:ascii="Arial"/>
                <w:sz w:val="21"/>
              </w:rPr>
            </w:pPr>
          </w:p>
          <w:p w14:paraId="09483354">
            <w:pPr>
              <w:spacing w:before="69" w:line="315" w:lineRule="exact"/>
              <w:ind w:left="371"/>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879" w:type="dxa"/>
            <w:vAlign w:val="top"/>
          </w:tcPr>
          <w:p w14:paraId="7665C3E9">
            <w:pPr>
              <w:pStyle w:val="6"/>
              <w:spacing w:before="89" w:line="279" w:lineRule="auto"/>
              <w:ind w:left="116" w:right="104" w:firstLine="4"/>
              <w:jc w:val="both"/>
            </w:pPr>
            <w:r>
              <w:rPr>
                <w:spacing w:val="3"/>
              </w:rPr>
              <w:t>对定点医疗机构医保违规行为的处理方式，对已支付的本金追回，对</w:t>
            </w:r>
            <w:r>
              <w:rPr>
                <w:spacing w:val="-2"/>
              </w:rPr>
              <w:t>未支付的本金不再支付。</w:t>
            </w:r>
          </w:p>
        </w:tc>
        <w:tc>
          <w:tcPr>
            <w:tcW w:w="4613" w:type="dxa"/>
            <w:vAlign w:val="top"/>
          </w:tcPr>
          <w:p w14:paraId="724DC053">
            <w:pPr>
              <w:pStyle w:val="6"/>
              <w:tabs>
                <w:tab w:val="left" w:pos="4575"/>
              </w:tabs>
              <w:spacing w:before="67" w:line="284" w:lineRule="auto"/>
              <w:ind w:left="115" w:right="31" w:firstLine="8"/>
              <w:jc w:val="both"/>
            </w:pPr>
            <w:r>
              <w:rPr>
                <w:spacing w:val="-9"/>
              </w:rPr>
              <w:t>计算公式：追回、拒付费用</w:t>
            </w:r>
            <w:r>
              <w:rPr>
                <w:rFonts w:ascii="Times New Roman" w:hAnsi="Times New Roman" w:eastAsia="Times New Roman" w:cs="Times New Roman"/>
                <w:spacing w:val="-9"/>
              </w:rPr>
              <w:t>/</w:t>
            </w:r>
            <w:r>
              <w:rPr>
                <w:spacing w:val="-9"/>
              </w:rPr>
              <w:t>医保总额费用；</w:t>
            </w:r>
            <w:r>
              <w:rPr>
                <w:spacing w:val="-3"/>
              </w:rPr>
              <w:t>低优指标，指标为</w:t>
            </w:r>
            <w:r>
              <w:rPr>
                <w:rFonts w:ascii="Times New Roman" w:hAnsi="Times New Roman" w:eastAsia="Times New Roman" w:cs="Times New Roman"/>
                <w:spacing w:val="-3"/>
              </w:rPr>
              <w:t>0</w:t>
            </w:r>
            <w:r>
              <w:rPr>
                <w:spacing w:val="-3"/>
              </w:rPr>
              <w:t>得满分，</w:t>
            </w:r>
            <w:r>
              <w:rPr>
                <w:rFonts w:ascii="Times New Roman" w:hAnsi="Times New Roman" w:eastAsia="Times New Roman" w:cs="Times New Roman"/>
                <w:spacing w:val="-3"/>
              </w:rPr>
              <w:t>[0-2%]</w:t>
            </w:r>
            <w:r>
              <w:rPr>
                <w:spacing w:val="-3"/>
              </w:rPr>
              <w:t>得</w:t>
            </w:r>
            <w:r>
              <w:rPr>
                <w:rFonts w:ascii="Times New Roman" w:hAnsi="Times New Roman" w:eastAsia="Times New Roman" w:cs="Times New Roman"/>
                <w:spacing w:val="-3"/>
              </w:rPr>
              <w:t>5</w:t>
            </w:r>
            <w:r>
              <w:rPr>
                <w:rFonts w:ascii="Times New Roman" w:hAnsi="Times New Roman" w:eastAsia="Times New Roman" w:cs="Times New Roman"/>
              </w:rPr>
              <w:tab/>
            </w:r>
            <w:r>
              <w:rPr>
                <w:spacing w:val="-6"/>
              </w:rPr>
              <w:t>分，每增加</w:t>
            </w:r>
            <w:r>
              <w:rPr>
                <w:rFonts w:ascii="Times New Roman" w:hAnsi="Times New Roman" w:eastAsia="Times New Roman" w:cs="Times New Roman"/>
                <w:spacing w:val="-6"/>
              </w:rPr>
              <w:t>1%</w:t>
            </w:r>
            <w:r>
              <w:rPr>
                <w:spacing w:val="-6"/>
              </w:rPr>
              <w:t>扣</w:t>
            </w:r>
            <w:r>
              <w:rPr>
                <w:rFonts w:ascii="Times New Roman" w:hAnsi="Times New Roman" w:eastAsia="Times New Roman" w:cs="Times New Roman"/>
                <w:spacing w:val="-6"/>
              </w:rPr>
              <w:t>1</w:t>
            </w:r>
            <w:r>
              <w:rPr>
                <w:spacing w:val="-6"/>
              </w:rPr>
              <w:t>分，扣完为止。</w:t>
            </w:r>
          </w:p>
        </w:tc>
      </w:tr>
      <w:tr w14:paraId="57D2C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7" w:hRule="atLeast"/>
        </w:trPr>
        <w:tc>
          <w:tcPr>
            <w:tcW w:w="807" w:type="dxa"/>
            <w:vAlign w:val="top"/>
          </w:tcPr>
          <w:p w14:paraId="4EFC3ABA">
            <w:pPr>
              <w:spacing w:line="241" w:lineRule="auto"/>
              <w:rPr>
                <w:rFonts w:ascii="Arial"/>
                <w:sz w:val="21"/>
              </w:rPr>
            </w:pPr>
          </w:p>
          <w:p w14:paraId="51E5DD2E">
            <w:pPr>
              <w:spacing w:line="241" w:lineRule="auto"/>
              <w:rPr>
                <w:rFonts w:ascii="Arial"/>
                <w:sz w:val="21"/>
              </w:rPr>
            </w:pPr>
          </w:p>
          <w:p w14:paraId="0FB1F425">
            <w:pPr>
              <w:spacing w:line="241" w:lineRule="auto"/>
              <w:rPr>
                <w:rFonts w:ascii="Arial"/>
                <w:sz w:val="21"/>
              </w:rPr>
            </w:pPr>
          </w:p>
          <w:p w14:paraId="490661FF">
            <w:pPr>
              <w:spacing w:line="242" w:lineRule="auto"/>
              <w:rPr>
                <w:rFonts w:ascii="Arial"/>
                <w:sz w:val="21"/>
              </w:rPr>
            </w:pPr>
          </w:p>
          <w:p w14:paraId="530957EF">
            <w:pPr>
              <w:spacing w:line="242" w:lineRule="auto"/>
              <w:rPr>
                <w:rFonts w:ascii="Arial"/>
                <w:sz w:val="21"/>
              </w:rPr>
            </w:pPr>
          </w:p>
          <w:p w14:paraId="0B64A466">
            <w:pPr>
              <w:spacing w:line="242" w:lineRule="auto"/>
              <w:rPr>
                <w:rFonts w:ascii="Arial"/>
                <w:sz w:val="21"/>
              </w:rPr>
            </w:pPr>
          </w:p>
          <w:p w14:paraId="65C87752">
            <w:pPr>
              <w:spacing w:before="69" w:line="315" w:lineRule="exact"/>
              <w:ind w:left="28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26</w:t>
            </w:r>
          </w:p>
        </w:tc>
        <w:tc>
          <w:tcPr>
            <w:tcW w:w="1272" w:type="dxa"/>
            <w:vAlign w:val="top"/>
          </w:tcPr>
          <w:p w14:paraId="0BC972F4">
            <w:pPr>
              <w:spacing w:line="241" w:lineRule="auto"/>
              <w:rPr>
                <w:rFonts w:ascii="Arial"/>
                <w:sz w:val="21"/>
              </w:rPr>
            </w:pPr>
          </w:p>
          <w:p w14:paraId="4BF0FE2F">
            <w:pPr>
              <w:spacing w:line="242" w:lineRule="auto"/>
              <w:rPr>
                <w:rFonts w:ascii="Arial"/>
                <w:sz w:val="21"/>
              </w:rPr>
            </w:pPr>
          </w:p>
          <w:p w14:paraId="34B6DAE1">
            <w:pPr>
              <w:spacing w:line="242" w:lineRule="auto"/>
              <w:rPr>
                <w:rFonts w:ascii="Arial"/>
                <w:sz w:val="21"/>
              </w:rPr>
            </w:pPr>
          </w:p>
          <w:p w14:paraId="54C7870A">
            <w:pPr>
              <w:spacing w:line="242" w:lineRule="auto"/>
              <w:rPr>
                <w:rFonts w:ascii="Arial"/>
                <w:sz w:val="21"/>
              </w:rPr>
            </w:pPr>
          </w:p>
          <w:p w14:paraId="0CD0E89D">
            <w:pPr>
              <w:spacing w:line="242" w:lineRule="auto"/>
              <w:rPr>
                <w:rFonts w:ascii="Arial"/>
                <w:sz w:val="21"/>
              </w:rPr>
            </w:pPr>
          </w:p>
          <w:p w14:paraId="2C1C09CB">
            <w:pPr>
              <w:spacing w:line="242" w:lineRule="auto"/>
              <w:rPr>
                <w:rFonts w:ascii="Arial"/>
                <w:sz w:val="21"/>
              </w:rPr>
            </w:pPr>
          </w:p>
          <w:p w14:paraId="262B1178">
            <w:pPr>
              <w:pStyle w:val="6"/>
              <w:spacing w:before="88" w:line="233" w:lineRule="auto"/>
              <w:ind w:left="176"/>
            </w:pPr>
            <w:r>
              <w:rPr>
                <w:spacing w:val="-7"/>
              </w:rPr>
              <w:t>奖励加分</w:t>
            </w:r>
          </w:p>
        </w:tc>
        <w:tc>
          <w:tcPr>
            <w:tcW w:w="910" w:type="dxa"/>
            <w:vAlign w:val="top"/>
          </w:tcPr>
          <w:p w14:paraId="774C9307">
            <w:pPr>
              <w:spacing w:line="271" w:lineRule="auto"/>
              <w:rPr>
                <w:rFonts w:ascii="Arial"/>
                <w:sz w:val="21"/>
              </w:rPr>
            </w:pPr>
          </w:p>
          <w:p w14:paraId="6E1D2C87">
            <w:pPr>
              <w:spacing w:line="271" w:lineRule="auto"/>
              <w:rPr>
                <w:rFonts w:ascii="Arial"/>
                <w:sz w:val="21"/>
              </w:rPr>
            </w:pPr>
          </w:p>
          <w:p w14:paraId="1753153B">
            <w:pPr>
              <w:spacing w:line="271" w:lineRule="auto"/>
              <w:rPr>
                <w:rFonts w:ascii="Arial"/>
                <w:sz w:val="21"/>
              </w:rPr>
            </w:pPr>
          </w:p>
          <w:p w14:paraId="61171ED9">
            <w:pPr>
              <w:spacing w:line="271" w:lineRule="auto"/>
              <w:rPr>
                <w:rFonts w:ascii="Arial"/>
                <w:sz w:val="21"/>
              </w:rPr>
            </w:pPr>
          </w:p>
          <w:p w14:paraId="0BE4F4B4">
            <w:pPr>
              <w:spacing w:line="271" w:lineRule="auto"/>
              <w:rPr>
                <w:rFonts w:ascii="Arial"/>
                <w:sz w:val="21"/>
              </w:rPr>
            </w:pPr>
          </w:p>
          <w:p w14:paraId="05F043E0">
            <w:pPr>
              <w:spacing w:line="271" w:lineRule="auto"/>
              <w:rPr>
                <w:rFonts w:ascii="Arial"/>
                <w:sz w:val="21"/>
              </w:rPr>
            </w:pPr>
          </w:p>
          <w:p w14:paraId="28566385">
            <w:pPr>
              <w:spacing w:before="69" w:line="115" w:lineRule="exact"/>
              <w:ind w:left="421"/>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990" w:type="dxa"/>
            <w:vAlign w:val="top"/>
          </w:tcPr>
          <w:p w14:paraId="4AA65629">
            <w:pPr>
              <w:spacing w:line="271" w:lineRule="auto"/>
              <w:rPr>
                <w:rFonts w:ascii="Arial"/>
                <w:sz w:val="21"/>
              </w:rPr>
            </w:pPr>
          </w:p>
          <w:p w14:paraId="5B16D919">
            <w:pPr>
              <w:spacing w:line="271" w:lineRule="auto"/>
              <w:rPr>
                <w:rFonts w:ascii="Arial"/>
                <w:sz w:val="21"/>
              </w:rPr>
            </w:pPr>
          </w:p>
          <w:p w14:paraId="3D3DE178">
            <w:pPr>
              <w:spacing w:line="271" w:lineRule="auto"/>
              <w:rPr>
                <w:rFonts w:ascii="Arial"/>
                <w:sz w:val="21"/>
              </w:rPr>
            </w:pPr>
          </w:p>
          <w:p w14:paraId="7693D31E">
            <w:pPr>
              <w:spacing w:line="271" w:lineRule="auto"/>
              <w:rPr>
                <w:rFonts w:ascii="Arial"/>
                <w:sz w:val="21"/>
              </w:rPr>
            </w:pPr>
          </w:p>
          <w:p w14:paraId="1DC60511">
            <w:pPr>
              <w:spacing w:line="271" w:lineRule="auto"/>
              <w:rPr>
                <w:rFonts w:ascii="Arial"/>
                <w:sz w:val="21"/>
              </w:rPr>
            </w:pPr>
          </w:p>
          <w:p w14:paraId="6C5A040D">
            <w:pPr>
              <w:spacing w:line="271" w:lineRule="auto"/>
              <w:rPr>
                <w:rFonts w:ascii="Arial"/>
                <w:sz w:val="21"/>
              </w:rPr>
            </w:pPr>
          </w:p>
          <w:p w14:paraId="35195740">
            <w:pPr>
              <w:spacing w:before="69" w:line="115" w:lineRule="exact"/>
              <w:ind w:left="461"/>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850" w:type="dxa"/>
            <w:vAlign w:val="top"/>
          </w:tcPr>
          <w:p w14:paraId="0906E3B3">
            <w:pPr>
              <w:spacing w:line="271" w:lineRule="auto"/>
              <w:rPr>
                <w:rFonts w:ascii="Arial"/>
                <w:sz w:val="21"/>
              </w:rPr>
            </w:pPr>
          </w:p>
          <w:p w14:paraId="3328C70B">
            <w:pPr>
              <w:spacing w:line="271" w:lineRule="auto"/>
              <w:rPr>
                <w:rFonts w:ascii="Arial"/>
                <w:sz w:val="21"/>
              </w:rPr>
            </w:pPr>
          </w:p>
          <w:p w14:paraId="35AC2A21">
            <w:pPr>
              <w:spacing w:line="271" w:lineRule="auto"/>
              <w:rPr>
                <w:rFonts w:ascii="Arial"/>
                <w:sz w:val="21"/>
              </w:rPr>
            </w:pPr>
          </w:p>
          <w:p w14:paraId="65969297">
            <w:pPr>
              <w:spacing w:line="271" w:lineRule="auto"/>
              <w:rPr>
                <w:rFonts w:ascii="Arial"/>
                <w:sz w:val="21"/>
              </w:rPr>
            </w:pPr>
          </w:p>
          <w:p w14:paraId="3F2AA15E">
            <w:pPr>
              <w:spacing w:line="271" w:lineRule="auto"/>
              <w:rPr>
                <w:rFonts w:ascii="Arial"/>
                <w:sz w:val="21"/>
              </w:rPr>
            </w:pPr>
          </w:p>
          <w:p w14:paraId="1145765B">
            <w:pPr>
              <w:spacing w:line="271" w:lineRule="auto"/>
              <w:rPr>
                <w:rFonts w:ascii="Arial"/>
                <w:sz w:val="21"/>
              </w:rPr>
            </w:pPr>
          </w:p>
          <w:p w14:paraId="19B80D52">
            <w:pPr>
              <w:spacing w:before="69" w:line="115" w:lineRule="exact"/>
              <w:ind w:left="390"/>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3879" w:type="dxa"/>
            <w:vAlign w:val="top"/>
          </w:tcPr>
          <w:p w14:paraId="1043DD4B">
            <w:pPr>
              <w:pStyle w:val="6"/>
              <w:spacing w:before="111" w:line="317" w:lineRule="auto"/>
              <w:ind w:left="116" w:right="169" w:firstLine="4"/>
            </w:pPr>
            <w:r>
              <w:rPr>
                <w:spacing w:val="-2"/>
              </w:rPr>
              <w:t>对举报欺诈骗保有重大贡献的；开</w:t>
            </w:r>
            <w:r>
              <w:rPr>
                <w:spacing w:val="-1"/>
              </w:rPr>
              <w:t>展或对医疗保障管理创新性工作的提出意见建议被医保部门采纳的；受到市级以上医保部门表扬嘉奖并取得一定成果的；其他情况经医保部门考察核实情况属实并经上会研</w:t>
            </w:r>
            <w:r>
              <w:rPr>
                <w:spacing w:val="-2"/>
              </w:rPr>
              <w:t>究一致同意通过的。</w:t>
            </w:r>
          </w:p>
        </w:tc>
        <w:tc>
          <w:tcPr>
            <w:tcW w:w="4613" w:type="dxa"/>
            <w:vAlign w:val="top"/>
          </w:tcPr>
          <w:p w14:paraId="35B7E2CC">
            <w:pPr>
              <w:spacing w:line="297" w:lineRule="auto"/>
              <w:rPr>
                <w:rFonts w:ascii="Arial"/>
                <w:sz w:val="21"/>
              </w:rPr>
            </w:pPr>
          </w:p>
          <w:p w14:paraId="6DD31F14">
            <w:pPr>
              <w:spacing w:line="298" w:lineRule="auto"/>
              <w:rPr>
                <w:rFonts w:ascii="Arial"/>
                <w:sz w:val="21"/>
              </w:rPr>
            </w:pPr>
          </w:p>
          <w:p w14:paraId="5799A3A4">
            <w:pPr>
              <w:spacing w:line="298" w:lineRule="auto"/>
              <w:rPr>
                <w:rFonts w:ascii="Arial"/>
                <w:sz w:val="21"/>
              </w:rPr>
            </w:pPr>
          </w:p>
          <w:p w14:paraId="18FCEC99">
            <w:pPr>
              <w:spacing w:line="298" w:lineRule="auto"/>
              <w:rPr>
                <w:rFonts w:ascii="Arial"/>
                <w:sz w:val="21"/>
              </w:rPr>
            </w:pPr>
          </w:p>
          <w:p w14:paraId="160AE556">
            <w:pPr>
              <w:pStyle w:val="6"/>
              <w:spacing w:before="88" w:line="333" w:lineRule="auto"/>
              <w:ind w:left="119" w:right="222"/>
            </w:pPr>
            <w:r>
              <w:rPr>
                <w:spacing w:val="-4"/>
              </w:rPr>
              <w:t>本项目为附加项，每次加</w:t>
            </w:r>
            <w:r>
              <w:rPr>
                <w:rFonts w:ascii="Times New Roman" w:hAnsi="Times New Roman" w:eastAsia="Times New Roman" w:cs="Times New Roman"/>
                <w:spacing w:val="-4"/>
              </w:rPr>
              <w:t>1-2</w:t>
            </w:r>
            <w:r>
              <w:rPr>
                <w:spacing w:val="-4"/>
              </w:rPr>
              <w:t>分，累计不</w:t>
            </w:r>
            <w:r>
              <w:rPr>
                <w:spacing w:val="-8"/>
              </w:rPr>
              <w:t>超过</w:t>
            </w:r>
            <w:r>
              <w:rPr>
                <w:rFonts w:ascii="Times New Roman" w:hAnsi="Times New Roman" w:eastAsia="Times New Roman" w:cs="Times New Roman"/>
                <w:spacing w:val="-8"/>
              </w:rPr>
              <w:t>5</w:t>
            </w:r>
            <w:r>
              <w:rPr>
                <w:spacing w:val="-8"/>
              </w:rPr>
              <w:t>分。</w:t>
            </w:r>
          </w:p>
        </w:tc>
      </w:tr>
    </w:tbl>
    <w:p w14:paraId="0D55CD78">
      <w:pPr>
        <w:rPr>
          <w:rFonts w:ascii="Arial"/>
          <w:sz w:val="21"/>
        </w:rPr>
      </w:pPr>
    </w:p>
    <w:p w14:paraId="385D512B">
      <w:pPr>
        <w:rPr>
          <w:rFonts w:ascii="Arial" w:hAnsi="Arial" w:eastAsia="Arial" w:cs="Arial"/>
          <w:sz w:val="21"/>
          <w:szCs w:val="21"/>
        </w:rPr>
        <w:sectPr>
          <w:footerReference r:id="rId13" w:type="default"/>
          <w:pgSz w:w="16839" w:h="11906"/>
          <w:pgMar w:top="1012" w:right="1756" w:bottom="1166" w:left="1599" w:header="0" w:footer="800" w:gutter="0"/>
          <w:cols w:space="720" w:num="1"/>
        </w:sectPr>
      </w:pPr>
    </w:p>
    <w:p w14:paraId="56491336">
      <w:pPr>
        <w:spacing w:before="115" w:line="523" w:lineRule="exact"/>
        <w:ind w:left="141"/>
        <w:rPr>
          <w:rFonts w:ascii="Times New Roman" w:hAnsi="Times New Roman" w:eastAsia="Times New Roman" w:cs="Times New Roman"/>
          <w:sz w:val="31"/>
          <w:szCs w:val="31"/>
        </w:rPr>
      </w:pPr>
      <w:r>
        <w:rPr>
          <w:rFonts w:ascii="方正黑体_GBK" w:hAnsi="方正黑体_GBK" w:eastAsia="方正黑体_GBK" w:cs="方正黑体_GBK"/>
          <w:spacing w:val="23"/>
          <w:position w:val="5"/>
          <w:sz w:val="31"/>
          <w:szCs w:val="31"/>
        </w:rPr>
        <w:t>附件</w:t>
      </w:r>
      <w:r>
        <w:rPr>
          <w:rFonts w:ascii="Times New Roman" w:hAnsi="Times New Roman" w:eastAsia="Times New Roman" w:cs="Times New Roman"/>
          <w:spacing w:val="23"/>
          <w:position w:val="5"/>
          <w:sz w:val="31"/>
          <w:szCs w:val="31"/>
        </w:rPr>
        <w:t>2</w:t>
      </w:r>
    </w:p>
    <w:p w14:paraId="0061AF6E">
      <w:pPr>
        <w:spacing w:line="650" w:lineRule="exact"/>
        <w:ind w:left="1765"/>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重庆市医疗保障定点零售药店基金监管信用评价指标体系</w:t>
      </w:r>
    </w:p>
    <w:p w14:paraId="6A3171B1">
      <w:pPr>
        <w:spacing w:before="225"/>
      </w:pPr>
    </w:p>
    <w:tbl>
      <w:tblPr>
        <w:tblStyle w:val="5"/>
        <w:tblW w:w="13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304"/>
        <w:gridCol w:w="994"/>
        <w:gridCol w:w="1084"/>
        <w:gridCol w:w="1099"/>
        <w:gridCol w:w="3723"/>
        <w:gridCol w:w="4842"/>
      </w:tblGrid>
      <w:tr w14:paraId="7527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945" w:type="dxa"/>
            <w:vAlign w:val="top"/>
          </w:tcPr>
          <w:p w14:paraId="30328745">
            <w:pPr>
              <w:spacing w:line="376" w:lineRule="auto"/>
              <w:rPr>
                <w:rFonts w:ascii="Arial"/>
                <w:sz w:val="21"/>
              </w:rPr>
            </w:pPr>
          </w:p>
          <w:p w14:paraId="5BE34069">
            <w:pPr>
              <w:spacing w:before="104"/>
              <w:ind w:left="196"/>
              <w:rPr>
                <w:rFonts w:ascii="方正黑体_GBK" w:hAnsi="方正黑体_GBK" w:eastAsia="方正黑体_GBK" w:cs="方正黑体_GBK"/>
                <w:sz w:val="28"/>
                <w:szCs w:val="28"/>
              </w:rPr>
            </w:pPr>
            <w:r>
              <w:rPr>
                <w:rFonts w:ascii="方正黑体_GBK" w:hAnsi="方正黑体_GBK" w:eastAsia="方正黑体_GBK" w:cs="方正黑体_GBK"/>
                <w:spacing w:val="-2"/>
                <w:sz w:val="28"/>
                <w:szCs w:val="28"/>
              </w:rPr>
              <w:t>序号</w:t>
            </w:r>
          </w:p>
        </w:tc>
        <w:tc>
          <w:tcPr>
            <w:tcW w:w="1304" w:type="dxa"/>
            <w:vAlign w:val="top"/>
          </w:tcPr>
          <w:p w14:paraId="44E42C05">
            <w:pPr>
              <w:spacing w:before="281" w:line="230" w:lineRule="auto"/>
              <w:ind w:left="386"/>
              <w:rPr>
                <w:rFonts w:ascii="方正黑体_GBK" w:hAnsi="方正黑体_GBK" w:eastAsia="方正黑体_GBK" w:cs="方正黑体_GBK"/>
                <w:sz w:val="28"/>
                <w:szCs w:val="28"/>
              </w:rPr>
            </w:pPr>
            <w:r>
              <w:rPr>
                <w:rFonts w:ascii="方正黑体_GBK" w:hAnsi="方正黑体_GBK" w:eastAsia="方正黑体_GBK" w:cs="方正黑体_GBK"/>
                <w:spacing w:val="-8"/>
                <w:sz w:val="28"/>
                <w:szCs w:val="28"/>
              </w:rPr>
              <w:t>一级</w:t>
            </w:r>
          </w:p>
          <w:p w14:paraId="3E3C7496">
            <w:pPr>
              <w:spacing w:before="1" w:line="239" w:lineRule="auto"/>
              <w:ind w:left="379"/>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指标</w:t>
            </w:r>
          </w:p>
        </w:tc>
        <w:tc>
          <w:tcPr>
            <w:tcW w:w="994" w:type="dxa"/>
            <w:vAlign w:val="top"/>
          </w:tcPr>
          <w:p w14:paraId="6885A052">
            <w:pPr>
              <w:spacing w:before="281" w:line="230" w:lineRule="auto"/>
              <w:ind w:left="230"/>
              <w:rPr>
                <w:rFonts w:ascii="方正黑体_GBK" w:hAnsi="方正黑体_GBK" w:eastAsia="方正黑体_GBK" w:cs="方正黑体_GBK"/>
                <w:sz w:val="28"/>
                <w:szCs w:val="28"/>
              </w:rPr>
            </w:pPr>
            <w:r>
              <w:rPr>
                <w:rFonts w:ascii="方正黑体_GBK" w:hAnsi="方正黑体_GBK" w:eastAsia="方正黑体_GBK" w:cs="方正黑体_GBK"/>
                <w:spacing w:val="-8"/>
                <w:sz w:val="28"/>
                <w:szCs w:val="28"/>
              </w:rPr>
              <w:t>二级</w:t>
            </w:r>
          </w:p>
          <w:p w14:paraId="2AEA8499">
            <w:pPr>
              <w:spacing w:before="1" w:line="239" w:lineRule="auto"/>
              <w:ind w:left="225"/>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指标</w:t>
            </w:r>
          </w:p>
        </w:tc>
        <w:tc>
          <w:tcPr>
            <w:tcW w:w="1084" w:type="dxa"/>
            <w:vAlign w:val="top"/>
          </w:tcPr>
          <w:p w14:paraId="3A52C07C">
            <w:pPr>
              <w:spacing w:before="281" w:line="230" w:lineRule="auto"/>
              <w:ind w:left="280"/>
              <w:rPr>
                <w:rFonts w:ascii="方正黑体_GBK" w:hAnsi="方正黑体_GBK" w:eastAsia="方正黑体_GBK" w:cs="方正黑体_GBK"/>
                <w:sz w:val="28"/>
                <w:szCs w:val="28"/>
              </w:rPr>
            </w:pPr>
            <w:r>
              <w:rPr>
                <w:rFonts w:ascii="方正黑体_GBK" w:hAnsi="方正黑体_GBK" w:eastAsia="方正黑体_GBK" w:cs="方正黑体_GBK"/>
                <w:spacing w:val="-10"/>
                <w:sz w:val="28"/>
                <w:szCs w:val="28"/>
              </w:rPr>
              <w:t>三级</w:t>
            </w:r>
          </w:p>
          <w:p w14:paraId="258F78B1">
            <w:pPr>
              <w:spacing w:before="1" w:line="239" w:lineRule="auto"/>
              <w:ind w:left="270"/>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指标</w:t>
            </w:r>
          </w:p>
        </w:tc>
        <w:tc>
          <w:tcPr>
            <w:tcW w:w="1099" w:type="dxa"/>
            <w:vAlign w:val="top"/>
          </w:tcPr>
          <w:p w14:paraId="09DDC878">
            <w:pPr>
              <w:spacing w:line="374" w:lineRule="auto"/>
              <w:rPr>
                <w:rFonts w:ascii="Arial"/>
                <w:sz w:val="21"/>
              </w:rPr>
            </w:pPr>
          </w:p>
          <w:p w14:paraId="28E2D194">
            <w:pPr>
              <w:spacing w:before="105" w:line="239" w:lineRule="auto"/>
              <w:ind w:left="276"/>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分值</w:t>
            </w:r>
          </w:p>
        </w:tc>
        <w:tc>
          <w:tcPr>
            <w:tcW w:w="3723" w:type="dxa"/>
            <w:vAlign w:val="top"/>
          </w:tcPr>
          <w:p w14:paraId="776B8E45">
            <w:pPr>
              <w:spacing w:line="375" w:lineRule="auto"/>
              <w:rPr>
                <w:rFonts w:ascii="Arial"/>
                <w:sz w:val="21"/>
              </w:rPr>
            </w:pPr>
          </w:p>
          <w:p w14:paraId="710FC610">
            <w:pPr>
              <w:spacing w:before="104"/>
              <w:ind w:left="1310"/>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指标释义</w:t>
            </w:r>
          </w:p>
        </w:tc>
        <w:tc>
          <w:tcPr>
            <w:tcW w:w="4842" w:type="dxa"/>
            <w:vAlign w:val="top"/>
          </w:tcPr>
          <w:p w14:paraId="11389A1B">
            <w:pPr>
              <w:spacing w:line="375" w:lineRule="auto"/>
              <w:rPr>
                <w:rFonts w:ascii="Arial"/>
                <w:sz w:val="21"/>
              </w:rPr>
            </w:pPr>
          </w:p>
          <w:p w14:paraId="78003B0F">
            <w:pPr>
              <w:spacing w:before="105" w:line="241" w:lineRule="auto"/>
              <w:ind w:left="1870"/>
              <w:rPr>
                <w:rFonts w:ascii="方正黑体_GBK" w:hAnsi="方正黑体_GBK" w:eastAsia="方正黑体_GBK" w:cs="方正黑体_GBK"/>
                <w:sz w:val="28"/>
                <w:szCs w:val="28"/>
              </w:rPr>
            </w:pPr>
            <w:r>
              <w:rPr>
                <w:rFonts w:ascii="方正黑体_GBK" w:hAnsi="方正黑体_GBK" w:eastAsia="方正黑体_GBK" w:cs="方正黑体_GBK"/>
                <w:spacing w:val="-3"/>
                <w:sz w:val="28"/>
                <w:szCs w:val="28"/>
              </w:rPr>
              <w:t>评分规则</w:t>
            </w:r>
          </w:p>
        </w:tc>
      </w:tr>
      <w:tr w14:paraId="76917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945" w:type="dxa"/>
            <w:vAlign w:val="top"/>
          </w:tcPr>
          <w:p w14:paraId="457EC106">
            <w:pPr>
              <w:spacing w:line="243" w:lineRule="auto"/>
              <w:rPr>
                <w:rFonts w:ascii="Arial"/>
                <w:sz w:val="21"/>
              </w:rPr>
            </w:pPr>
          </w:p>
          <w:p w14:paraId="09013398">
            <w:pPr>
              <w:spacing w:line="243" w:lineRule="auto"/>
              <w:rPr>
                <w:rFonts w:ascii="Arial"/>
                <w:sz w:val="21"/>
              </w:rPr>
            </w:pPr>
          </w:p>
          <w:p w14:paraId="31041019">
            <w:pPr>
              <w:spacing w:line="243" w:lineRule="auto"/>
              <w:rPr>
                <w:rFonts w:ascii="Arial"/>
                <w:sz w:val="21"/>
              </w:rPr>
            </w:pPr>
          </w:p>
          <w:p w14:paraId="1920F8D6">
            <w:pPr>
              <w:spacing w:line="243" w:lineRule="auto"/>
              <w:rPr>
                <w:rFonts w:ascii="Arial"/>
                <w:sz w:val="21"/>
              </w:rPr>
            </w:pPr>
          </w:p>
          <w:p w14:paraId="4A439284">
            <w:pPr>
              <w:spacing w:before="69" w:line="315" w:lineRule="exact"/>
              <w:ind w:left="437"/>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1</w:t>
            </w:r>
          </w:p>
        </w:tc>
        <w:tc>
          <w:tcPr>
            <w:tcW w:w="1304" w:type="dxa"/>
            <w:vMerge w:val="restart"/>
            <w:tcBorders>
              <w:bottom w:val="nil"/>
            </w:tcBorders>
            <w:vAlign w:val="top"/>
          </w:tcPr>
          <w:p w14:paraId="25902DEA">
            <w:pPr>
              <w:spacing w:line="246" w:lineRule="auto"/>
              <w:rPr>
                <w:rFonts w:ascii="Arial"/>
                <w:sz w:val="21"/>
              </w:rPr>
            </w:pPr>
          </w:p>
          <w:p w14:paraId="0376B7F0">
            <w:pPr>
              <w:spacing w:line="246" w:lineRule="auto"/>
              <w:rPr>
                <w:rFonts w:ascii="Arial"/>
                <w:sz w:val="21"/>
              </w:rPr>
            </w:pPr>
          </w:p>
          <w:p w14:paraId="70210A66">
            <w:pPr>
              <w:spacing w:line="246" w:lineRule="auto"/>
              <w:rPr>
                <w:rFonts w:ascii="Arial"/>
                <w:sz w:val="21"/>
              </w:rPr>
            </w:pPr>
          </w:p>
          <w:p w14:paraId="0B62A2C0">
            <w:pPr>
              <w:spacing w:line="247" w:lineRule="auto"/>
              <w:rPr>
                <w:rFonts w:ascii="Arial"/>
                <w:sz w:val="21"/>
              </w:rPr>
            </w:pPr>
          </w:p>
          <w:p w14:paraId="2A647ACE">
            <w:pPr>
              <w:spacing w:line="247" w:lineRule="auto"/>
              <w:rPr>
                <w:rFonts w:ascii="Arial"/>
                <w:sz w:val="21"/>
              </w:rPr>
            </w:pPr>
          </w:p>
          <w:p w14:paraId="4F254AF0">
            <w:pPr>
              <w:spacing w:line="247" w:lineRule="auto"/>
              <w:rPr>
                <w:rFonts w:ascii="Arial"/>
                <w:sz w:val="21"/>
              </w:rPr>
            </w:pPr>
          </w:p>
          <w:p w14:paraId="259EA2C3">
            <w:pPr>
              <w:spacing w:line="247" w:lineRule="auto"/>
              <w:rPr>
                <w:rFonts w:ascii="Arial"/>
                <w:sz w:val="21"/>
              </w:rPr>
            </w:pPr>
          </w:p>
          <w:p w14:paraId="4105BDE1">
            <w:pPr>
              <w:spacing w:line="247" w:lineRule="auto"/>
              <w:rPr>
                <w:rFonts w:ascii="Arial"/>
                <w:sz w:val="21"/>
              </w:rPr>
            </w:pPr>
          </w:p>
          <w:p w14:paraId="61407BF5">
            <w:pPr>
              <w:pStyle w:val="6"/>
              <w:spacing w:before="88" w:line="231" w:lineRule="auto"/>
              <w:ind w:left="186"/>
            </w:pPr>
            <w:r>
              <w:rPr>
                <w:spacing w:val="-5"/>
              </w:rPr>
              <w:t>协议管理</w:t>
            </w:r>
          </w:p>
        </w:tc>
        <w:tc>
          <w:tcPr>
            <w:tcW w:w="994" w:type="dxa"/>
            <w:vMerge w:val="restart"/>
            <w:tcBorders>
              <w:bottom w:val="nil"/>
            </w:tcBorders>
            <w:vAlign w:val="top"/>
          </w:tcPr>
          <w:p w14:paraId="216986EA">
            <w:pPr>
              <w:spacing w:line="253" w:lineRule="auto"/>
              <w:rPr>
                <w:rFonts w:ascii="Arial"/>
                <w:sz w:val="21"/>
              </w:rPr>
            </w:pPr>
          </w:p>
          <w:p w14:paraId="2283B1E0">
            <w:pPr>
              <w:spacing w:line="253" w:lineRule="auto"/>
              <w:rPr>
                <w:rFonts w:ascii="Arial"/>
                <w:sz w:val="21"/>
              </w:rPr>
            </w:pPr>
          </w:p>
          <w:p w14:paraId="7827851F">
            <w:pPr>
              <w:spacing w:line="253" w:lineRule="auto"/>
              <w:rPr>
                <w:rFonts w:ascii="Arial"/>
                <w:sz w:val="21"/>
              </w:rPr>
            </w:pPr>
          </w:p>
          <w:p w14:paraId="3FAF412D">
            <w:pPr>
              <w:spacing w:line="253" w:lineRule="auto"/>
              <w:rPr>
                <w:rFonts w:ascii="Arial"/>
                <w:sz w:val="21"/>
              </w:rPr>
            </w:pPr>
          </w:p>
          <w:p w14:paraId="1CBC196C">
            <w:pPr>
              <w:spacing w:line="253" w:lineRule="auto"/>
              <w:rPr>
                <w:rFonts w:ascii="Arial"/>
                <w:sz w:val="21"/>
              </w:rPr>
            </w:pPr>
          </w:p>
          <w:p w14:paraId="2BAC26EC">
            <w:pPr>
              <w:spacing w:line="253" w:lineRule="auto"/>
              <w:rPr>
                <w:rFonts w:ascii="Arial"/>
                <w:sz w:val="21"/>
              </w:rPr>
            </w:pPr>
          </w:p>
          <w:p w14:paraId="7A0A9068">
            <w:pPr>
              <w:spacing w:line="254" w:lineRule="auto"/>
              <w:rPr>
                <w:rFonts w:ascii="Arial"/>
                <w:sz w:val="21"/>
              </w:rPr>
            </w:pPr>
          </w:p>
          <w:p w14:paraId="1E8D4636">
            <w:pPr>
              <w:pStyle w:val="6"/>
              <w:spacing w:before="87" w:line="237" w:lineRule="auto"/>
              <w:ind w:left="267"/>
            </w:pPr>
            <w:r>
              <w:rPr>
                <w:spacing w:val="-8"/>
              </w:rPr>
              <w:t>基础</w:t>
            </w:r>
          </w:p>
          <w:p w14:paraId="00FE1587">
            <w:pPr>
              <w:pStyle w:val="6"/>
              <w:spacing w:before="55" w:line="231" w:lineRule="auto"/>
              <w:ind w:left="275"/>
            </w:pPr>
            <w:r>
              <w:rPr>
                <w:spacing w:val="-12"/>
              </w:rPr>
              <w:t>管理</w:t>
            </w:r>
          </w:p>
        </w:tc>
        <w:tc>
          <w:tcPr>
            <w:tcW w:w="1084" w:type="dxa"/>
            <w:vAlign w:val="top"/>
          </w:tcPr>
          <w:p w14:paraId="70A2C53E">
            <w:pPr>
              <w:spacing w:line="258" w:lineRule="auto"/>
              <w:rPr>
                <w:rFonts w:ascii="Arial"/>
                <w:sz w:val="21"/>
              </w:rPr>
            </w:pPr>
          </w:p>
          <w:p w14:paraId="661DF5BC">
            <w:pPr>
              <w:spacing w:line="258" w:lineRule="auto"/>
              <w:rPr>
                <w:rFonts w:ascii="Arial"/>
                <w:sz w:val="21"/>
              </w:rPr>
            </w:pPr>
          </w:p>
          <w:p w14:paraId="5ABA50E9">
            <w:pPr>
              <w:spacing w:line="259" w:lineRule="auto"/>
              <w:rPr>
                <w:rFonts w:ascii="Arial"/>
                <w:sz w:val="21"/>
              </w:rPr>
            </w:pPr>
          </w:p>
          <w:p w14:paraId="49F0F678">
            <w:pPr>
              <w:pStyle w:val="6"/>
              <w:spacing w:before="88" w:line="234" w:lineRule="auto"/>
              <w:ind w:left="324"/>
            </w:pPr>
            <w:r>
              <w:rPr>
                <w:spacing w:val="-14"/>
              </w:rPr>
              <w:t>变更</w:t>
            </w:r>
          </w:p>
          <w:p w14:paraId="6A242BAD">
            <w:pPr>
              <w:pStyle w:val="6"/>
              <w:spacing w:before="56" w:line="233" w:lineRule="auto"/>
              <w:ind w:left="350"/>
            </w:pPr>
            <w:r>
              <w:rPr>
                <w:spacing w:val="-27"/>
              </w:rPr>
              <w:t>申请</w:t>
            </w:r>
          </w:p>
        </w:tc>
        <w:tc>
          <w:tcPr>
            <w:tcW w:w="1099" w:type="dxa"/>
            <w:vAlign w:val="top"/>
          </w:tcPr>
          <w:p w14:paraId="0C032962">
            <w:pPr>
              <w:spacing w:line="243" w:lineRule="auto"/>
              <w:rPr>
                <w:rFonts w:ascii="Arial"/>
                <w:sz w:val="21"/>
              </w:rPr>
            </w:pPr>
          </w:p>
          <w:p w14:paraId="78991026">
            <w:pPr>
              <w:spacing w:line="243" w:lineRule="auto"/>
              <w:rPr>
                <w:rFonts w:ascii="Arial"/>
                <w:sz w:val="21"/>
              </w:rPr>
            </w:pPr>
          </w:p>
          <w:p w14:paraId="2FB511A3">
            <w:pPr>
              <w:spacing w:line="243" w:lineRule="auto"/>
              <w:rPr>
                <w:rFonts w:ascii="Arial"/>
                <w:sz w:val="21"/>
              </w:rPr>
            </w:pPr>
          </w:p>
          <w:p w14:paraId="5CA23F2E">
            <w:pPr>
              <w:spacing w:line="243" w:lineRule="auto"/>
              <w:rPr>
                <w:rFonts w:ascii="Arial"/>
                <w:sz w:val="21"/>
              </w:rPr>
            </w:pPr>
          </w:p>
          <w:p w14:paraId="515696EB">
            <w:pPr>
              <w:spacing w:before="69" w:line="315"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4CC84287">
            <w:pPr>
              <w:pStyle w:val="6"/>
              <w:spacing w:before="67" w:line="265" w:lineRule="auto"/>
              <w:ind w:left="116" w:right="41" w:firstLine="27"/>
              <w:jc w:val="both"/>
            </w:pPr>
            <w:r>
              <w:rPr>
                <w:spacing w:val="-9"/>
              </w:rPr>
              <w:t>医疗机构名称、法定代表人、主要</w:t>
            </w:r>
            <w:r>
              <w:rPr>
                <w:spacing w:val="-3"/>
              </w:rPr>
              <w:t>负责人或实际控制人、注册地址、</w:t>
            </w:r>
            <w:r>
              <w:rPr>
                <w:spacing w:val="-7"/>
              </w:rPr>
              <w:t>银行账户、诊疗科目、机构规模、机构性质、等级和类别等重大信息变更时，及时向属地医保部门提供</w:t>
            </w:r>
            <w:r>
              <w:rPr>
                <w:spacing w:val="-6"/>
              </w:rPr>
              <w:t>相关材料备案，申请变更。</w:t>
            </w:r>
          </w:p>
        </w:tc>
        <w:tc>
          <w:tcPr>
            <w:tcW w:w="4842" w:type="dxa"/>
            <w:vAlign w:val="top"/>
          </w:tcPr>
          <w:p w14:paraId="28AE4535">
            <w:pPr>
              <w:spacing w:line="357" w:lineRule="auto"/>
              <w:rPr>
                <w:rFonts w:ascii="Arial"/>
                <w:sz w:val="21"/>
              </w:rPr>
            </w:pPr>
          </w:p>
          <w:p w14:paraId="4B232522">
            <w:pPr>
              <w:pStyle w:val="6"/>
              <w:spacing w:before="88" w:line="259" w:lineRule="auto"/>
              <w:ind w:left="131" w:right="108" w:firstLine="2"/>
            </w:pPr>
            <w:r>
              <w:rPr>
                <w:rFonts w:ascii="Times New Roman" w:hAnsi="Times New Roman" w:eastAsia="Times New Roman" w:cs="Times New Roman"/>
                <w:spacing w:val="-5"/>
              </w:rPr>
              <w:t>1</w:t>
            </w:r>
            <w:r>
              <w:rPr>
                <w:spacing w:val="-5"/>
              </w:rPr>
              <w:t>．规定时间内完成变更备案或当年无变更信息，得满分。</w:t>
            </w:r>
          </w:p>
          <w:p w14:paraId="43578AE9">
            <w:pPr>
              <w:pStyle w:val="6"/>
              <w:spacing w:before="43" w:line="267" w:lineRule="auto"/>
              <w:ind w:left="121" w:right="105" w:hanging="10"/>
            </w:pPr>
            <w:r>
              <w:rPr>
                <w:rFonts w:ascii="Times New Roman" w:hAnsi="Times New Roman" w:eastAsia="Times New Roman" w:cs="Times New Roman"/>
                <w:spacing w:val="-4"/>
              </w:rPr>
              <w:t>2</w:t>
            </w:r>
            <w:r>
              <w:rPr>
                <w:spacing w:val="-4"/>
              </w:rPr>
              <w:t>．变更后未按照相关规定进行变更备案，发</w:t>
            </w:r>
            <w:r>
              <w:rPr>
                <w:spacing w:val="-6"/>
              </w:rPr>
              <w:t>现一次扣</w:t>
            </w:r>
            <w:r>
              <w:rPr>
                <w:rFonts w:ascii="Times New Roman" w:hAnsi="Times New Roman" w:eastAsia="Times New Roman" w:cs="Times New Roman"/>
                <w:spacing w:val="-6"/>
              </w:rPr>
              <w:t>1</w:t>
            </w:r>
            <w:r>
              <w:rPr>
                <w:spacing w:val="-6"/>
              </w:rPr>
              <w:t>分，扣完为止。</w:t>
            </w:r>
          </w:p>
        </w:tc>
      </w:tr>
      <w:tr w14:paraId="7A273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945" w:type="dxa"/>
            <w:vAlign w:val="top"/>
          </w:tcPr>
          <w:p w14:paraId="1F674F42">
            <w:pPr>
              <w:spacing w:line="258" w:lineRule="auto"/>
              <w:rPr>
                <w:rFonts w:ascii="Arial"/>
                <w:sz w:val="21"/>
              </w:rPr>
            </w:pPr>
          </w:p>
          <w:p w14:paraId="33BC49DC">
            <w:pPr>
              <w:spacing w:line="258" w:lineRule="auto"/>
              <w:rPr>
                <w:rFonts w:ascii="Arial"/>
                <w:sz w:val="21"/>
              </w:rPr>
            </w:pPr>
          </w:p>
          <w:p w14:paraId="53AE8A90">
            <w:pPr>
              <w:spacing w:line="259" w:lineRule="auto"/>
              <w:rPr>
                <w:rFonts w:ascii="Arial"/>
                <w:sz w:val="21"/>
              </w:rPr>
            </w:pPr>
          </w:p>
          <w:p w14:paraId="78FF442E">
            <w:pPr>
              <w:spacing w:before="69" w:line="315" w:lineRule="exact"/>
              <w:ind w:left="414"/>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1304" w:type="dxa"/>
            <w:vMerge w:val="continue"/>
            <w:tcBorders>
              <w:top w:val="nil"/>
            </w:tcBorders>
            <w:vAlign w:val="top"/>
          </w:tcPr>
          <w:p w14:paraId="1DB424CE">
            <w:pPr>
              <w:rPr>
                <w:rFonts w:ascii="Arial"/>
                <w:sz w:val="21"/>
              </w:rPr>
            </w:pPr>
          </w:p>
        </w:tc>
        <w:tc>
          <w:tcPr>
            <w:tcW w:w="994" w:type="dxa"/>
            <w:vMerge w:val="continue"/>
            <w:tcBorders>
              <w:top w:val="nil"/>
            </w:tcBorders>
            <w:vAlign w:val="top"/>
          </w:tcPr>
          <w:p w14:paraId="334EFD47">
            <w:pPr>
              <w:rPr>
                <w:rFonts w:ascii="Arial"/>
                <w:sz w:val="21"/>
              </w:rPr>
            </w:pPr>
          </w:p>
        </w:tc>
        <w:tc>
          <w:tcPr>
            <w:tcW w:w="1084" w:type="dxa"/>
            <w:vAlign w:val="top"/>
          </w:tcPr>
          <w:p w14:paraId="405470A8">
            <w:pPr>
              <w:spacing w:line="288" w:lineRule="auto"/>
              <w:rPr>
                <w:rFonts w:ascii="Arial"/>
                <w:sz w:val="21"/>
              </w:rPr>
            </w:pPr>
          </w:p>
          <w:p w14:paraId="3322136E">
            <w:pPr>
              <w:spacing w:line="289" w:lineRule="auto"/>
              <w:rPr>
                <w:rFonts w:ascii="Arial"/>
                <w:sz w:val="21"/>
              </w:rPr>
            </w:pPr>
          </w:p>
          <w:p w14:paraId="07AF0A36">
            <w:pPr>
              <w:pStyle w:val="6"/>
              <w:spacing w:before="88" w:line="235" w:lineRule="auto"/>
              <w:ind w:left="318"/>
            </w:pPr>
            <w:r>
              <w:rPr>
                <w:spacing w:val="-11"/>
              </w:rPr>
              <w:t>配合</w:t>
            </w:r>
          </w:p>
          <w:p w14:paraId="7A94C842">
            <w:pPr>
              <w:pStyle w:val="6"/>
              <w:spacing w:before="57" w:line="231" w:lineRule="auto"/>
              <w:ind w:left="314"/>
            </w:pPr>
            <w:r>
              <w:rPr>
                <w:spacing w:val="-9"/>
              </w:rPr>
              <w:t>监管</w:t>
            </w:r>
          </w:p>
        </w:tc>
        <w:tc>
          <w:tcPr>
            <w:tcW w:w="1099" w:type="dxa"/>
            <w:vAlign w:val="top"/>
          </w:tcPr>
          <w:p w14:paraId="3F5C309F">
            <w:pPr>
              <w:spacing w:line="258" w:lineRule="auto"/>
              <w:rPr>
                <w:rFonts w:ascii="Arial"/>
                <w:sz w:val="21"/>
              </w:rPr>
            </w:pPr>
          </w:p>
          <w:p w14:paraId="368B2F71">
            <w:pPr>
              <w:spacing w:line="258" w:lineRule="auto"/>
              <w:rPr>
                <w:rFonts w:ascii="Arial"/>
                <w:sz w:val="21"/>
              </w:rPr>
            </w:pPr>
          </w:p>
          <w:p w14:paraId="1EDDE010">
            <w:pPr>
              <w:spacing w:line="259" w:lineRule="auto"/>
              <w:rPr>
                <w:rFonts w:ascii="Arial"/>
                <w:sz w:val="21"/>
              </w:rPr>
            </w:pPr>
          </w:p>
          <w:p w14:paraId="1044D8B6">
            <w:pPr>
              <w:spacing w:before="69" w:line="315"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3E0EDEDB">
            <w:pPr>
              <w:spacing w:line="379" w:lineRule="auto"/>
              <w:rPr>
                <w:rFonts w:ascii="Arial"/>
                <w:sz w:val="21"/>
              </w:rPr>
            </w:pPr>
          </w:p>
          <w:p w14:paraId="1A7B05A5">
            <w:pPr>
              <w:pStyle w:val="6"/>
              <w:spacing w:before="88" w:line="276" w:lineRule="auto"/>
              <w:ind w:left="121" w:right="104" w:firstLine="3"/>
            </w:pPr>
            <w:r>
              <w:rPr>
                <w:spacing w:val="-2"/>
              </w:rPr>
              <w:t>配合属地医保部门或委托第三方</w:t>
            </w:r>
            <w:r>
              <w:rPr>
                <w:spacing w:val="-8"/>
              </w:rPr>
              <w:t>的监督检查，并准确、完整提供医</w:t>
            </w:r>
            <w:r>
              <w:rPr>
                <w:spacing w:val="-2"/>
              </w:rPr>
              <w:t>疗服务有关的材料和数据。</w:t>
            </w:r>
          </w:p>
        </w:tc>
        <w:tc>
          <w:tcPr>
            <w:tcW w:w="4842" w:type="dxa"/>
            <w:vAlign w:val="top"/>
          </w:tcPr>
          <w:p w14:paraId="0C9CFA69">
            <w:pPr>
              <w:pStyle w:val="6"/>
              <w:spacing w:before="50" w:line="255" w:lineRule="auto"/>
              <w:ind w:left="123" w:right="108" w:firstLine="11"/>
            </w:pPr>
            <w:r>
              <w:rPr>
                <w:rFonts w:ascii="Times New Roman" w:hAnsi="Times New Roman" w:eastAsia="Times New Roman" w:cs="Times New Roman"/>
                <w:spacing w:val="-5"/>
                <w:position w:val="-1"/>
              </w:rPr>
              <w:t>1</w:t>
            </w:r>
            <w:r>
              <w:rPr>
                <w:spacing w:val="-5"/>
              </w:rPr>
              <w:t>．配合监督检查提供真实、完整、准确的资</w:t>
            </w:r>
            <w:r>
              <w:rPr>
                <w:spacing w:val="-3"/>
              </w:rPr>
              <w:t>料，得满分；</w:t>
            </w:r>
          </w:p>
          <w:p w14:paraId="10E907BA">
            <w:pPr>
              <w:pStyle w:val="6"/>
              <w:spacing w:before="54" w:line="261" w:lineRule="auto"/>
              <w:ind w:left="118" w:right="108" w:hanging="7"/>
            </w:pPr>
            <w:r>
              <w:rPr>
                <w:rFonts w:ascii="Times New Roman" w:hAnsi="Times New Roman" w:eastAsia="Times New Roman" w:cs="Times New Roman"/>
                <w:spacing w:val="-4"/>
              </w:rPr>
              <w:t>2</w:t>
            </w:r>
            <w:r>
              <w:rPr>
                <w:spacing w:val="-4"/>
              </w:rPr>
              <w:t>．提供资料不及时、不完整、不准确或无法</w:t>
            </w:r>
            <w:r>
              <w:t>按照规定提供医保监管信息资料，发现一次</w:t>
            </w:r>
            <w:r>
              <w:rPr>
                <w:spacing w:val="-8"/>
              </w:rPr>
              <w:t>扣</w:t>
            </w:r>
            <w:r>
              <w:rPr>
                <w:rFonts w:ascii="Times New Roman" w:hAnsi="Times New Roman" w:eastAsia="Times New Roman" w:cs="Times New Roman"/>
                <w:spacing w:val="-8"/>
              </w:rPr>
              <w:t>1</w:t>
            </w:r>
            <w:r>
              <w:rPr>
                <w:spacing w:val="-8"/>
              </w:rPr>
              <w:t>分，扣完为止。</w:t>
            </w:r>
          </w:p>
        </w:tc>
      </w:tr>
    </w:tbl>
    <w:p w14:paraId="60734066">
      <w:pPr>
        <w:rPr>
          <w:rFonts w:ascii="Arial"/>
          <w:sz w:val="21"/>
        </w:rPr>
      </w:pPr>
    </w:p>
    <w:p w14:paraId="08A09F9E">
      <w:pPr>
        <w:rPr>
          <w:rFonts w:ascii="Arial" w:hAnsi="Arial" w:eastAsia="Arial" w:cs="Arial"/>
          <w:sz w:val="21"/>
          <w:szCs w:val="21"/>
        </w:rPr>
        <w:sectPr>
          <w:footerReference r:id="rId14" w:type="default"/>
          <w:pgSz w:w="16839" w:h="11906"/>
          <w:pgMar w:top="1012" w:right="1364" w:bottom="1166" w:left="1477" w:header="0" w:footer="798" w:gutter="0"/>
          <w:cols w:space="720" w:num="1"/>
        </w:sectPr>
      </w:pPr>
    </w:p>
    <w:tbl>
      <w:tblPr>
        <w:tblStyle w:val="5"/>
        <w:tblW w:w="13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304"/>
        <w:gridCol w:w="994"/>
        <w:gridCol w:w="1084"/>
        <w:gridCol w:w="1099"/>
        <w:gridCol w:w="3723"/>
        <w:gridCol w:w="4842"/>
      </w:tblGrid>
      <w:tr w14:paraId="4301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945" w:type="dxa"/>
            <w:vAlign w:val="top"/>
          </w:tcPr>
          <w:p w14:paraId="4408FF28">
            <w:pPr>
              <w:spacing w:line="243" w:lineRule="auto"/>
              <w:rPr>
                <w:rFonts w:ascii="Arial"/>
                <w:sz w:val="21"/>
              </w:rPr>
            </w:pPr>
          </w:p>
          <w:p w14:paraId="34132EA2">
            <w:pPr>
              <w:spacing w:line="244" w:lineRule="auto"/>
              <w:rPr>
                <w:rFonts w:ascii="Arial"/>
                <w:sz w:val="21"/>
              </w:rPr>
            </w:pPr>
          </w:p>
          <w:p w14:paraId="44EDF77E">
            <w:pPr>
              <w:spacing w:line="244" w:lineRule="auto"/>
              <w:rPr>
                <w:rFonts w:ascii="Arial"/>
                <w:sz w:val="21"/>
              </w:rPr>
            </w:pPr>
          </w:p>
          <w:p w14:paraId="625D9BD3">
            <w:pPr>
              <w:spacing w:line="244" w:lineRule="auto"/>
              <w:rPr>
                <w:rFonts w:ascii="Arial"/>
                <w:sz w:val="21"/>
              </w:rPr>
            </w:pPr>
          </w:p>
          <w:p w14:paraId="747B6FBA">
            <w:pPr>
              <w:spacing w:before="69" w:line="315" w:lineRule="exact"/>
              <w:ind w:left="418"/>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1304" w:type="dxa"/>
            <w:vMerge w:val="restart"/>
            <w:tcBorders>
              <w:bottom w:val="nil"/>
            </w:tcBorders>
            <w:vAlign w:val="top"/>
          </w:tcPr>
          <w:p w14:paraId="02B94D6E">
            <w:pPr>
              <w:rPr>
                <w:rFonts w:ascii="Arial"/>
                <w:sz w:val="21"/>
              </w:rPr>
            </w:pPr>
          </w:p>
        </w:tc>
        <w:tc>
          <w:tcPr>
            <w:tcW w:w="994" w:type="dxa"/>
            <w:vAlign w:val="top"/>
          </w:tcPr>
          <w:p w14:paraId="4A51FF0F">
            <w:pPr>
              <w:spacing w:line="259" w:lineRule="auto"/>
              <w:rPr>
                <w:rFonts w:ascii="Arial"/>
                <w:sz w:val="21"/>
              </w:rPr>
            </w:pPr>
          </w:p>
          <w:p w14:paraId="51CA020B">
            <w:pPr>
              <w:spacing w:line="259" w:lineRule="auto"/>
              <w:rPr>
                <w:rFonts w:ascii="Arial"/>
                <w:sz w:val="21"/>
              </w:rPr>
            </w:pPr>
          </w:p>
          <w:p w14:paraId="7FE1E479">
            <w:pPr>
              <w:spacing w:line="260" w:lineRule="auto"/>
              <w:rPr>
                <w:rFonts w:ascii="Arial"/>
                <w:sz w:val="21"/>
              </w:rPr>
            </w:pPr>
          </w:p>
          <w:p w14:paraId="7286DEF0">
            <w:pPr>
              <w:pStyle w:val="6"/>
              <w:spacing w:before="88" w:line="234" w:lineRule="auto"/>
              <w:ind w:left="284"/>
            </w:pPr>
            <w:r>
              <w:rPr>
                <w:spacing w:val="-16"/>
              </w:rPr>
              <w:t>系统</w:t>
            </w:r>
          </w:p>
          <w:p w14:paraId="4A2154F1">
            <w:pPr>
              <w:pStyle w:val="6"/>
              <w:spacing w:before="56" w:line="231" w:lineRule="auto"/>
              <w:ind w:left="275"/>
            </w:pPr>
            <w:r>
              <w:rPr>
                <w:spacing w:val="-12"/>
              </w:rPr>
              <w:t>管理</w:t>
            </w:r>
          </w:p>
        </w:tc>
        <w:tc>
          <w:tcPr>
            <w:tcW w:w="1084" w:type="dxa"/>
            <w:vAlign w:val="top"/>
          </w:tcPr>
          <w:p w14:paraId="052EA79F">
            <w:pPr>
              <w:spacing w:line="259" w:lineRule="auto"/>
              <w:rPr>
                <w:rFonts w:ascii="Arial"/>
                <w:sz w:val="21"/>
              </w:rPr>
            </w:pPr>
          </w:p>
          <w:p w14:paraId="5F2FB266">
            <w:pPr>
              <w:spacing w:line="259" w:lineRule="auto"/>
              <w:rPr>
                <w:rFonts w:ascii="Arial"/>
                <w:sz w:val="21"/>
              </w:rPr>
            </w:pPr>
          </w:p>
          <w:p w14:paraId="35B1617E">
            <w:pPr>
              <w:spacing w:line="260" w:lineRule="auto"/>
              <w:rPr>
                <w:rFonts w:ascii="Arial"/>
                <w:sz w:val="21"/>
              </w:rPr>
            </w:pPr>
          </w:p>
          <w:p w14:paraId="6A4931CA">
            <w:pPr>
              <w:pStyle w:val="6"/>
              <w:spacing w:before="88" w:line="234" w:lineRule="auto"/>
              <w:ind w:left="329"/>
            </w:pPr>
            <w:r>
              <w:rPr>
                <w:spacing w:val="-16"/>
              </w:rPr>
              <w:t>系统</w:t>
            </w:r>
          </w:p>
          <w:p w14:paraId="361E33E4">
            <w:pPr>
              <w:pStyle w:val="6"/>
              <w:spacing w:before="56" w:line="232" w:lineRule="auto"/>
              <w:ind w:left="314"/>
            </w:pPr>
            <w:r>
              <w:rPr>
                <w:spacing w:val="-9"/>
              </w:rPr>
              <w:t>对接</w:t>
            </w:r>
          </w:p>
        </w:tc>
        <w:tc>
          <w:tcPr>
            <w:tcW w:w="1099" w:type="dxa"/>
            <w:vAlign w:val="top"/>
          </w:tcPr>
          <w:p w14:paraId="0E7398DE">
            <w:pPr>
              <w:spacing w:line="243" w:lineRule="auto"/>
              <w:rPr>
                <w:rFonts w:ascii="Arial"/>
                <w:sz w:val="21"/>
              </w:rPr>
            </w:pPr>
          </w:p>
          <w:p w14:paraId="0D7D04CE">
            <w:pPr>
              <w:spacing w:line="244" w:lineRule="auto"/>
              <w:rPr>
                <w:rFonts w:ascii="Arial"/>
                <w:sz w:val="21"/>
              </w:rPr>
            </w:pPr>
          </w:p>
          <w:p w14:paraId="22AD7472">
            <w:pPr>
              <w:spacing w:line="244" w:lineRule="auto"/>
              <w:rPr>
                <w:rFonts w:ascii="Arial"/>
                <w:sz w:val="21"/>
              </w:rPr>
            </w:pPr>
          </w:p>
          <w:p w14:paraId="1C97A8D1">
            <w:pPr>
              <w:spacing w:line="244" w:lineRule="auto"/>
              <w:rPr>
                <w:rFonts w:ascii="Arial"/>
                <w:sz w:val="21"/>
              </w:rPr>
            </w:pPr>
          </w:p>
          <w:p w14:paraId="688D6166">
            <w:pPr>
              <w:spacing w:before="69" w:line="315"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1E4F5D0F">
            <w:pPr>
              <w:spacing w:line="378" w:lineRule="auto"/>
              <w:rPr>
                <w:rFonts w:ascii="Arial"/>
                <w:sz w:val="21"/>
              </w:rPr>
            </w:pPr>
          </w:p>
          <w:p w14:paraId="6FD48DB2">
            <w:pPr>
              <w:pStyle w:val="6"/>
              <w:spacing w:before="88" w:line="278" w:lineRule="auto"/>
              <w:ind w:left="121" w:right="60" w:firstLine="22"/>
              <w:jc w:val="both"/>
            </w:pPr>
            <w:r>
              <w:rPr>
                <w:spacing w:val="7"/>
              </w:rPr>
              <w:t>医保相关信息按照标准全面、准</w:t>
            </w:r>
            <w:r>
              <w:rPr>
                <w:spacing w:val="-5"/>
              </w:rPr>
              <w:t>确、及时、传输至医保信息系统，</w:t>
            </w:r>
            <w:r>
              <w:rPr>
                <w:spacing w:val="-8"/>
              </w:rPr>
              <w:t>实现与医保结算系统、监管系统有</w:t>
            </w:r>
            <w:r>
              <w:rPr>
                <w:spacing w:val="-5"/>
              </w:rPr>
              <w:t>效对接。</w:t>
            </w:r>
          </w:p>
        </w:tc>
        <w:tc>
          <w:tcPr>
            <w:tcW w:w="4842" w:type="dxa"/>
            <w:vAlign w:val="top"/>
          </w:tcPr>
          <w:p w14:paraId="7B93F9AB">
            <w:pPr>
              <w:pStyle w:val="6"/>
              <w:spacing w:before="50" w:line="258" w:lineRule="auto"/>
              <w:ind w:left="124" w:right="16" w:firstLine="10"/>
            </w:pPr>
            <w:r>
              <w:rPr>
                <w:rFonts w:ascii="Times New Roman" w:hAnsi="Times New Roman" w:eastAsia="Times New Roman" w:cs="Times New Roman"/>
                <w:spacing w:val="-12"/>
              </w:rPr>
              <w:t>1</w:t>
            </w:r>
            <w:r>
              <w:rPr>
                <w:spacing w:val="-12"/>
              </w:rPr>
              <w:t>．按照规定与医保信息系统进行对接，全面、</w:t>
            </w:r>
            <w:r>
              <w:rPr>
                <w:spacing w:val="-1"/>
              </w:rPr>
              <w:t>准确、及时、传输信息并应用，得满分；</w:t>
            </w:r>
          </w:p>
          <w:p w14:paraId="1A7B5927">
            <w:pPr>
              <w:pStyle w:val="6"/>
              <w:spacing w:before="48" w:line="264" w:lineRule="auto"/>
              <w:ind w:left="121" w:right="14" w:hanging="10"/>
            </w:pPr>
            <w:r>
              <w:rPr>
                <w:rFonts w:ascii="Times New Roman" w:hAnsi="Times New Roman" w:eastAsia="Times New Roman" w:cs="Times New Roman"/>
                <w:spacing w:val="-4"/>
              </w:rPr>
              <w:t>2</w:t>
            </w:r>
            <w:r>
              <w:rPr>
                <w:spacing w:val="-4"/>
              </w:rPr>
              <w:t>．未按信息编码规则上传数据的，上传信息</w:t>
            </w:r>
            <w:r>
              <w:rPr>
                <w:spacing w:val="-5"/>
              </w:rPr>
              <w:t>数据不全面、缺项的，上传信息数据不准确、</w:t>
            </w:r>
            <w:r>
              <w:rPr>
                <w:spacing w:val="2"/>
              </w:rPr>
              <w:t>不规范的，上传信息数据未按时限要求的，</w:t>
            </w:r>
            <w:r>
              <w:rPr>
                <w:spacing w:val="-6"/>
              </w:rPr>
              <w:t>发现一次扣</w:t>
            </w:r>
            <w:r>
              <w:rPr>
                <w:rFonts w:ascii="Times New Roman" w:hAnsi="Times New Roman" w:eastAsia="Times New Roman" w:cs="Times New Roman"/>
                <w:spacing w:val="-6"/>
              </w:rPr>
              <w:t>1</w:t>
            </w:r>
            <w:r>
              <w:rPr>
                <w:spacing w:val="-6"/>
              </w:rPr>
              <w:t>分，扣完为止。</w:t>
            </w:r>
          </w:p>
        </w:tc>
      </w:tr>
      <w:tr w14:paraId="2E8EA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2" w:hRule="atLeast"/>
        </w:trPr>
        <w:tc>
          <w:tcPr>
            <w:tcW w:w="945" w:type="dxa"/>
            <w:vAlign w:val="top"/>
          </w:tcPr>
          <w:p w14:paraId="66ED1900">
            <w:pPr>
              <w:spacing w:line="261" w:lineRule="auto"/>
              <w:rPr>
                <w:rFonts w:ascii="Arial"/>
                <w:sz w:val="21"/>
              </w:rPr>
            </w:pPr>
          </w:p>
          <w:p w14:paraId="2C6BC52E">
            <w:pPr>
              <w:spacing w:line="261" w:lineRule="auto"/>
              <w:rPr>
                <w:rFonts w:ascii="Arial"/>
                <w:sz w:val="21"/>
              </w:rPr>
            </w:pPr>
          </w:p>
          <w:p w14:paraId="684EBC57">
            <w:pPr>
              <w:spacing w:line="261" w:lineRule="auto"/>
              <w:rPr>
                <w:rFonts w:ascii="Arial"/>
                <w:sz w:val="21"/>
              </w:rPr>
            </w:pPr>
          </w:p>
          <w:p w14:paraId="471DF977">
            <w:pPr>
              <w:spacing w:line="261" w:lineRule="auto"/>
              <w:rPr>
                <w:rFonts w:ascii="Arial"/>
                <w:sz w:val="21"/>
              </w:rPr>
            </w:pPr>
          </w:p>
          <w:p w14:paraId="504AF704">
            <w:pPr>
              <w:spacing w:line="262" w:lineRule="auto"/>
              <w:rPr>
                <w:rFonts w:ascii="Arial"/>
                <w:sz w:val="21"/>
              </w:rPr>
            </w:pPr>
          </w:p>
          <w:p w14:paraId="0B6538E5">
            <w:pPr>
              <w:spacing w:line="262" w:lineRule="auto"/>
              <w:rPr>
                <w:rFonts w:ascii="Arial"/>
                <w:sz w:val="21"/>
              </w:rPr>
            </w:pPr>
          </w:p>
          <w:p w14:paraId="50A2F4AA">
            <w:pPr>
              <w:spacing w:before="69" w:line="314" w:lineRule="exact"/>
              <w:ind w:left="412"/>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1304" w:type="dxa"/>
            <w:vMerge w:val="continue"/>
            <w:tcBorders>
              <w:top w:val="nil"/>
              <w:bottom w:val="nil"/>
            </w:tcBorders>
            <w:vAlign w:val="top"/>
          </w:tcPr>
          <w:p w14:paraId="5CAF88BA">
            <w:pPr>
              <w:rPr>
                <w:rFonts w:ascii="Arial"/>
                <w:sz w:val="21"/>
              </w:rPr>
            </w:pPr>
          </w:p>
        </w:tc>
        <w:tc>
          <w:tcPr>
            <w:tcW w:w="994" w:type="dxa"/>
            <w:vMerge w:val="restart"/>
            <w:tcBorders>
              <w:bottom w:val="nil"/>
            </w:tcBorders>
            <w:vAlign w:val="top"/>
          </w:tcPr>
          <w:p w14:paraId="17C45EBE">
            <w:pPr>
              <w:spacing w:line="241" w:lineRule="auto"/>
              <w:rPr>
                <w:rFonts w:ascii="Arial"/>
                <w:sz w:val="21"/>
              </w:rPr>
            </w:pPr>
          </w:p>
          <w:p w14:paraId="1C96A455">
            <w:pPr>
              <w:spacing w:line="241" w:lineRule="auto"/>
              <w:rPr>
                <w:rFonts w:ascii="Arial"/>
                <w:sz w:val="21"/>
              </w:rPr>
            </w:pPr>
          </w:p>
          <w:p w14:paraId="0B7BD221">
            <w:pPr>
              <w:spacing w:line="241" w:lineRule="auto"/>
              <w:rPr>
                <w:rFonts w:ascii="Arial"/>
                <w:sz w:val="21"/>
              </w:rPr>
            </w:pPr>
          </w:p>
          <w:p w14:paraId="0A83B37A">
            <w:pPr>
              <w:spacing w:line="241" w:lineRule="auto"/>
              <w:rPr>
                <w:rFonts w:ascii="Arial"/>
                <w:sz w:val="21"/>
              </w:rPr>
            </w:pPr>
          </w:p>
          <w:p w14:paraId="30299863">
            <w:pPr>
              <w:spacing w:line="241" w:lineRule="auto"/>
              <w:rPr>
                <w:rFonts w:ascii="Arial"/>
                <w:sz w:val="21"/>
              </w:rPr>
            </w:pPr>
          </w:p>
          <w:p w14:paraId="5BB112B2">
            <w:pPr>
              <w:spacing w:line="241" w:lineRule="auto"/>
              <w:rPr>
                <w:rFonts w:ascii="Arial"/>
                <w:sz w:val="21"/>
              </w:rPr>
            </w:pPr>
          </w:p>
          <w:p w14:paraId="7F512577">
            <w:pPr>
              <w:spacing w:line="241" w:lineRule="auto"/>
              <w:rPr>
                <w:rFonts w:ascii="Arial"/>
                <w:sz w:val="21"/>
              </w:rPr>
            </w:pPr>
          </w:p>
          <w:p w14:paraId="3A907814">
            <w:pPr>
              <w:spacing w:line="242" w:lineRule="auto"/>
              <w:rPr>
                <w:rFonts w:ascii="Arial"/>
                <w:sz w:val="21"/>
              </w:rPr>
            </w:pPr>
          </w:p>
          <w:p w14:paraId="317A8E57">
            <w:pPr>
              <w:spacing w:line="242" w:lineRule="auto"/>
              <w:rPr>
                <w:rFonts w:ascii="Arial"/>
                <w:sz w:val="21"/>
              </w:rPr>
            </w:pPr>
          </w:p>
          <w:p w14:paraId="6AA57182">
            <w:pPr>
              <w:pStyle w:val="6"/>
              <w:spacing w:before="87" w:line="233" w:lineRule="auto"/>
              <w:ind w:left="268"/>
            </w:pPr>
            <w:r>
              <w:rPr>
                <w:spacing w:val="-8"/>
              </w:rPr>
              <w:t>财务</w:t>
            </w:r>
          </w:p>
          <w:p w14:paraId="0B57A1C3">
            <w:pPr>
              <w:pStyle w:val="6"/>
              <w:spacing w:before="60" w:line="231" w:lineRule="auto"/>
              <w:ind w:left="275"/>
            </w:pPr>
            <w:r>
              <w:rPr>
                <w:spacing w:val="-12"/>
              </w:rPr>
              <w:t>管理</w:t>
            </w:r>
          </w:p>
        </w:tc>
        <w:tc>
          <w:tcPr>
            <w:tcW w:w="1084" w:type="dxa"/>
            <w:vAlign w:val="top"/>
          </w:tcPr>
          <w:p w14:paraId="2757298F">
            <w:pPr>
              <w:spacing w:line="274" w:lineRule="auto"/>
              <w:rPr>
                <w:rFonts w:ascii="Arial"/>
                <w:sz w:val="21"/>
              </w:rPr>
            </w:pPr>
          </w:p>
          <w:p w14:paraId="7F3B7CAC">
            <w:pPr>
              <w:spacing w:line="274" w:lineRule="auto"/>
              <w:rPr>
                <w:rFonts w:ascii="Arial"/>
                <w:sz w:val="21"/>
              </w:rPr>
            </w:pPr>
          </w:p>
          <w:p w14:paraId="52F1CA30">
            <w:pPr>
              <w:spacing w:line="274" w:lineRule="auto"/>
              <w:rPr>
                <w:rFonts w:ascii="Arial"/>
                <w:sz w:val="21"/>
              </w:rPr>
            </w:pPr>
          </w:p>
          <w:p w14:paraId="45CCB887">
            <w:pPr>
              <w:spacing w:line="274" w:lineRule="auto"/>
              <w:rPr>
                <w:rFonts w:ascii="Arial"/>
                <w:sz w:val="21"/>
              </w:rPr>
            </w:pPr>
          </w:p>
          <w:p w14:paraId="4890A55B">
            <w:pPr>
              <w:spacing w:line="275" w:lineRule="auto"/>
              <w:rPr>
                <w:rFonts w:ascii="Arial"/>
                <w:sz w:val="21"/>
              </w:rPr>
            </w:pPr>
          </w:p>
          <w:p w14:paraId="1E4D229A">
            <w:pPr>
              <w:pStyle w:val="6"/>
              <w:spacing w:before="88" w:line="233" w:lineRule="auto"/>
              <w:ind w:left="313"/>
            </w:pPr>
            <w:r>
              <w:rPr>
                <w:spacing w:val="-8"/>
              </w:rPr>
              <w:t>财务</w:t>
            </w:r>
          </w:p>
          <w:p w14:paraId="75E0F897">
            <w:pPr>
              <w:pStyle w:val="6"/>
              <w:spacing w:before="57" w:line="233" w:lineRule="auto"/>
              <w:ind w:left="310"/>
            </w:pPr>
            <w:r>
              <w:rPr>
                <w:spacing w:val="-7"/>
              </w:rPr>
              <w:t>账表</w:t>
            </w:r>
          </w:p>
        </w:tc>
        <w:tc>
          <w:tcPr>
            <w:tcW w:w="1099" w:type="dxa"/>
            <w:vAlign w:val="top"/>
          </w:tcPr>
          <w:p w14:paraId="41138C16">
            <w:pPr>
              <w:spacing w:line="261" w:lineRule="auto"/>
              <w:rPr>
                <w:rFonts w:ascii="Arial"/>
                <w:sz w:val="21"/>
              </w:rPr>
            </w:pPr>
          </w:p>
          <w:p w14:paraId="744F409A">
            <w:pPr>
              <w:spacing w:line="261" w:lineRule="auto"/>
              <w:rPr>
                <w:rFonts w:ascii="Arial"/>
                <w:sz w:val="21"/>
              </w:rPr>
            </w:pPr>
          </w:p>
          <w:p w14:paraId="444DEFC4">
            <w:pPr>
              <w:spacing w:line="261" w:lineRule="auto"/>
              <w:rPr>
                <w:rFonts w:ascii="Arial"/>
                <w:sz w:val="21"/>
              </w:rPr>
            </w:pPr>
          </w:p>
          <w:p w14:paraId="47419678">
            <w:pPr>
              <w:spacing w:line="261" w:lineRule="auto"/>
              <w:rPr>
                <w:rFonts w:ascii="Arial"/>
                <w:sz w:val="21"/>
              </w:rPr>
            </w:pPr>
          </w:p>
          <w:p w14:paraId="26E0F704">
            <w:pPr>
              <w:spacing w:line="262" w:lineRule="auto"/>
              <w:rPr>
                <w:rFonts w:ascii="Arial"/>
                <w:sz w:val="21"/>
              </w:rPr>
            </w:pPr>
          </w:p>
          <w:p w14:paraId="3C30022D">
            <w:pPr>
              <w:spacing w:line="262" w:lineRule="auto"/>
              <w:rPr>
                <w:rFonts w:ascii="Arial"/>
                <w:sz w:val="21"/>
              </w:rPr>
            </w:pPr>
          </w:p>
          <w:p w14:paraId="31D235DE">
            <w:pPr>
              <w:spacing w:before="69" w:line="314"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14E348BB">
            <w:pPr>
              <w:spacing w:line="258" w:lineRule="auto"/>
              <w:rPr>
                <w:rFonts w:ascii="Arial"/>
                <w:sz w:val="21"/>
              </w:rPr>
            </w:pPr>
          </w:p>
          <w:p w14:paraId="0CFD6135">
            <w:pPr>
              <w:spacing w:line="258" w:lineRule="auto"/>
              <w:rPr>
                <w:rFonts w:ascii="Arial"/>
                <w:sz w:val="21"/>
              </w:rPr>
            </w:pPr>
          </w:p>
          <w:p w14:paraId="3E571282">
            <w:pPr>
              <w:spacing w:line="259" w:lineRule="auto"/>
              <w:rPr>
                <w:rFonts w:ascii="Arial"/>
                <w:sz w:val="21"/>
              </w:rPr>
            </w:pPr>
          </w:p>
          <w:p w14:paraId="1621BD52">
            <w:pPr>
              <w:pStyle w:val="6"/>
              <w:spacing w:before="87" w:line="277" w:lineRule="auto"/>
              <w:ind w:left="116" w:right="26" w:firstLine="1"/>
              <w:jc w:val="both"/>
            </w:pPr>
            <w:r>
              <w:rPr>
                <w:spacing w:val="9"/>
              </w:rPr>
              <w:t>执行定点零售药店财务制度和会</w:t>
            </w:r>
            <w:r>
              <w:rPr>
                <w:spacing w:val="-7"/>
              </w:rPr>
              <w:t>计制度，设立完整财务账套，包括</w:t>
            </w:r>
            <w:r>
              <w:rPr>
                <w:spacing w:val="-17"/>
              </w:rPr>
              <w:t>总账、现金账、银行账、明细账等；</w:t>
            </w:r>
            <w:r>
              <w:rPr>
                <w:spacing w:val="-7"/>
              </w:rPr>
              <w:t>业务往来记录完整，真实反映财务</w:t>
            </w:r>
            <w:r>
              <w:rPr>
                <w:spacing w:val="-5"/>
              </w:rPr>
              <w:t>状况。</w:t>
            </w:r>
          </w:p>
        </w:tc>
        <w:tc>
          <w:tcPr>
            <w:tcW w:w="4842" w:type="dxa"/>
            <w:vAlign w:val="top"/>
          </w:tcPr>
          <w:p w14:paraId="289C2B82">
            <w:pPr>
              <w:pStyle w:val="6"/>
              <w:spacing w:before="48" w:line="264" w:lineRule="auto"/>
              <w:ind w:left="121" w:right="108" w:firstLine="12"/>
            </w:pPr>
            <w:r>
              <w:rPr>
                <w:rFonts w:ascii="Times New Roman" w:hAnsi="Times New Roman" w:eastAsia="Times New Roman" w:cs="Times New Roman"/>
                <w:spacing w:val="-5"/>
                <w:position w:val="-1"/>
              </w:rPr>
              <w:t>1</w:t>
            </w:r>
            <w:r>
              <w:rPr>
                <w:spacing w:val="-5"/>
              </w:rPr>
              <w:t>．按照规定执行定点零售药店财务制度和会</w:t>
            </w:r>
            <w:r>
              <w:rPr>
                <w:spacing w:val="-3"/>
              </w:rPr>
              <w:t>计制度，按规定保管财务账目、记账凭证、</w:t>
            </w:r>
            <w:r>
              <w:rPr>
                <w:spacing w:val="-1"/>
              </w:rPr>
              <w:t>药品和医疗器械出入库记录、盘点表等涉及</w:t>
            </w:r>
            <w:r>
              <w:rPr>
                <w:spacing w:val="-2"/>
              </w:rPr>
              <w:t>基金使用的相关资料，得满分；</w:t>
            </w:r>
          </w:p>
          <w:p w14:paraId="52E900D5">
            <w:pPr>
              <w:pStyle w:val="6"/>
              <w:spacing w:before="52" w:line="268" w:lineRule="auto"/>
              <w:ind w:left="121" w:right="108" w:hanging="10"/>
            </w:pPr>
            <w:r>
              <w:rPr>
                <w:rFonts w:ascii="Times New Roman" w:hAnsi="Times New Roman" w:eastAsia="Times New Roman" w:cs="Times New Roman"/>
                <w:spacing w:val="-4"/>
              </w:rPr>
              <w:t>2</w:t>
            </w:r>
            <w:r>
              <w:rPr>
                <w:spacing w:val="-4"/>
              </w:rPr>
              <w:t>．建立财务台账，但财务资料不完整的，发</w:t>
            </w:r>
            <w:r>
              <w:rPr>
                <w:spacing w:val="-2"/>
              </w:rPr>
              <w:t>现一次，扣</w:t>
            </w:r>
            <w:r>
              <w:rPr>
                <w:rFonts w:ascii="Times New Roman" w:hAnsi="Times New Roman" w:eastAsia="Times New Roman" w:cs="Times New Roman"/>
                <w:spacing w:val="-2"/>
              </w:rPr>
              <w:t>0.5</w:t>
            </w:r>
            <w:r>
              <w:rPr>
                <w:spacing w:val="-2"/>
              </w:rPr>
              <w:t>分，扣完为止。</w:t>
            </w:r>
          </w:p>
          <w:p w14:paraId="14536506">
            <w:pPr>
              <w:pStyle w:val="6"/>
              <w:spacing w:before="17" w:line="261" w:lineRule="auto"/>
              <w:ind w:left="114" w:right="108" w:firstLine="1"/>
            </w:pPr>
            <w:r>
              <w:rPr>
                <w:rFonts w:ascii="Times New Roman" w:hAnsi="Times New Roman" w:eastAsia="Times New Roman" w:cs="Times New Roman"/>
                <w:spacing w:val="-7"/>
                <w:position w:val="-1"/>
              </w:rPr>
              <w:t>3</w:t>
            </w:r>
            <w:r>
              <w:rPr>
                <w:spacing w:val="-7"/>
              </w:rPr>
              <w:t>．未按规定保管财务账目、记账凭证、药品</w:t>
            </w:r>
            <w:r>
              <w:rPr>
                <w:spacing w:val="-1"/>
              </w:rPr>
              <w:t>和医疗器械出入库记录、盘点表等涉及基金使用的相关资料，不得分。</w:t>
            </w:r>
          </w:p>
        </w:tc>
      </w:tr>
      <w:tr w14:paraId="6827B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945" w:type="dxa"/>
            <w:vAlign w:val="top"/>
          </w:tcPr>
          <w:p w14:paraId="220E2777">
            <w:pPr>
              <w:spacing w:line="329" w:lineRule="auto"/>
              <w:rPr>
                <w:rFonts w:ascii="Arial"/>
                <w:sz w:val="21"/>
              </w:rPr>
            </w:pPr>
          </w:p>
          <w:p w14:paraId="64ABE86A">
            <w:pPr>
              <w:spacing w:line="329" w:lineRule="auto"/>
              <w:rPr>
                <w:rFonts w:ascii="Arial"/>
                <w:sz w:val="21"/>
              </w:rPr>
            </w:pPr>
          </w:p>
          <w:p w14:paraId="074D9001">
            <w:pPr>
              <w:spacing w:before="69" w:line="185" w:lineRule="auto"/>
              <w:ind w:left="420"/>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304" w:type="dxa"/>
            <w:vMerge w:val="continue"/>
            <w:tcBorders>
              <w:top w:val="nil"/>
            </w:tcBorders>
            <w:vAlign w:val="top"/>
          </w:tcPr>
          <w:p w14:paraId="74921A47">
            <w:pPr>
              <w:rPr>
                <w:rFonts w:ascii="Arial"/>
                <w:sz w:val="21"/>
              </w:rPr>
            </w:pPr>
          </w:p>
        </w:tc>
        <w:tc>
          <w:tcPr>
            <w:tcW w:w="994" w:type="dxa"/>
            <w:vMerge w:val="continue"/>
            <w:tcBorders>
              <w:top w:val="nil"/>
            </w:tcBorders>
            <w:vAlign w:val="top"/>
          </w:tcPr>
          <w:p w14:paraId="6DDFEACA">
            <w:pPr>
              <w:rPr>
                <w:rFonts w:ascii="Arial"/>
                <w:sz w:val="21"/>
              </w:rPr>
            </w:pPr>
          </w:p>
        </w:tc>
        <w:tc>
          <w:tcPr>
            <w:tcW w:w="1084" w:type="dxa"/>
            <w:vAlign w:val="top"/>
          </w:tcPr>
          <w:p w14:paraId="2C591710">
            <w:pPr>
              <w:spacing w:line="379" w:lineRule="auto"/>
              <w:rPr>
                <w:rFonts w:ascii="Arial"/>
                <w:sz w:val="21"/>
              </w:rPr>
            </w:pPr>
          </w:p>
          <w:p w14:paraId="4A737FDE">
            <w:pPr>
              <w:pStyle w:val="6"/>
              <w:spacing w:before="88" w:line="282" w:lineRule="auto"/>
              <w:ind w:left="320" w:right="181" w:hanging="132"/>
            </w:pPr>
            <w:r>
              <w:rPr>
                <w:spacing w:val="-4"/>
              </w:rPr>
              <w:t>进销存</w:t>
            </w:r>
            <w:r>
              <w:rPr>
                <w:spacing w:val="-12"/>
              </w:rPr>
              <w:t>管理</w:t>
            </w:r>
          </w:p>
        </w:tc>
        <w:tc>
          <w:tcPr>
            <w:tcW w:w="1099" w:type="dxa"/>
            <w:vAlign w:val="top"/>
          </w:tcPr>
          <w:p w14:paraId="7BD5D837">
            <w:pPr>
              <w:spacing w:line="329" w:lineRule="auto"/>
              <w:rPr>
                <w:rFonts w:ascii="Arial"/>
                <w:sz w:val="21"/>
              </w:rPr>
            </w:pPr>
          </w:p>
          <w:p w14:paraId="4DE3D280">
            <w:pPr>
              <w:spacing w:line="329" w:lineRule="auto"/>
              <w:rPr>
                <w:rFonts w:ascii="Arial"/>
                <w:sz w:val="21"/>
              </w:rPr>
            </w:pPr>
          </w:p>
          <w:p w14:paraId="7A3AB1C7">
            <w:pPr>
              <w:spacing w:before="69" w:line="185" w:lineRule="auto"/>
              <w:ind w:left="49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723" w:type="dxa"/>
            <w:vAlign w:val="top"/>
          </w:tcPr>
          <w:p w14:paraId="0DF4307C">
            <w:pPr>
              <w:pStyle w:val="6"/>
              <w:spacing w:before="271" w:line="279" w:lineRule="auto"/>
              <w:ind w:left="121" w:right="41" w:hanging="4"/>
              <w:jc w:val="both"/>
            </w:pPr>
            <w:r>
              <w:rPr>
                <w:spacing w:val="-3"/>
              </w:rPr>
              <w:t>建立药品及医用材料真实、完整、</w:t>
            </w:r>
            <w:r>
              <w:rPr>
                <w:spacing w:val="-8"/>
              </w:rPr>
              <w:t>准确的购销存台账；保存真实完整</w:t>
            </w:r>
            <w:r>
              <w:rPr>
                <w:spacing w:val="-2"/>
              </w:rPr>
              <w:t>的购进和使用记录。</w:t>
            </w:r>
          </w:p>
        </w:tc>
        <w:tc>
          <w:tcPr>
            <w:tcW w:w="4842" w:type="dxa"/>
            <w:vAlign w:val="top"/>
          </w:tcPr>
          <w:p w14:paraId="6A050694">
            <w:pPr>
              <w:pStyle w:val="6"/>
              <w:spacing w:before="51" w:line="263" w:lineRule="auto"/>
              <w:ind w:left="116" w:right="108" w:firstLine="17"/>
            </w:pPr>
            <w:r>
              <w:rPr>
                <w:rFonts w:ascii="Times New Roman" w:hAnsi="Times New Roman" w:eastAsia="Times New Roman" w:cs="Times New Roman"/>
                <w:spacing w:val="-5"/>
              </w:rPr>
              <w:t>1</w:t>
            </w:r>
            <w:r>
              <w:rPr>
                <w:spacing w:val="-5"/>
              </w:rPr>
              <w:t>．按规定建立进销存台账或者使用相关信息</w:t>
            </w:r>
            <w:r>
              <w:rPr>
                <w:spacing w:val="-1"/>
              </w:rPr>
              <w:t>系统对药品、耗材和医疗器械的进销存信息</w:t>
            </w:r>
            <w:r>
              <w:rPr>
                <w:spacing w:val="-2"/>
              </w:rPr>
              <w:t>进行记录，得满分；</w:t>
            </w:r>
          </w:p>
          <w:p w14:paraId="5844EB6C">
            <w:pPr>
              <w:pStyle w:val="6"/>
              <w:spacing w:before="45" w:line="237" w:lineRule="auto"/>
              <w:ind w:left="111"/>
            </w:pPr>
            <w:r>
              <w:rPr>
                <w:rFonts w:ascii="Times New Roman" w:hAnsi="Times New Roman" w:eastAsia="Times New Roman" w:cs="Times New Roman"/>
                <w:spacing w:val="-4"/>
              </w:rPr>
              <w:t>2</w:t>
            </w:r>
            <w:r>
              <w:rPr>
                <w:spacing w:val="-4"/>
              </w:rPr>
              <w:t>．建立进销存台账，但药品、耗材和医疗器</w:t>
            </w:r>
          </w:p>
        </w:tc>
      </w:tr>
    </w:tbl>
    <w:p w14:paraId="20F21EDC">
      <w:pPr>
        <w:rPr>
          <w:rFonts w:ascii="Arial"/>
          <w:sz w:val="21"/>
        </w:rPr>
      </w:pPr>
    </w:p>
    <w:p w14:paraId="23F51F63">
      <w:pPr>
        <w:rPr>
          <w:rFonts w:ascii="Arial" w:hAnsi="Arial" w:eastAsia="Arial" w:cs="Arial"/>
          <w:sz w:val="21"/>
          <w:szCs w:val="21"/>
        </w:rPr>
        <w:sectPr>
          <w:footerReference r:id="rId15" w:type="default"/>
          <w:pgSz w:w="16839" w:h="11906"/>
          <w:pgMar w:top="1012" w:right="1364" w:bottom="1166" w:left="1477" w:header="0" w:footer="798" w:gutter="0"/>
          <w:cols w:space="720" w:num="1"/>
        </w:sectPr>
      </w:pPr>
    </w:p>
    <w:tbl>
      <w:tblPr>
        <w:tblStyle w:val="5"/>
        <w:tblW w:w="13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304"/>
        <w:gridCol w:w="994"/>
        <w:gridCol w:w="1084"/>
        <w:gridCol w:w="1099"/>
        <w:gridCol w:w="3723"/>
        <w:gridCol w:w="4842"/>
      </w:tblGrid>
      <w:tr w14:paraId="181CC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945" w:type="dxa"/>
            <w:vAlign w:val="top"/>
          </w:tcPr>
          <w:p w14:paraId="2C2C163D">
            <w:pPr>
              <w:rPr>
                <w:rFonts w:ascii="Arial"/>
                <w:sz w:val="21"/>
              </w:rPr>
            </w:pPr>
          </w:p>
        </w:tc>
        <w:tc>
          <w:tcPr>
            <w:tcW w:w="1304" w:type="dxa"/>
            <w:vMerge w:val="restart"/>
            <w:tcBorders>
              <w:bottom w:val="nil"/>
            </w:tcBorders>
            <w:vAlign w:val="top"/>
          </w:tcPr>
          <w:p w14:paraId="59CF4D7A">
            <w:pPr>
              <w:rPr>
                <w:rFonts w:ascii="Arial"/>
                <w:sz w:val="21"/>
              </w:rPr>
            </w:pPr>
          </w:p>
        </w:tc>
        <w:tc>
          <w:tcPr>
            <w:tcW w:w="994" w:type="dxa"/>
            <w:vAlign w:val="top"/>
          </w:tcPr>
          <w:p w14:paraId="1FD41274">
            <w:pPr>
              <w:rPr>
                <w:rFonts w:ascii="Arial"/>
                <w:sz w:val="21"/>
              </w:rPr>
            </w:pPr>
          </w:p>
        </w:tc>
        <w:tc>
          <w:tcPr>
            <w:tcW w:w="1084" w:type="dxa"/>
            <w:vAlign w:val="top"/>
          </w:tcPr>
          <w:p w14:paraId="09EE2E1A">
            <w:pPr>
              <w:rPr>
                <w:rFonts w:ascii="Arial"/>
                <w:sz w:val="21"/>
              </w:rPr>
            </w:pPr>
          </w:p>
        </w:tc>
        <w:tc>
          <w:tcPr>
            <w:tcW w:w="1099" w:type="dxa"/>
            <w:vAlign w:val="top"/>
          </w:tcPr>
          <w:p w14:paraId="4A8245CB">
            <w:pPr>
              <w:rPr>
                <w:rFonts w:ascii="Arial"/>
                <w:sz w:val="21"/>
              </w:rPr>
            </w:pPr>
          </w:p>
        </w:tc>
        <w:tc>
          <w:tcPr>
            <w:tcW w:w="3723" w:type="dxa"/>
            <w:vAlign w:val="top"/>
          </w:tcPr>
          <w:p w14:paraId="5A036CAD">
            <w:pPr>
              <w:rPr>
                <w:rFonts w:ascii="Arial"/>
                <w:sz w:val="21"/>
              </w:rPr>
            </w:pPr>
          </w:p>
        </w:tc>
        <w:tc>
          <w:tcPr>
            <w:tcW w:w="4842" w:type="dxa"/>
            <w:vAlign w:val="top"/>
          </w:tcPr>
          <w:p w14:paraId="0450822F">
            <w:pPr>
              <w:pStyle w:val="6"/>
              <w:spacing w:before="49" w:line="274" w:lineRule="auto"/>
              <w:ind w:left="119" w:right="290" w:hanging="2"/>
            </w:pPr>
            <w:r>
              <w:rPr>
                <w:spacing w:val="-1"/>
              </w:rPr>
              <w:t>械信息不完整、不准确，发现一次，扣</w:t>
            </w:r>
            <w:r>
              <w:rPr>
                <w:rFonts w:ascii="Times New Roman" w:hAnsi="Times New Roman" w:eastAsia="Times New Roman" w:cs="Times New Roman"/>
                <w:spacing w:val="-1"/>
              </w:rPr>
              <w:t>0.5</w:t>
            </w:r>
            <w:r>
              <w:rPr>
                <w:spacing w:val="-3"/>
              </w:rPr>
              <w:t>分，扣完为止；</w:t>
            </w:r>
          </w:p>
          <w:p w14:paraId="34B9FDDE">
            <w:pPr>
              <w:pStyle w:val="6"/>
              <w:spacing w:before="1" w:line="255" w:lineRule="auto"/>
              <w:ind w:left="145" w:right="108" w:hanging="29"/>
            </w:pPr>
            <w:r>
              <w:rPr>
                <w:rFonts w:ascii="Times New Roman" w:hAnsi="Times New Roman" w:eastAsia="Times New Roman" w:cs="Times New Roman"/>
                <w:spacing w:val="-4"/>
              </w:rPr>
              <w:t>3</w:t>
            </w:r>
            <w:r>
              <w:rPr>
                <w:spacing w:val="-4"/>
              </w:rPr>
              <w:t>．未按规定建立进销存台账对药品、耗材和</w:t>
            </w:r>
            <w:r>
              <w:rPr>
                <w:spacing w:val="-3"/>
              </w:rPr>
              <w:t>医疗器械的进销存信息进行记录，不得分。</w:t>
            </w:r>
          </w:p>
        </w:tc>
      </w:tr>
      <w:tr w14:paraId="3C3E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945" w:type="dxa"/>
            <w:vAlign w:val="top"/>
          </w:tcPr>
          <w:p w14:paraId="16031E99">
            <w:pPr>
              <w:spacing w:line="284" w:lineRule="auto"/>
              <w:rPr>
                <w:rFonts w:ascii="Arial"/>
                <w:sz w:val="21"/>
              </w:rPr>
            </w:pPr>
          </w:p>
          <w:p w14:paraId="751A749A">
            <w:pPr>
              <w:spacing w:line="285" w:lineRule="auto"/>
              <w:rPr>
                <w:rFonts w:ascii="Arial"/>
                <w:sz w:val="21"/>
              </w:rPr>
            </w:pPr>
          </w:p>
          <w:p w14:paraId="221FD0B0">
            <w:pPr>
              <w:spacing w:before="69" w:line="315" w:lineRule="exact"/>
              <w:ind w:left="41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1304" w:type="dxa"/>
            <w:vMerge w:val="continue"/>
            <w:tcBorders>
              <w:top w:val="nil"/>
              <w:bottom w:val="nil"/>
            </w:tcBorders>
            <w:vAlign w:val="top"/>
          </w:tcPr>
          <w:p w14:paraId="11209748">
            <w:pPr>
              <w:rPr>
                <w:rFonts w:ascii="Arial"/>
                <w:sz w:val="21"/>
              </w:rPr>
            </w:pPr>
          </w:p>
        </w:tc>
        <w:tc>
          <w:tcPr>
            <w:tcW w:w="994" w:type="dxa"/>
            <w:vMerge w:val="restart"/>
            <w:tcBorders>
              <w:bottom w:val="nil"/>
            </w:tcBorders>
            <w:vAlign w:val="top"/>
          </w:tcPr>
          <w:p w14:paraId="0971EBFF">
            <w:pPr>
              <w:spacing w:line="241" w:lineRule="auto"/>
              <w:rPr>
                <w:rFonts w:ascii="Arial"/>
                <w:sz w:val="21"/>
              </w:rPr>
            </w:pPr>
          </w:p>
          <w:p w14:paraId="60C9B682">
            <w:pPr>
              <w:spacing w:line="241" w:lineRule="auto"/>
              <w:rPr>
                <w:rFonts w:ascii="Arial"/>
                <w:sz w:val="21"/>
              </w:rPr>
            </w:pPr>
          </w:p>
          <w:p w14:paraId="523907FA">
            <w:pPr>
              <w:spacing w:line="241" w:lineRule="auto"/>
              <w:rPr>
                <w:rFonts w:ascii="Arial"/>
                <w:sz w:val="21"/>
              </w:rPr>
            </w:pPr>
          </w:p>
          <w:p w14:paraId="41BD8AF0">
            <w:pPr>
              <w:spacing w:line="241" w:lineRule="auto"/>
              <w:rPr>
                <w:rFonts w:ascii="Arial"/>
                <w:sz w:val="21"/>
              </w:rPr>
            </w:pPr>
          </w:p>
          <w:p w14:paraId="7430C789">
            <w:pPr>
              <w:spacing w:line="241" w:lineRule="auto"/>
              <w:rPr>
                <w:rFonts w:ascii="Arial"/>
                <w:sz w:val="21"/>
              </w:rPr>
            </w:pPr>
          </w:p>
          <w:p w14:paraId="7977345F">
            <w:pPr>
              <w:spacing w:line="241" w:lineRule="auto"/>
              <w:rPr>
                <w:rFonts w:ascii="Arial"/>
                <w:sz w:val="21"/>
              </w:rPr>
            </w:pPr>
          </w:p>
          <w:p w14:paraId="5ABF9780">
            <w:pPr>
              <w:spacing w:line="241" w:lineRule="auto"/>
              <w:rPr>
                <w:rFonts w:ascii="Arial"/>
                <w:sz w:val="21"/>
              </w:rPr>
            </w:pPr>
          </w:p>
          <w:p w14:paraId="7378479F">
            <w:pPr>
              <w:spacing w:line="242" w:lineRule="auto"/>
              <w:rPr>
                <w:rFonts w:ascii="Arial"/>
                <w:sz w:val="21"/>
              </w:rPr>
            </w:pPr>
          </w:p>
          <w:p w14:paraId="21AA82CD">
            <w:pPr>
              <w:spacing w:line="242" w:lineRule="auto"/>
              <w:rPr>
                <w:rFonts w:ascii="Arial"/>
                <w:sz w:val="21"/>
              </w:rPr>
            </w:pPr>
          </w:p>
          <w:p w14:paraId="3328C629">
            <w:pPr>
              <w:pStyle w:val="6"/>
              <w:spacing w:before="88" w:line="232" w:lineRule="auto"/>
              <w:ind w:left="266"/>
            </w:pPr>
            <w:r>
              <w:rPr>
                <w:spacing w:val="-8"/>
              </w:rPr>
              <w:t>服务</w:t>
            </w:r>
          </w:p>
          <w:p w14:paraId="130B5392">
            <w:pPr>
              <w:pStyle w:val="6"/>
              <w:spacing w:before="62" w:line="231" w:lineRule="auto"/>
              <w:ind w:left="275"/>
            </w:pPr>
            <w:r>
              <w:rPr>
                <w:spacing w:val="-12"/>
              </w:rPr>
              <w:t>管理</w:t>
            </w:r>
          </w:p>
        </w:tc>
        <w:tc>
          <w:tcPr>
            <w:tcW w:w="1084" w:type="dxa"/>
            <w:vAlign w:val="top"/>
          </w:tcPr>
          <w:p w14:paraId="456CC57E">
            <w:pPr>
              <w:spacing w:line="372" w:lineRule="auto"/>
              <w:rPr>
                <w:rFonts w:ascii="Arial"/>
                <w:sz w:val="21"/>
              </w:rPr>
            </w:pPr>
          </w:p>
          <w:p w14:paraId="32CB9695">
            <w:pPr>
              <w:pStyle w:val="6"/>
              <w:spacing w:before="88" w:line="234" w:lineRule="auto"/>
              <w:ind w:left="315"/>
            </w:pPr>
            <w:r>
              <w:rPr>
                <w:spacing w:val="-9"/>
              </w:rPr>
              <w:t>身份</w:t>
            </w:r>
          </w:p>
          <w:p w14:paraId="112D6FBC">
            <w:pPr>
              <w:pStyle w:val="6"/>
              <w:spacing w:before="56" w:line="235" w:lineRule="auto"/>
              <w:ind w:left="313"/>
            </w:pPr>
            <w:r>
              <w:rPr>
                <w:spacing w:val="-8"/>
              </w:rPr>
              <w:t>识别</w:t>
            </w:r>
          </w:p>
        </w:tc>
        <w:tc>
          <w:tcPr>
            <w:tcW w:w="1099" w:type="dxa"/>
            <w:vAlign w:val="top"/>
          </w:tcPr>
          <w:p w14:paraId="07D0D60E">
            <w:pPr>
              <w:spacing w:line="284" w:lineRule="auto"/>
              <w:rPr>
                <w:rFonts w:ascii="Arial"/>
                <w:sz w:val="21"/>
              </w:rPr>
            </w:pPr>
          </w:p>
          <w:p w14:paraId="2D818DF8">
            <w:pPr>
              <w:spacing w:line="285" w:lineRule="auto"/>
              <w:rPr>
                <w:rFonts w:ascii="Arial"/>
                <w:sz w:val="21"/>
              </w:rPr>
            </w:pPr>
          </w:p>
          <w:p w14:paraId="1BA05867">
            <w:pPr>
              <w:spacing w:before="69" w:line="315" w:lineRule="exact"/>
              <w:ind w:left="48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3723" w:type="dxa"/>
            <w:vAlign w:val="top"/>
          </w:tcPr>
          <w:p w14:paraId="0377B884">
            <w:pPr>
              <w:spacing w:line="372" w:lineRule="auto"/>
              <w:rPr>
                <w:rFonts w:ascii="Arial"/>
                <w:sz w:val="21"/>
              </w:rPr>
            </w:pPr>
          </w:p>
          <w:p w14:paraId="3C4E478B">
            <w:pPr>
              <w:pStyle w:val="6"/>
              <w:spacing w:before="88" w:line="281" w:lineRule="auto"/>
              <w:ind w:left="115" w:right="60" w:firstLine="2"/>
            </w:pPr>
            <w:r>
              <w:rPr>
                <w:spacing w:val="-5"/>
              </w:rPr>
              <w:t>核验参保人员医疗保障有效凭证，</w:t>
            </w:r>
            <w:r>
              <w:rPr>
                <w:spacing w:val="-2"/>
              </w:rPr>
              <w:t>做到人证相符。</w:t>
            </w:r>
          </w:p>
        </w:tc>
        <w:tc>
          <w:tcPr>
            <w:tcW w:w="4842" w:type="dxa"/>
            <w:vAlign w:val="top"/>
          </w:tcPr>
          <w:p w14:paraId="55594DB2">
            <w:pPr>
              <w:pStyle w:val="6"/>
              <w:spacing w:before="243" w:line="380" w:lineRule="exact"/>
              <w:ind w:left="134"/>
            </w:pPr>
            <w:r>
              <w:rPr>
                <w:rFonts w:ascii="Times New Roman" w:hAnsi="Times New Roman" w:eastAsia="Times New Roman" w:cs="Times New Roman"/>
                <w:spacing w:val="-2"/>
                <w:position w:val="2"/>
              </w:rPr>
              <w:t>1</w:t>
            </w:r>
            <w:r>
              <w:rPr>
                <w:spacing w:val="-2"/>
                <w:position w:val="3"/>
              </w:rPr>
              <w:t>．全年未发生冒名就医问题的，得满分；</w:t>
            </w:r>
          </w:p>
          <w:p w14:paraId="7B792F07">
            <w:pPr>
              <w:pStyle w:val="6"/>
              <w:spacing w:before="18" w:line="261" w:lineRule="auto"/>
              <w:ind w:left="129" w:right="108" w:hanging="18"/>
            </w:pPr>
            <w:r>
              <w:rPr>
                <w:rFonts w:ascii="Times New Roman" w:hAnsi="Times New Roman" w:eastAsia="Times New Roman" w:cs="Times New Roman"/>
                <w:spacing w:val="-6"/>
              </w:rPr>
              <w:t>2</w:t>
            </w:r>
            <w:r>
              <w:rPr>
                <w:spacing w:val="-6"/>
              </w:rPr>
              <w:t>．发现冒名就医的，每发现一次扣</w:t>
            </w:r>
            <w:r>
              <w:rPr>
                <w:rFonts w:ascii="Times New Roman" w:hAnsi="Times New Roman" w:eastAsia="Times New Roman" w:cs="Times New Roman"/>
                <w:spacing w:val="-6"/>
              </w:rPr>
              <w:t>1</w:t>
            </w:r>
            <w:r>
              <w:rPr>
                <w:spacing w:val="-6"/>
              </w:rPr>
              <w:t>分，扣完为止。</w:t>
            </w:r>
          </w:p>
        </w:tc>
      </w:tr>
      <w:tr w14:paraId="0516E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45" w:type="dxa"/>
            <w:vAlign w:val="top"/>
          </w:tcPr>
          <w:p w14:paraId="5443EA8F">
            <w:pPr>
              <w:spacing w:line="327" w:lineRule="auto"/>
              <w:rPr>
                <w:rFonts w:ascii="Arial"/>
                <w:sz w:val="21"/>
              </w:rPr>
            </w:pPr>
          </w:p>
          <w:p w14:paraId="4232101E">
            <w:pPr>
              <w:spacing w:line="328" w:lineRule="auto"/>
              <w:rPr>
                <w:rFonts w:ascii="Arial"/>
                <w:sz w:val="21"/>
              </w:rPr>
            </w:pPr>
          </w:p>
          <w:p w14:paraId="5C7B03F9">
            <w:pPr>
              <w:spacing w:before="69" w:line="185" w:lineRule="auto"/>
              <w:ind w:left="41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304" w:type="dxa"/>
            <w:vMerge w:val="continue"/>
            <w:tcBorders>
              <w:top w:val="nil"/>
              <w:bottom w:val="nil"/>
            </w:tcBorders>
            <w:vAlign w:val="top"/>
          </w:tcPr>
          <w:p w14:paraId="1A464BFF">
            <w:pPr>
              <w:rPr>
                <w:rFonts w:ascii="Arial"/>
                <w:sz w:val="21"/>
              </w:rPr>
            </w:pPr>
          </w:p>
        </w:tc>
        <w:tc>
          <w:tcPr>
            <w:tcW w:w="994" w:type="dxa"/>
            <w:vMerge w:val="continue"/>
            <w:tcBorders>
              <w:top w:val="nil"/>
              <w:bottom w:val="nil"/>
            </w:tcBorders>
            <w:vAlign w:val="top"/>
          </w:tcPr>
          <w:p w14:paraId="67133309">
            <w:pPr>
              <w:rPr>
                <w:rFonts w:ascii="Arial"/>
                <w:sz w:val="21"/>
              </w:rPr>
            </w:pPr>
          </w:p>
        </w:tc>
        <w:tc>
          <w:tcPr>
            <w:tcW w:w="1084" w:type="dxa"/>
            <w:vAlign w:val="top"/>
          </w:tcPr>
          <w:p w14:paraId="7FBA8345">
            <w:pPr>
              <w:spacing w:line="377" w:lineRule="auto"/>
              <w:rPr>
                <w:rFonts w:ascii="Arial"/>
                <w:sz w:val="21"/>
              </w:rPr>
            </w:pPr>
          </w:p>
          <w:p w14:paraId="2A3AA319">
            <w:pPr>
              <w:pStyle w:val="6"/>
              <w:spacing w:before="87" w:line="232" w:lineRule="auto"/>
              <w:ind w:left="327"/>
            </w:pPr>
            <w:r>
              <w:rPr>
                <w:spacing w:val="-15"/>
              </w:rPr>
              <w:t>药品</w:t>
            </w:r>
          </w:p>
          <w:p w14:paraId="56EBD03F">
            <w:pPr>
              <w:pStyle w:val="6"/>
              <w:spacing w:before="61" w:line="232" w:lineRule="auto"/>
              <w:ind w:left="312"/>
            </w:pPr>
            <w:r>
              <w:rPr>
                <w:spacing w:val="-8"/>
              </w:rPr>
              <w:t>分类</w:t>
            </w:r>
          </w:p>
        </w:tc>
        <w:tc>
          <w:tcPr>
            <w:tcW w:w="1099" w:type="dxa"/>
            <w:vAlign w:val="top"/>
          </w:tcPr>
          <w:p w14:paraId="7863B7D4">
            <w:pPr>
              <w:spacing w:line="288" w:lineRule="auto"/>
              <w:rPr>
                <w:rFonts w:ascii="Arial"/>
                <w:sz w:val="21"/>
              </w:rPr>
            </w:pPr>
          </w:p>
          <w:p w14:paraId="78819193">
            <w:pPr>
              <w:spacing w:line="288" w:lineRule="auto"/>
              <w:rPr>
                <w:rFonts w:ascii="Arial"/>
                <w:sz w:val="21"/>
              </w:rPr>
            </w:pPr>
          </w:p>
          <w:p w14:paraId="1AF3B286">
            <w:pPr>
              <w:spacing w:before="69" w:line="314"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1CF6D3C5">
            <w:pPr>
              <w:spacing w:line="378" w:lineRule="auto"/>
              <w:rPr>
                <w:rFonts w:ascii="Arial"/>
                <w:sz w:val="21"/>
              </w:rPr>
            </w:pPr>
          </w:p>
          <w:p w14:paraId="57E074EF">
            <w:pPr>
              <w:pStyle w:val="6"/>
              <w:spacing w:before="88" w:line="282" w:lineRule="auto"/>
              <w:ind w:left="133" w:right="104" w:hanging="12"/>
            </w:pPr>
            <w:r>
              <w:rPr>
                <w:spacing w:val="-8"/>
              </w:rPr>
              <w:t>开展药品分类分区管理，并对所售</w:t>
            </w:r>
            <w:r>
              <w:rPr>
                <w:spacing w:val="-3"/>
              </w:rPr>
              <w:t>药品设立明确的医保用药标识。</w:t>
            </w:r>
          </w:p>
        </w:tc>
        <w:tc>
          <w:tcPr>
            <w:tcW w:w="4842" w:type="dxa"/>
            <w:vAlign w:val="top"/>
          </w:tcPr>
          <w:p w14:paraId="608BC1F2">
            <w:pPr>
              <w:pStyle w:val="6"/>
              <w:spacing w:before="47" w:line="258" w:lineRule="auto"/>
              <w:ind w:left="147" w:right="290" w:hanging="13"/>
            </w:pPr>
            <w:r>
              <w:rPr>
                <w:rFonts w:ascii="Times New Roman" w:hAnsi="Times New Roman" w:eastAsia="Times New Roman" w:cs="Times New Roman"/>
                <w:spacing w:val="-6"/>
              </w:rPr>
              <w:t>1</w:t>
            </w:r>
            <w:r>
              <w:rPr>
                <w:spacing w:val="-6"/>
              </w:rPr>
              <w:t>．按要求分类摆放且未摆放日常生活类物</w:t>
            </w:r>
            <w:r>
              <w:rPr>
                <w:spacing w:val="-7"/>
              </w:rPr>
              <w:t>品，得满分；</w:t>
            </w:r>
          </w:p>
          <w:p w14:paraId="69F28BCD">
            <w:pPr>
              <w:pStyle w:val="6"/>
              <w:spacing w:before="46" w:line="255" w:lineRule="auto"/>
              <w:ind w:left="123" w:right="97" w:hanging="12"/>
            </w:pPr>
            <w:r>
              <w:rPr>
                <w:rFonts w:ascii="Times New Roman" w:hAnsi="Times New Roman" w:eastAsia="Times New Roman" w:cs="Times New Roman"/>
                <w:spacing w:val="-6"/>
              </w:rPr>
              <w:t>2</w:t>
            </w:r>
            <w:r>
              <w:rPr>
                <w:spacing w:val="-6"/>
              </w:rPr>
              <w:t>．未按要求分类摆放，每发现一次扣</w:t>
            </w:r>
            <w:r>
              <w:rPr>
                <w:rFonts w:ascii="Times New Roman" w:hAnsi="Times New Roman" w:eastAsia="Times New Roman" w:cs="Times New Roman"/>
                <w:spacing w:val="-6"/>
              </w:rPr>
              <w:t>1</w:t>
            </w:r>
            <w:r>
              <w:rPr>
                <w:spacing w:val="-6"/>
              </w:rPr>
              <w:t>分，</w:t>
            </w:r>
            <w:r>
              <w:rPr>
                <w:spacing w:val="-4"/>
              </w:rPr>
              <w:t>扣完为止。</w:t>
            </w:r>
          </w:p>
        </w:tc>
      </w:tr>
      <w:tr w14:paraId="74AA6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6" w:hRule="atLeast"/>
        </w:trPr>
        <w:tc>
          <w:tcPr>
            <w:tcW w:w="945" w:type="dxa"/>
            <w:vAlign w:val="top"/>
          </w:tcPr>
          <w:p w14:paraId="081DAE2C">
            <w:pPr>
              <w:spacing w:line="258" w:lineRule="auto"/>
              <w:rPr>
                <w:rFonts w:ascii="Arial"/>
                <w:sz w:val="21"/>
              </w:rPr>
            </w:pPr>
          </w:p>
          <w:p w14:paraId="1176DEE9">
            <w:pPr>
              <w:spacing w:line="258" w:lineRule="auto"/>
              <w:rPr>
                <w:rFonts w:ascii="Arial"/>
                <w:sz w:val="21"/>
              </w:rPr>
            </w:pPr>
          </w:p>
          <w:p w14:paraId="16F575CD">
            <w:pPr>
              <w:spacing w:line="259" w:lineRule="auto"/>
              <w:rPr>
                <w:rFonts w:ascii="Arial"/>
                <w:sz w:val="21"/>
              </w:rPr>
            </w:pPr>
          </w:p>
          <w:p w14:paraId="12E66B8D">
            <w:pPr>
              <w:spacing w:before="69" w:line="315" w:lineRule="exact"/>
              <w:ind w:left="423"/>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8</w:t>
            </w:r>
          </w:p>
        </w:tc>
        <w:tc>
          <w:tcPr>
            <w:tcW w:w="1304" w:type="dxa"/>
            <w:vMerge w:val="continue"/>
            <w:tcBorders>
              <w:top w:val="nil"/>
            </w:tcBorders>
            <w:vAlign w:val="top"/>
          </w:tcPr>
          <w:p w14:paraId="6661C153">
            <w:pPr>
              <w:rPr>
                <w:rFonts w:ascii="Arial"/>
                <w:sz w:val="21"/>
              </w:rPr>
            </w:pPr>
          </w:p>
        </w:tc>
        <w:tc>
          <w:tcPr>
            <w:tcW w:w="994" w:type="dxa"/>
            <w:vMerge w:val="continue"/>
            <w:tcBorders>
              <w:top w:val="nil"/>
            </w:tcBorders>
            <w:vAlign w:val="top"/>
          </w:tcPr>
          <w:p w14:paraId="48068003">
            <w:pPr>
              <w:rPr>
                <w:rFonts w:ascii="Arial"/>
                <w:sz w:val="21"/>
              </w:rPr>
            </w:pPr>
          </w:p>
        </w:tc>
        <w:tc>
          <w:tcPr>
            <w:tcW w:w="1084" w:type="dxa"/>
            <w:vAlign w:val="top"/>
          </w:tcPr>
          <w:p w14:paraId="675694DB">
            <w:pPr>
              <w:spacing w:line="289" w:lineRule="auto"/>
              <w:rPr>
                <w:rFonts w:ascii="Arial"/>
                <w:sz w:val="21"/>
              </w:rPr>
            </w:pPr>
          </w:p>
          <w:p w14:paraId="59FC526D">
            <w:pPr>
              <w:spacing w:line="289" w:lineRule="auto"/>
              <w:rPr>
                <w:rFonts w:ascii="Arial"/>
                <w:sz w:val="21"/>
              </w:rPr>
            </w:pPr>
          </w:p>
          <w:p w14:paraId="42F385F6">
            <w:pPr>
              <w:pStyle w:val="6"/>
              <w:spacing w:before="88" w:line="232" w:lineRule="auto"/>
              <w:ind w:left="327"/>
            </w:pPr>
            <w:r>
              <w:rPr>
                <w:spacing w:val="-15"/>
              </w:rPr>
              <w:t>药品</w:t>
            </w:r>
          </w:p>
          <w:p w14:paraId="37131749">
            <w:pPr>
              <w:pStyle w:val="6"/>
              <w:spacing w:before="59" w:line="231" w:lineRule="auto"/>
              <w:ind w:left="310"/>
            </w:pPr>
            <w:r>
              <w:rPr>
                <w:spacing w:val="-7"/>
              </w:rPr>
              <w:t>价格</w:t>
            </w:r>
          </w:p>
        </w:tc>
        <w:tc>
          <w:tcPr>
            <w:tcW w:w="1099" w:type="dxa"/>
            <w:vAlign w:val="top"/>
          </w:tcPr>
          <w:p w14:paraId="5C2A267C">
            <w:pPr>
              <w:spacing w:line="258" w:lineRule="auto"/>
              <w:rPr>
                <w:rFonts w:ascii="Arial"/>
                <w:sz w:val="21"/>
              </w:rPr>
            </w:pPr>
          </w:p>
          <w:p w14:paraId="775EAD4A">
            <w:pPr>
              <w:spacing w:line="258" w:lineRule="auto"/>
              <w:rPr>
                <w:rFonts w:ascii="Arial"/>
                <w:sz w:val="21"/>
              </w:rPr>
            </w:pPr>
          </w:p>
          <w:p w14:paraId="1F2242A8">
            <w:pPr>
              <w:spacing w:line="259" w:lineRule="auto"/>
              <w:rPr>
                <w:rFonts w:ascii="Arial"/>
                <w:sz w:val="21"/>
              </w:rPr>
            </w:pPr>
          </w:p>
          <w:p w14:paraId="2CA07433">
            <w:pPr>
              <w:spacing w:before="69" w:line="315"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2675FC93">
            <w:pPr>
              <w:pStyle w:val="6"/>
              <w:spacing w:before="266" w:line="278" w:lineRule="auto"/>
              <w:ind w:left="115" w:right="60" w:firstLine="27"/>
            </w:pPr>
            <w:r>
              <w:rPr>
                <w:spacing w:val="-9"/>
              </w:rPr>
              <w:t>明码标价；按照公平、合理、诚实</w:t>
            </w:r>
            <w:r>
              <w:rPr>
                <w:spacing w:val="-4"/>
              </w:rPr>
              <w:t>信用和质价相符的原则制定价格，</w:t>
            </w:r>
            <w:r>
              <w:rPr>
                <w:spacing w:val="-1"/>
              </w:rPr>
              <w:t>遵守医疗保障行政部门制定的药</w:t>
            </w:r>
            <w:r>
              <w:rPr>
                <w:spacing w:val="-2"/>
              </w:rPr>
              <w:t>品价格政策。</w:t>
            </w:r>
          </w:p>
        </w:tc>
        <w:tc>
          <w:tcPr>
            <w:tcW w:w="4842" w:type="dxa"/>
            <w:vAlign w:val="top"/>
          </w:tcPr>
          <w:p w14:paraId="119D09F0">
            <w:pPr>
              <w:pStyle w:val="6"/>
              <w:spacing w:before="51" w:line="257" w:lineRule="auto"/>
              <w:ind w:left="153" w:right="108" w:hanging="19"/>
            </w:pPr>
            <w:r>
              <w:rPr>
                <w:rFonts w:ascii="Times New Roman" w:hAnsi="Times New Roman" w:eastAsia="Times New Roman" w:cs="Times New Roman"/>
                <w:spacing w:val="-5"/>
              </w:rPr>
              <w:t>1</w:t>
            </w:r>
            <w:r>
              <w:rPr>
                <w:spacing w:val="-5"/>
              </w:rPr>
              <w:t>．严格按照药品价格政策，对所有医保目录</w:t>
            </w:r>
            <w:r>
              <w:rPr>
                <w:spacing w:val="-4"/>
              </w:rPr>
              <w:t>内药品明码标价，得满分；</w:t>
            </w:r>
          </w:p>
          <w:p w14:paraId="003A9D4D">
            <w:pPr>
              <w:pStyle w:val="6"/>
              <w:spacing w:before="47" w:line="261" w:lineRule="auto"/>
              <w:ind w:left="127" w:right="108" w:hanging="16"/>
            </w:pPr>
            <w:r>
              <w:rPr>
                <w:rFonts w:ascii="Times New Roman" w:hAnsi="Times New Roman" w:eastAsia="Times New Roman" w:cs="Times New Roman"/>
                <w:spacing w:val="-4"/>
              </w:rPr>
              <w:t>2</w:t>
            </w:r>
            <w:r>
              <w:rPr>
                <w:spacing w:val="-4"/>
              </w:rPr>
              <w:t>．未按照规定开展明码标价，或线上线下药</w:t>
            </w:r>
            <w:r>
              <w:rPr>
                <w:spacing w:val="-5"/>
              </w:rPr>
              <w:t>品价格不一致的，每发现一次扣</w:t>
            </w:r>
            <w:r>
              <w:rPr>
                <w:rFonts w:ascii="Times New Roman" w:hAnsi="Times New Roman" w:eastAsia="Times New Roman" w:cs="Times New Roman"/>
                <w:spacing w:val="-5"/>
              </w:rPr>
              <w:t>1</w:t>
            </w:r>
            <w:r>
              <w:rPr>
                <w:spacing w:val="-5"/>
              </w:rPr>
              <w:t>分，扣完</w:t>
            </w:r>
            <w:r>
              <w:rPr>
                <w:spacing w:val="-8"/>
              </w:rPr>
              <w:t>为止。</w:t>
            </w:r>
          </w:p>
        </w:tc>
      </w:tr>
    </w:tbl>
    <w:p w14:paraId="0E3DB2F8">
      <w:pPr>
        <w:rPr>
          <w:rFonts w:ascii="Arial"/>
          <w:sz w:val="21"/>
        </w:rPr>
      </w:pPr>
    </w:p>
    <w:p w14:paraId="33F9C113">
      <w:pPr>
        <w:rPr>
          <w:rFonts w:ascii="Arial" w:hAnsi="Arial" w:eastAsia="Arial" w:cs="Arial"/>
          <w:sz w:val="21"/>
          <w:szCs w:val="21"/>
        </w:rPr>
        <w:sectPr>
          <w:footerReference r:id="rId16" w:type="default"/>
          <w:pgSz w:w="16839" w:h="11906"/>
          <w:pgMar w:top="1012" w:right="1364" w:bottom="1166" w:left="1477" w:header="0" w:footer="800" w:gutter="0"/>
          <w:cols w:space="720" w:num="1"/>
        </w:sectPr>
      </w:pPr>
    </w:p>
    <w:tbl>
      <w:tblPr>
        <w:tblStyle w:val="5"/>
        <w:tblW w:w="13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304"/>
        <w:gridCol w:w="994"/>
        <w:gridCol w:w="1084"/>
        <w:gridCol w:w="1099"/>
        <w:gridCol w:w="3723"/>
        <w:gridCol w:w="4842"/>
      </w:tblGrid>
      <w:tr w14:paraId="539E2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3" w:hRule="atLeast"/>
        </w:trPr>
        <w:tc>
          <w:tcPr>
            <w:tcW w:w="945" w:type="dxa"/>
            <w:vAlign w:val="top"/>
          </w:tcPr>
          <w:p w14:paraId="2BF27932">
            <w:pPr>
              <w:spacing w:line="317" w:lineRule="auto"/>
              <w:rPr>
                <w:rFonts w:ascii="Arial"/>
                <w:sz w:val="21"/>
              </w:rPr>
            </w:pPr>
          </w:p>
          <w:p w14:paraId="7F2D0BF3">
            <w:pPr>
              <w:spacing w:line="317" w:lineRule="auto"/>
              <w:rPr>
                <w:rFonts w:ascii="Arial"/>
                <w:sz w:val="21"/>
              </w:rPr>
            </w:pPr>
          </w:p>
          <w:p w14:paraId="3D8BB1C7">
            <w:pPr>
              <w:spacing w:before="69" w:line="314" w:lineRule="exact"/>
              <w:ind w:left="418"/>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9</w:t>
            </w:r>
          </w:p>
        </w:tc>
        <w:tc>
          <w:tcPr>
            <w:tcW w:w="1304" w:type="dxa"/>
            <w:vMerge w:val="restart"/>
            <w:tcBorders>
              <w:bottom w:val="nil"/>
            </w:tcBorders>
            <w:vAlign w:val="top"/>
          </w:tcPr>
          <w:p w14:paraId="24B645C1">
            <w:pPr>
              <w:rPr>
                <w:rFonts w:ascii="Arial"/>
                <w:sz w:val="21"/>
              </w:rPr>
            </w:pPr>
          </w:p>
        </w:tc>
        <w:tc>
          <w:tcPr>
            <w:tcW w:w="994" w:type="dxa"/>
            <w:vMerge w:val="restart"/>
            <w:tcBorders>
              <w:bottom w:val="nil"/>
            </w:tcBorders>
            <w:vAlign w:val="top"/>
          </w:tcPr>
          <w:p w14:paraId="0B070BF7">
            <w:pPr>
              <w:rPr>
                <w:rFonts w:ascii="Arial"/>
                <w:sz w:val="21"/>
              </w:rPr>
            </w:pPr>
          </w:p>
        </w:tc>
        <w:tc>
          <w:tcPr>
            <w:tcW w:w="1084" w:type="dxa"/>
            <w:vAlign w:val="top"/>
          </w:tcPr>
          <w:p w14:paraId="07EE7EE1">
            <w:pPr>
              <w:spacing w:line="466" w:lineRule="auto"/>
              <w:rPr>
                <w:rFonts w:ascii="Arial"/>
                <w:sz w:val="21"/>
              </w:rPr>
            </w:pPr>
          </w:p>
          <w:p w14:paraId="3FD633B9">
            <w:pPr>
              <w:pStyle w:val="6"/>
              <w:spacing w:before="88" w:line="231" w:lineRule="auto"/>
              <w:ind w:left="311"/>
            </w:pPr>
            <w:r>
              <w:rPr>
                <w:spacing w:val="-7"/>
              </w:rPr>
              <w:t>处方</w:t>
            </w:r>
          </w:p>
          <w:p w14:paraId="3B94D058">
            <w:pPr>
              <w:pStyle w:val="6"/>
              <w:spacing w:before="1" w:line="235" w:lineRule="auto"/>
              <w:ind w:left="313"/>
            </w:pPr>
            <w:r>
              <w:rPr>
                <w:spacing w:val="-8"/>
              </w:rPr>
              <w:t>记录</w:t>
            </w:r>
          </w:p>
        </w:tc>
        <w:tc>
          <w:tcPr>
            <w:tcW w:w="1099" w:type="dxa"/>
            <w:vAlign w:val="top"/>
          </w:tcPr>
          <w:p w14:paraId="256B7639">
            <w:pPr>
              <w:spacing w:line="317" w:lineRule="auto"/>
              <w:rPr>
                <w:rFonts w:ascii="Arial"/>
                <w:sz w:val="21"/>
              </w:rPr>
            </w:pPr>
          </w:p>
          <w:p w14:paraId="727281E4">
            <w:pPr>
              <w:spacing w:line="317" w:lineRule="auto"/>
              <w:rPr>
                <w:rFonts w:ascii="Arial"/>
                <w:sz w:val="21"/>
              </w:rPr>
            </w:pPr>
          </w:p>
          <w:p w14:paraId="4655CD4D">
            <w:pPr>
              <w:spacing w:before="69" w:line="314" w:lineRule="exact"/>
              <w:ind w:left="49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723" w:type="dxa"/>
            <w:vAlign w:val="top"/>
          </w:tcPr>
          <w:p w14:paraId="121427F3">
            <w:pPr>
              <w:pStyle w:val="6"/>
              <w:spacing w:before="45" w:line="228" w:lineRule="auto"/>
              <w:ind w:left="109" w:right="104" w:firstLine="11"/>
            </w:pPr>
            <w:r>
              <w:rPr>
                <w:spacing w:val="-2"/>
              </w:rPr>
              <w:t>购药清单等由定点零售药店保存</w:t>
            </w:r>
            <w:r>
              <w:rPr>
                <w:rFonts w:ascii="Times New Roman" w:hAnsi="Times New Roman" w:eastAsia="Times New Roman" w:cs="Times New Roman"/>
                <w:spacing w:val="-3"/>
              </w:rPr>
              <w:t>2</w:t>
            </w:r>
            <w:r>
              <w:rPr>
                <w:spacing w:val="-3"/>
              </w:rPr>
              <w:t>年，门诊特殊慢性病处方及购药</w:t>
            </w:r>
            <w:r>
              <w:rPr>
                <w:spacing w:val="-8"/>
              </w:rPr>
              <w:t>结算单是否保存</w:t>
            </w:r>
            <w:r>
              <w:rPr>
                <w:rFonts w:ascii="Times New Roman" w:hAnsi="Times New Roman" w:eastAsia="Times New Roman" w:cs="Times New Roman"/>
                <w:spacing w:val="-8"/>
              </w:rPr>
              <w:t>2</w:t>
            </w:r>
            <w:r>
              <w:rPr>
                <w:spacing w:val="-8"/>
              </w:rPr>
              <w:t>年以上，特殊药</w:t>
            </w:r>
            <w:r>
              <w:rPr>
                <w:spacing w:val="-2"/>
              </w:rPr>
              <w:t>品处方及购药结算单保存</w:t>
            </w:r>
            <w:r>
              <w:rPr>
                <w:rFonts w:ascii="Times New Roman" w:hAnsi="Times New Roman" w:eastAsia="Times New Roman" w:cs="Times New Roman"/>
                <w:spacing w:val="-2"/>
              </w:rPr>
              <w:t>5</w:t>
            </w:r>
            <w:r>
              <w:rPr>
                <w:spacing w:val="-2"/>
              </w:rPr>
              <w:t>年以</w:t>
            </w:r>
            <w:r>
              <w:rPr>
                <w:spacing w:val="-3"/>
              </w:rPr>
              <w:t>上。</w:t>
            </w:r>
          </w:p>
        </w:tc>
        <w:tc>
          <w:tcPr>
            <w:tcW w:w="4842" w:type="dxa"/>
            <w:vAlign w:val="top"/>
          </w:tcPr>
          <w:p w14:paraId="5DD49557">
            <w:pPr>
              <w:pStyle w:val="6"/>
              <w:spacing w:before="28" w:line="232" w:lineRule="auto"/>
              <w:ind w:left="118" w:right="108" w:firstLine="15"/>
            </w:pPr>
            <w:r>
              <w:rPr>
                <w:rFonts w:ascii="Times New Roman" w:hAnsi="Times New Roman" w:eastAsia="Times New Roman" w:cs="Times New Roman"/>
                <w:spacing w:val="-5"/>
              </w:rPr>
              <w:t>1</w:t>
            </w:r>
            <w:r>
              <w:rPr>
                <w:spacing w:val="-5"/>
              </w:rPr>
              <w:t>．各类处方按照规定年限进行分类保存，并</w:t>
            </w:r>
            <w:r>
              <w:rPr>
                <w:spacing w:val="-2"/>
              </w:rPr>
              <w:t>且处方记录完整，得满分；</w:t>
            </w:r>
          </w:p>
          <w:p w14:paraId="3620C92D">
            <w:pPr>
              <w:pStyle w:val="6"/>
              <w:spacing w:before="1" w:line="229" w:lineRule="auto"/>
              <w:ind w:left="120" w:right="108" w:hanging="9"/>
            </w:pPr>
            <w:r>
              <w:rPr>
                <w:rFonts w:ascii="Times New Roman" w:hAnsi="Times New Roman" w:eastAsia="Times New Roman" w:cs="Times New Roman"/>
                <w:spacing w:val="-4"/>
              </w:rPr>
              <w:t>2</w:t>
            </w:r>
            <w:r>
              <w:rPr>
                <w:spacing w:val="-4"/>
              </w:rPr>
              <w:t>．未按照规定分类保存或处方剂量不完整或</w:t>
            </w:r>
            <w:r>
              <w:rPr>
                <w:spacing w:val="-1"/>
              </w:rPr>
              <w:t>未按照规定进行处方签字、保存，每发现一</w:t>
            </w:r>
            <w:r>
              <w:rPr>
                <w:spacing w:val="-7"/>
              </w:rPr>
              <w:t>次扣</w:t>
            </w:r>
            <w:r>
              <w:rPr>
                <w:rFonts w:ascii="Times New Roman" w:hAnsi="Times New Roman" w:eastAsia="Times New Roman" w:cs="Times New Roman"/>
                <w:spacing w:val="-7"/>
              </w:rPr>
              <w:t>1</w:t>
            </w:r>
            <w:r>
              <w:rPr>
                <w:spacing w:val="-7"/>
              </w:rPr>
              <w:t>分，扣完为止。</w:t>
            </w:r>
          </w:p>
        </w:tc>
      </w:tr>
      <w:tr w14:paraId="15D2E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945" w:type="dxa"/>
            <w:vAlign w:val="top"/>
          </w:tcPr>
          <w:p w14:paraId="7432B630">
            <w:pPr>
              <w:spacing w:line="319" w:lineRule="auto"/>
              <w:rPr>
                <w:rFonts w:ascii="Arial"/>
                <w:sz w:val="21"/>
              </w:rPr>
            </w:pPr>
          </w:p>
          <w:p w14:paraId="164C2F00">
            <w:pPr>
              <w:spacing w:line="319" w:lineRule="auto"/>
              <w:rPr>
                <w:rFonts w:ascii="Arial"/>
                <w:sz w:val="21"/>
              </w:rPr>
            </w:pPr>
          </w:p>
          <w:p w14:paraId="17164793">
            <w:pPr>
              <w:spacing w:before="69" w:line="315"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10</w:t>
            </w:r>
          </w:p>
        </w:tc>
        <w:tc>
          <w:tcPr>
            <w:tcW w:w="1304" w:type="dxa"/>
            <w:vMerge w:val="continue"/>
            <w:tcBorders>
              <w:top w:val="nil"/>
            </w:tcBorders>
            <w:vAlign w:val="top"/>
          </w:tcPr>
          <w:p w14:paraId="07645FE1">
            <w:pPr>
              <w:rPr>
                <w:rFonts w:ascii="Arial"/>
                <w:sz w:val="21"/>
              </w:rPr>
            </w:pPr>
          </w:p>
        </w:tc>
        <w:tc>
          <w:tcPr>
            <w:tcW w:w="994" w:type="dxa"/>
            <w:vMerge w:val="continue"/>
            <w:tcBorders>
              <w:top w:val="nil"/>
            </w:tcBorders>
            <w:vAlign w:val="top"/>
          </w:tcPr>
          <w:p w14:paraId="30988331">
            <w:pPr>
              <w:rPr>
                <w:rFonts w:ascii="Arial"/>
                <w:sz w:val="21"/>
              </w:rPr>
            </w:pPr>
          </w:p>
        </w:tc>
        <w:tc>
          <w:tcPr>
            <w:tcW w:w="1084" w:type="dxa"/>
            <w:vAlign w:val="top"/>
          </w:tcPr>
          <w:p w14:paraId="6390B739">
            <w:pPr>
              <w:spacing w:line="457" w:lineRule="auto"/>
              <w:rPr>
                <w:rFonts w:ascii="Arial"/>
                <w:sz w:val="21"/>
              </w:rPr>
            </w:pPr>
          </w:p>
          <w:p w14:paraId="5E580C58">
            <w:pPr>
              <w:pStyle w:val="6"/>
              <w:spacing w:before="87" w:line="231" w:lineRule="auto"/>
              <w:ind w:left="203"/>
            </w:pPr>
            <w:r>
              <w:rPr>
                <w:spacing w:val="-9"/>
              </w:rPr>
              <w:t>外配药</w:t>
            </w:r>
          </w:p>
          <w:p w14:paraId="42F3F34B">
            <w:pPr>
              <w:pStyle w:val="6"/>
              <w:spacing w:line="232" w:lineRule="auto"/>
              <w:ind w:left="219"/>
            </w:pPr>
            <w:r>
              <w:rPr>
                <w:spacing w:val="-14"/>
              </w:rPr>
              <w:t>品审核</w:t>
            </w:r>
          </w:p>
        </w:tc>
        <w:tc>
          <w:tcPr>
            <w:tcW w:w="1099" w:type="dxa"/>
            <w:vAlign w:val="top"/>
          </w:tcPr>
          <w:p w14:paraId="255D83D6">
            <w:pPr>
              <w:spacing w:line="312" w:lineRule="auto"/>
              <w:rPr>
                <w:rFonts w:ascii="Arial"/>
                <w:sz w:val="21"/>
              </w:rPr>
            </w:pPr>
          </w:p>
          <w:p w14:paraId="2B561617">
            <w:pPr>
              <w:spacing w:line="312" w:lineRule="auto"/>
              <w:rPr>
                <w:rFonts w:ascii="Arial"/>
                <w:sz w:val="21"/>
              </w:rPr>
            </w:pPr>
          </w:p>
          <w:p w14:paraId="2405CB6D">
            <w:pPr>
              <w:spacing w:before="69" w:line="315" w:lineRule="exact"/>
              <w:ind w:left="48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3723" w:type="dxa"/>
            <w:vAlign w:val="top"/>
          </w:tcPr>
          <w:p w14:paraId="2FEB337E">
            <w:pPr>
              <w:pStyle w:val="6"/>
              <w:spacing w:before="34" w:line="227" w:lineRule="auto"/>
              <w:ind w:left="117" w:right="104" w:firstLine="33"/>
            </w:pPr>
            <w:r>
              <w:rPr>
                <w:spacing w:val="-4"/>
              </w:rPr>
              <w:t>向参保人员提供处方药外配服务</w:t>
            </w:r>
            <w:r>
              <w:rPr>
                <w:spacing w:val="-7"/>
              </w:rPr>
              <w:t>时，核验处方使用人与参保人员身份是否一致；要有执业药师或药师在岗对处方进行审核并签字，确保</w:t>
            </w:r>
            <w:r>
              <w:rPr>
                <w:spacing w:val="-3"/>
              </w:rPr>
              <w:t>用药合理。</w:t>
            </w:r>
          </w:p>
        </w:tc>
        <w:tc>
          <w:tcPr>
            <w:tcW w:w="4842" w:type="dxa"/>
            <w:vAlign w:val="top"/>
          </w:tcPr>
          <w:p w14:paraId="3E65A515">
            <w:pPr>
              <w:spacing w:line="288" w:lineRule="auto"/>
              <w:rPr>
                <w:rFonts w:ascii="Arial"/>
                <w:sz w:val="21"/>
              </w:rPr>
            </w:pPr>
          </w:p>
          <w:p w14:paraId="17B4B955">
            <w:pPr>
              <w:pStyle w:val="6"/>
              <w:spacing w:before="88" w:line="238" w:lineRule="auto"/>
              <w:ind w:left="115" w:right="170" w:firstLine="30"/>
              <w:jc w:val="both"/>
            </w:pPr>
            <w:r>
              <w:rPr>
                <w:spacing w:val="-3"/>
              </w:rPr>
              <w:t>医保药师及时准确审核得满分；无医保药师</w:t>
            </w:r>
            <w:r>
              <w:rPr>
                <w:spacing w:val="-1"/>
              </w:rPr>
              <w:t>审核处方、外配处方未核验参保人身份的，</w:t>
            </w:r>
            <w:r>
              <w:rPr>
                <w:spacing w:val="-5"/>
              </w:rPr>
              <w:t>每发现一次扣</w:t>
            </w:r>
            <w:r>
              <w:rPr>
                <w:rFonts w:ascii="Times New Roman" w:hAnsi="Times New Roman" w:eastAsia="Times New Roman" w:cs="Times New Roman"/>
                <w:spacing w:val="-5"/>
              </w:rPr>
              <w:t>1</w:t>
            </w:r>
            <w:r>
              <w:rPr>
                <w:spacing w:val="-5"/>
              </w:rPr>
              <w:t>分，扣完为止。</w:t>
            </w:r>
          </w:p>
        </w:tc>
      </w:tr>
      <w:tr w14:paraId="543A8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45" w:type="dxa"/>
            <w:vAlign w:val="top"/>
          </w:tcPr>
          <w:p w14:paraId="1B9A8D32">
            <w:pPr>
              <w:spacing w:line="245" w:lineRule="auto"/>
              <w:rPr>
                <w:rFonts w:ascii="Arial"/>
                <w:sz w:val="21"/>
              </w:rPr>
            </w:pPr>
          </w:p>
          <w:p w14:paraId="147D60EC">
            <w:pPr>
              <w:spacing w:before="69" w:line="314"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11</w:t>
            </w:r>
          </w:p>
        </w:tc>
        <w:tc>
          <w:tcPr>
            <w:tcW w:w="1304" w:type="dxa"/>
            <w:vMerge w:val="restart"/>
            <w:tcBorders>
              <w:bottom w:val="nil"/>
            </w:tcBorders>
            <w:vAlign w:val="top"/>
          </w:tcPr>
          <w:p w14:paraId="48C7A673">
            <w:pPr>
              <w:spacing w:line="290" w:lineRule="auto"/>
              <w:rPr>
                <w:rFonts w:ascii="Arial"/>
                <w:sz w:val="21"/>
              </w:rPr>
            </w:pPr>
          </w:p>
          <w:p w14:paraId="3244530A">
            <w:pPr>
              <w:spacing w:line="290" w:lineRule="auto"/>
              <w:rPr>
                <w:rFonts w:ascii="Arial"/>
                <w:sz w:val="21"/>
              </w:rPr>
            </w:pPr>
          </w:p>
          <w:p w14:paraId="0855185E">
            <w:pPr>
              <w:spacing w:line="291" w:lineRule="auto"/>
              <w:rPr>
                <w:rFonts w:ascii="Arial"/>
                <w:sz w:val="21"/>
              </w:rPr>
            </w:pPr>
          </w:p>
          <w:p w14:paraId="02099E6B">
            <w:pPr>
              <w:pStyle w:val="6"/>
              <w:spacing w:before="88" w:line="231" w:lineRule="auto"/>
              <w:ind w:left="206"/>
            </w:pPr>
            <w:r>
              <w:rPr>
                <w:spacing w:val="-10"/>
              </w:rPr>
              <w:t>医保监管</w:t>
            </w:r>
          </w:p>
        </w:tc>
        <w:tc>
          <w:tcPr>
            <w:tcW w:w="994" w:type="dxa"/>
            <w:vMerge w:val="restart"/>
            <w:tcBorders>
              <w:bottom w:val="nil"/>
            </w:tcBorders>
            <w:vAlign w:val="top"/>
          </w:tcPr>
          <w:p w14:paraId="50750EAC">
            <w:pPr>
              <w:spacing w:line="351" w:lineRule="auto"/>
              <w:rPr>
                <w:rFonts w:ascii="Arial"/>
                <w:sz w:val="21"/>
              </w:rPr>
            </w:pPr>
          </w:p>
          <w:p w14:paraId="3C4D8481">
            <w:pPr>
              <w:spacing w:line="351" w:lineRule="auto"/>
              <w:rPr>
                <w:rFonts w:ascii="Arial"/>
                <w:sz w:val="21"/>
              </w:rPr>
            </w:pPr>
          </w:p>
          <w:p w14:paraId="70AAC7C5">
            <w:pPr>
              <w:pStyle w:val="6"/>
              <w:spacing w:before="87" w:line="233" w:lineRule="auto"/>
              <w:ind w:left="267"/>
            </w:pPr>
            <w:r>
              <w:rPr>
                <w:spacing w:val="-8"/>
              </w:rPr>
              <w:t>基金</w:t>
            </w:r>
          </w:p>
          <w:p w14:paraId="73504FD3">
            <w:pPr>
              <w:pStyle w:val="6"/>
              <w:spacing w:line="231" w:lineRule="auto"/>
              <w:ind w:left="275"/>
            </w:pPr>
            <w:r>
              <w:rPr>
                <w:spacing w:val="-12"/>
              </w:rPr>
              <w:t>管理</w:t>
            </w:r>
          </w:p>
        </w:tc>
        <w:tc>
          <w:tcPr>
            <w:tcW w:w="1084" w:type="dxa"/>
            <w:vAlign w:val="top"/>
          </w:tcPr>
          <w:p w14:paraId="5659EBD3">
            <w:pPr>
              <w:pStyle w:val="6"/>
              <w:spacing w:before="165" w:line="233" w:lineRule="auto"/>
              <w:ind w:left="322"/>
            </w:pPr>
            <w:r>
              <w:rPr>
                <w:spacing w:val="-13"/>
              </w:rPr>
              <w:t>费用</w:t>
            </w:r>
          </w:p>
          <w:p w14:paraId="517CFA98">
            <w:pPr>
              <w:pStyle w:val="6"/>
              <w:spacing w:before="1" w:line="228" w:lineRule="auto"/>
              <w:ind w:left="315"/>
            </w:pPr>
            <w:r>
              <w:rPr>
                <w:spacing w:val="-9"/>
              </w:rPr>
              <w:t>结算</w:t>
            </w:r>
          </w:p>
        </w:tc>
        <w:tc>
          <w:tcPr>
            <w:tcW w:w="1099" w:type="dxa"/>
            <w:vAlign w:val="top"/>
          </w:tcPr>
          <w:p w14:paraId="468F4349">
            <w:pPr>
              <w:spacing w:line="245" w:lineRule="auto"/>
              <w:rPr>
                <w:rFonts w:ascii="Arial"/>
                <w:sz w:val="21"/>
              </w:rPr>
            </w:pPr>
          </w:p>
          <w:p w14:paraId="7E82FCE9">
            <w:pPr>
              <w:spacing w:before="69" w:line="314"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6A40FE4E">
            <w:pPr>
              <w:pStyle w:val="6"/>
              <w:spacing w:before="166" w:line="237" w:lineRule="auto"/>
              <w:ind w:left="128" w:right="104" w:hanging="14"/>
            </w:pPr>
            <w:r>
              <w:rPr>
                <w:spacing w:val="-7"/>
              </w:rPr>
              <w:t>进行医保费用直接结算，提供收费</w:t>
            </w:r>
            <w:r>
              <w:rPr>
                <w:spacing w:val="-2"/>
              </w:rPr>
              <w:t>票据、费用明细和相关资料。</w:t>
            </w:r>
          </w:p>
        </w:tc>
        <w:tc>
          <w:tcPr>
            <w:tcW w:w="4842" w:type="dxa"/>
            <w:vAlign w:val="top"/>
          </w:tcPr>
          <w:p w14:paraId="604ED9D1">
            <w:pPr>
              <w:pStyle w:val="6"/>
              <w:spacing w:before="165"/>
              <w:ind w:left="120" w:right="108"/>
            </w:pPr>
            <w:r>
              <w:t>未提供医疗费用查询服务和费用明细的，每</w:t>
            </w:r>
            <w:r>
              <w:rPr>
                <w:spacing w:val="2"/>
              </w:rPr>
              <w:t>发现一次扣</w:t>
            </w:r>
            <w:r>
              <w:rPr>
                <w:rFonts w:ascii="Times New Roman" w:hAnsi="Times New Roman" w:eastAsia="Times New Roman" w:cs="Times New Roman"/>
                <w:spacing w:val="2"/>
              </w:rPr>
              <w:t>0.5</w:t>
            </w:r>
            <w:r>
              <w:rPr>
                <w:spacing w:val="2"/>
              </w:rPr>
              <w:t>分，扣完为止。</w:t>
            </w:r>
          </w:p>
        </w:tc>
      </w:tr>
      <w:tr w14:paraId="7A872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45" w:type="dxa"/>
            <w:vAlign w:val="top"/>
          </w:tcPr>
          <w:p w14:paraId="73E73AB9">
            <w:pPr>
              <w:spacing w:line="400" w:lineRule="auto"/>
              <w:rPr>
                <w:rFonts w:ascii="Arial"/>
                <w:sz w:val="21"/>
              </w:rPr>
            </w:pPr>
          </w:p>
          <w:p w14:paraId="1F43E556">
            <w:pPr>
              <w:spacing w:before="69" w:line="315"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12</w:t>
            </w:r>
          </w:p>
        </w:tc>
        <w:tc>
          <w:tcPr>
            <w:tcW w:w="1304" w:type="dxa"/>
            <w:vMerge w:val="continue"/>
            <w:tcBorders>
              <w:top w:val="nil"/>
            </w:tcBorders>
            <w:vAlign w:val="top"/>
          </w:tcPr>
          <w:p w14:paraId="2C89E68A">
            <w:pPr>
              <w:rPr>
                <w:rFonts w:ascii="Arial"/>
                <w:sz w:val="21"/>
              </w:rPr>
            </w:pPr>
          </w:p>
        </w:tc>
        <w:tc>
          <w:tcPr>
            <w:tcW w:w="994" w:type="dxa"/>
            <w:vMerge w:val="continue"/>
            <w:tcBorders>
              <w:top w:val="nil"/>
            </w:tcBorders>
            <w:vAlign w:val="top"/>
          </w:tcPr>
          <w:p w14:paraId="77B640C8">
            <w:pPr>
              <w:rPr>
                <w:rFonts w:ascii="Arial"/>
                <w:sz w:val="21"/>
              </w:rPr>
            </w:pPr>
          </w:p>
        </w:tc>
        <w:tc>
          <w:tcPr>
            <w:tcW w:w="1084" w:type="dxa"/>
            <w:vAlign w:val="top"/>
          </w:tcPr>
          <w:p w14:paraId="79F99B00">
            <w:pPr>
              <w:spacing w:line="401" w:lineRule="auto"/>
              <w:rPr>
                <w:rFonts w:ascii="Arial"/>
                <w:sz w:val="21"/>
              </w:rPr>
            </w:pPr>
          </w:p>
          <w:p w14:paraId="3C886218">
            <w:pPr>
              <w:pStyle w:val="6"/>
              <w:spacing w:before="88" w:line="236" w:lineRule="auto"/>
              <w:ind w:left="115"/>
            </w:pPr>
            <w:r>
              <w:rPr>
                <w:spacing w:val="-5"/>
              </w:rPr>
              <w:t>追溯码</w:t>
            </w:r>
          </w:p>
        </w:tc>
        <w:tc>
          <w:tcPr>
            <w:tcW w:w="1099" w:type="dxa"/>
            <w:vAlign w:val="top"/>
          </w:tcPr>
          <w:p w14:paraId="452BFEC9">
            <w:pPr>
              <w:spacing w:line="400" w:lineRule="auto"/>
              <w:rPr>
                <w:rFonts w:ascii="Arial"/>
                <w:sz w:val="21"/>
              </w:rPr>
            </w:pPr>
          </w:p>
          <w:p w14:paraId="3E3D54A1">
            <w:pPr>
              <w:spacing w:before="69" w:line="315" w:lineRule="exact"/>
              <w:ind w:left="48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3723" w:type="dxa"/>
            <w:vAlign w:val="top"/>
          </w:tcPr>
          <w:p w14:paraId="7AD84D93">
            <w:pPr>
              <w:pStyle w:val="6"/>
              <w:spacing w:before="152"/>
              <w:ind w:left="119" w:right="104" w:hanging="2"/>
              <w:jc w:val="both"/>
            </w:pPr>
            <w:r>
              <w:rPr>
                <w:spacing w:val="-7"/>
              </w:rPr>
              <w:t>全流程记录药品、医用耗材的追溯</w:t>
            </w:r>
            <w:r>
              <w:rPr>
                <w:spacing w:val="-8"/>
              </w:rPr>
              <w:t>码信息，并实现相关信息数据可追溯。</w:t>
            </w:r>
          </w:p>
        </w:tc>
        <w:tc>
          <w:tcPr>
            <w:tcW w:w="4842" w:type="dxa"/>
            <w:vAlign w:val="top"/>
          </w:tcPr>
          <w:p w14:paraId="56E092EA">
            <w:pPr>
              <w:pStyle w:val="6"/>
              <w:spacing w:before="131" w:line="233" w:lineRule="auto"/>
              <w:jc w:val="right"/>
            </w:pPr>
            <w:r>
              <w:rPr>
                <w:rFonts w:ascii="Times New Roman" w:hAnsi="Times New Roman" w:eastAsia="Times New Roman" w:cs="Times New Roman"/>
                <w:spacing w:val="-12"/>
              </w:rPr>
              <w:t>1</w:t>
            </w:r>
            <w:r>
              <w:rPr>
                <w:spacing w:val="-12"/>
              </w:rPr>
              <w:t>．按规定全流程记录追溯码信息的，得满分；</w:t>
            </w:r>
          </w:p>
          <w:p w14:paraId="67787E7F">
            <w:pPr>
              <w:pStyle w:val="6"/>
              <w:spacing w:before="2" w:line="246" w:lineRule="auto"/>
              <w:ind w:left="123" w:right="108" w:hanging="12"/>
            </w:pPr>
            <w:r>
              <w:rPr>
                <w:rFonts w:ascii="Times New Roman" w:hAnsi="Times New Roman" w:eastAsia="Times New Roman" w:cs="Times New Roman"/>
                <w:spacing w:val="-4"/>
              </w:rPr>
              <w:t>2</w:t>
            </w:r>
            <w:r>
              <w:rPr>
                <w:spacing w:val="-4"/>
              </w:rPr>
              <w:t>．未按规定记录追溯码信息的，每发现一次</w:t>
            </w:r>
            <w:r>
              <w:rPr>
                <w:spacing w:val="-8"/>
              </w:rPr>
              <w:t>扣</w:t>
            </w:r>
            <w:r>
              <w:rPr>
                <w:rFonts w:ascii="Times New Roman" w:hAnsi="Times New Roman" w:eastAsia="Times New Roman" w:cs="Times New Roman"/>
                <w:spacing w:val="-8"/>
              </w:rPr>
              <w:t>1</w:t>
            </w:r>
            <w:r>
              <w:rPr>
                <w:spacing w:val="-8"/>
              </w:rPr>
              <w:t>分，扣完为止。</w:t>
            </w:r>
          </w:p>
        </w:tc>
      </w:tr>
      <w:tr w14:paraId="3C0EB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945" w:type="dxa"/>
            <w:vAlign w:val="top"/>
          </w:tcPr>
          <w:p w14:paraId="68A10CD6">
            <w:pPr>
              <w:spacing w:line="264" w:lineRule="auto"/>
              <w:rPr>
                <w:rFonts w:ascii="Arial"/>
                <w:sz w:val="21"/>
              </w:rPr>
            </w:pPr>
          </w:p>
          <w:p w14:paraId="04D0D5CA">
            <w:pPr>
              <w:spacing w:line="265" w:lineRule="auto"/>
              <w:rPr>
                <w:rFonts w:ascii="Arial"/>
                <w:sz w:val="21"/>
              </w:rPr>
            </w:pPr>
          </w:p>
          <w:p w14:paraId="68104797">
            <w:pPr>
              <w:spacing w:line="265" w:lineRule="auto"/>
              <w:rPr>
                <w:rFonts w:ascii="Arial"/>
                <w:sz w:val="21"/>
              </w:rPr>
            </w:pPr>
          </w:p>
          <w:p w14:paraId="3265626A">
            <w:pPr>
              <w:spacing w:before="69" w:line="315"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13</w:t>
            </w:r>
          </w:p>
        </w:tc>
        <w:tc>
          <w:tcPr>
            <w:tcW w:w="1304" w:type="dxa"/>
            <w:vAlign w:val="top"/>
          </w:tcPr>
          <w:p w14:paraId="5F26A31E">
            <w:pPr>
              <w:spacing w:line="265" w:lineRule="auto"/>
              <w:rPr>
                <w:rFonts w:ascii="Arial"/>
                <w:sz w:val="21"/>
              </w:rPr>
            </w:pPr>
          </w:p>
          <w:p w14:paraId="12E895D9">
            <w:pPr>
              <w:spacing w:line="265" w:lineRule="auto"/>
              <w:rPr>
                <w:rFonts w:ascii="Arial"/>
                <w:sz w:val="21"/>
              </w:rPr>
            </w:pPr>
          </w:p>
          <w:p w14:paraId="641EB0BF">
            <w:pPr>
              <w:spacing w:line="266" w:lineRule="auto"/>
              <w:rPr>
                <w:rFonts w:ascii="Arial"/>
                <w:sz w:val="21"/>
              </w:rPr>
            </w:pPr>
          </w:p>
          <w:p w14:paraId="1ACAECF0">
            <w:pPr>
              <w:pStyle w:val="6"/>
              <w:spacing w:before="88" w:line="228" w:lineRule="auto"/>
              <w:ind w:left="233"/>
            </w:pPr>
            <w:r>
              <w:rPr>
                <w:spacing w:val="-17"/>
              </w:rPr>
              <w:t>自律管理</w:t>
            </w:r>
          </w:p>
        </w:tc>
        <w:tc>
          <w:tcPr>
            <w:tcW w:w="994" w:type="dxa"/>
            <w:vAlign w:val="top"/>
          </w:tcPr>
          <w:p w14:paraId="4747485F">
            <w:pPr>
              <w:spacing w:line="458" w:lineRule="auto"/>
              <w:rPr>
                <w:rFonts w:ascii="Arial"/>
                <w:sz w:val="21"/>
              </w:rPr>
            </w:pPr>
          </w:p>
          <w:p w14:paraId="0EB29CD8">
            <w:pPr>
              <w:pStyle w:val="6"/>
              <w:spacing w:before="87" w:line="231" w:lineRule="auto"/>
              <w:ind w:left="152"/>
            </w:pPr>
            <w:r>
              <w:rPr>
                <w:spacing w:val="-7"/>
              </w:rPr>
              <w:t>组织管</w:t>
            </w:r>
          </w:p>
          <w:p w14:paraId="697A37E9">
            <w:pPr>
              <w:pStyle w:val="6"/>
              <w:spacing w:before="2" w:line="231" w:lineRule="auto"/>
              <w:ind w:left="145"/>
            </w:pPr>
            <w:r>
              <w:rPr>
                <w:spacing w:val="-5"/>
              </w:rPr>
              <w:t>理与制</w:t>
            </w:r>
          </w:p>
          <w:p w14:paraId="34C303D8">
            <w:pPr>
              <w:pStyle w:val="6"/>
              <w:spacing w:before="2" w:line="233" w:lineRule="auto"/>
              <w:ind w:left="144"/>
            </w:pPr>
            <w:r>
              <w:rPr>
                <w:spacing w:val="-4"/>
              </w:rPr>
              <w:t>度建设</w:t>
            </w:r>
          </w:p>
        </w:tc>
        <w:tc>
          <w:tcPr>
            <w:tcW w:w="1084" w:type="dxa"/>
            <w:vAlign w:val="top"/>
          </w:tcPr>
          <w:p w14:paraId="06B4169B">
            <w:pPr>
              <w:spacing w:line="313" w:lineRule="auto"/>
              <w:rPr>
                <w:rFonts w:ascii="Arial"/>
                <w:sz w:val="21"/>
              </w:rPr>
            </w:pPr>
          </w:p>
          <w:p w14:paraId="7D9EC930">
            <w:pPr>
              <w:spacing w:line="313" w:lineRule="auto"/>
              <w:rPr>
                <w:rFonts w:ascii="Arial"/>
                <w:sz w:val="21"/>
              </w:rPr>
            </w:pPr>
          </w:p>
          <w:p w14:paraId="7AC9043E">
            <w:pPr>
              <w:pStyle w:val="6"/>
              <w:spacing w:before="88" w:line="233" w:lineRule="auto"/>
              <w:ind w:left="316"/>
            </w:pPr>
            <w:r>
              <w:rPr>
                <w:spacing w:val="-10"/>
              </w:rPr>
              <w:t>制度</w:t>
            </w:r>
          </w:p>
          <w:p w14:paraId="15A03C12">
            <w:pPr>
              <w:pStyle w:val="6"/>
              <w:spacing w:line="233" w:lineRule="auto"/>
              <w:ind w:left="311"/>
            </w:pPr>
            <w:r>
              <w:rPr>
                <w:spacing w:val="-7"/>
              </w:rPr>
              <w:t>建设</w:t>
            </w:r>
          </w:p>
        </w:tc>
        <w:tc>
          <w:tcPr>
            <w:tcW w:w="1099" w:type="dxa"/>
            <w:vAlign w:val="top"/>
          </w:tcPr>
          <w:p w14:paraId="5F356260">
            <w:pPr>
              <w:spacing w:line="264" w:lineRule="auto"/>
              <w:rPr>
                <w:rFonts w:ascii="Arial"/>
                <w:sz w:val="21"/>
              </w:rPr>
            </w:pPr>
          </w:p>
          <w:p w14:paraId="379E7BB5">
            <w:pPr>
              <w:spacing w:line="265" w:lineRule="auto"/>
              <w:rPr>
                <w:rFonts w:ascii="Arial"/>
                <w:sz w:val="21"/>
              </w:rPr>
            </w:pPr>
          </w:p>
          <w:p w14:paraId="58D1A570">
            <w:pPr>
              <w:spacing w:line="265" w:lineRule="auto"/>
              <w:rPr>
                <w:rFonts w:ascii="Arial"/>
                <w:sz w:val="21"/>
              </w:rPr>
            </w:pPr>
          </w:p>
          <w:p w14:paraId="0AC5766E">
            <w:pPr>
              <w:spacing w:before="69" w:line="315"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423EF13B">
            <w:pPr>
              <w:pStyle w:val="6"/>
              <w:spacing w:before="208" w:line="236" w:lineRule="auto"/>
              <w:ind w:left="117" w:right="41"/>
              <w:jc w:val="both"/>
            </w:pPr>
            <w:r>
              <w:rPr>
                <w:spacing w:val="-3"/>
              </w:rPr>
              <w:t>建立健全定点零售药店医保管理、费用管控、风险防范、监督检查、</w:t>
            </w:r>
            <w:r>
              <w:rPr>
                <w:spacing w:val="-8"/>
              </w:rPr>
              <w:t>考核奖惩等制度，同时组织开展医疗保障基金相关制度、政策和管理</w:t>
            </w:r>
            <w:r>
              <w:rPr>
                <w:spacing w:val="-2"/>
              </w:rPr>
              <w:t>要求等业务培训。</w:t>
            </w:r>
          </w:p>
        </w:tc>
        <w:tc>
          <w:tcPr>
            <w:tcW w:w="4842" w:type="dxa"/>
            <w:vAlign w:val="top"/>
          </w:tcPr>
          <w:p w14:paraId="18B09452">
            <w:pPr>
              <w:pStyle w:val="6"/>
              <w:spacing w:before="21" w:line="232" w:lineRule="auto"/>
              <w:ind w:left="118" w:right="35" w:firstLine="15"/>
            </w:pPr>
            <w:r>
              <w:rPr>
                <w:rFonts w:ascii="Times New Roman" w:hAnsi="Times New Roman" w:eastAsia="Times New Roman" w:cs="Times New Roman"/>
                <w:spacing w:val="-8"/>
              </w:rPr>
              <w:t>1</w:t>
            </w:r>
            <w:r>
              <w:rPr>
                <w:spacing w:val="-8"/>
              </w:rPr>
              <w:t>．建立相关管理制度且每半年至少</w:t>
            </w:r>
            <w:r>
              <w:rPr>
                <w:rFonts w:ascii="Times New Roman" w:hAnsi="Times New Roman" w:eastAsia="Times New Roman" w:cs="Times New Roman"/>
                <w:spacing w:val="-8"/>
              </w:rPr>
              <w:t>1</w:t>
            </w:r>
            <w:r>
              <w:rPr>
                <w:spacing w:val="-8"/>
              </w:rPr>
              <w:t>次对本</w:t>
            </w:r>
            <w:r>
              <w:rPr>
                <w:spacing w:val="-6"/>
              </w:rPr>
              <w:t>机构职工进行医保相关法律法规、政策培训，</w:t>
            </w:r>
            <w:r>
              <w:rPr>
                <w:spacing w:val="-2"/>
              </w:rPr>
              <w:t>并有培训记录，得满分；</w:t>
            </w:r>
          </w:p>
          <w:p w14:paraId="2D681A32">
            <w:pPr>
              <w:pStyle w:val="6"/>
              <w:spacing w:line="227" w:lineRule="auto"/>
              <w:ind w:left="120" w:right="108" w:hanging="9"/>
            </w:pPr>
            <w:r>
              <w:rPr>
                <w:rFonts w:ascii="Times New Roman" w:hAnsi="Times New Roman" w:eastAsia="Times New Roman" w:cs="Times New Roman"/>
                <w:spacing w:val="-4"/>
              </w:rPr>
              <w:t>2</w:t>
            </w:r>
            <w:r>
              <w:rPr>
                <w:spacing w:val="-4"/>
              </w:rPr>
              <w:t>．未建立相关制度或不按时对本机构职工进</w:t>
            </w:r>
            <w:r>
              <w:rPr>
                <w:spacing w:val="-1"/>
              </w:rPr>
              <w:t>行医保相关法律法规、政策培训的，每发现</w:t>
            </w:r>
            <w:r>
              <w:rPr>
                <w:spacing w:val="-7"/>
              </w:rPr>
              <w:t>一次扣</w:t>
            </w:r>
            <w:r>
              <w:rPr>
                <w:rFonts w:ascii="Times New Roman" w:hAnsi="Times New Roman" w:eastAsia="Times New Roman" w:cs="Times New Roman"/>
                <w:spacing w:val="-7"/>
              </w:rPr>
              <w:t>1</w:t>
            </w:r>
            <w:r>
              <w:rPr>
                <w:spacing w:val="-7"/>
              </w:rPr>
              <w:t>分，扣完为止。</w:t>
            </w:r>
          </w:p>
        </w:tc>
      </w:tr>
    </w:tbl>
    <w:p w14:paraId="2F264F5C">
      <w:pPr>
        <w:rPr>
          <w:rFonts w:ascii="Arial"/>
          <w:sz w:val="21"/>
        </w:rPr>
      </w:pPr>
    </w:p>
    <w:p w14:paraId="2DD65135">
      <w:pPr>
        <w:rPr>
          <w:rFonts w:ascii="Arial" w:hAnsi="Arial" w:eastAsia="Arial" w:cs="Arial"/>
          <w:sz w:val="21"/>
          <w:szCs w:val="21"/>
        </w:rPr>
        <w:sectPr>
          <w:footerReference r:id="rId17" w:type="default"/>
          <w:pgSz w:w="16839" w:h="11906"/>
          <w:pgMar w:top="1012" w:right="1364" w:bottom="1166" w:left="1477" w:header="0" w:footer="798" w:gutter="0"/>
          <w:cols w:space="720" w:num="1"/>
        </w:sectPr>
      </w:pPr>
    </w:p>
    <w:tbl>
      <w:tblPr>
        <w:tblStyle w:val="5"/>
        <w:tblW w:w="13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304"/>
        <w:gridCol w:w="994"/>
        <w:gridCol w:w="1084"/>
        <w:gridCol w:w="1099"/>
        <w:gridCol w:w="3723"/>
        <w:gridCol w:w="4842"/>
      </w:tblGrid>
      <w:tr w14:paraId="50919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945" w:type="dxa"/>
            <w:vAlign w:val="top"/>
          </w:tcPr>
          <w:p w14:paraId="141F19F1">
            <w:pPr>
              <w:spacing w:line="338" w:lineRule="auto"/>
              <w:rPr>
                <w:rFonts w:ascii="Arial"/>
                <w:sz w:val="21"/>
              </w:rPr>
            </w:pPr>
          </w:p>
          <w:p w14:paraId="6577ED96">
            <w:pPr>
              <w:spacing w:line="338" w:lineRule="auto"/>
              <w:rPr>
                <w:rFonts w:ascii="Arial"/>
                <w:sz w:val="21"/>
              </w:rPr>
            </w:pPr>
          </w:p>
          <w:p w14:paraId="500E0A94">
            <w:pPr>
              <w:spacing w:before="69" w:line="315"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14</w:t>
            </w:r>
          </w:p>
        </w:tc>
        <w:tc>
          <w:tcPr>
            <w:tcW w:w="1304" w:type="dxa"/>
            <w:vMerge w:val="restart"/>
            <w:tcBorders>
              <w:bottom w:val="nil"/>
            </w:tcBorders>
            <w:vAlign w:val="top"/>
          </w:tcPr>
          <w:p w14:paraId="01B4E718">
            <w:pPr>
              <w:rPr>
                <w:rFonts w:ascii="Arial"/>
                <w:sz w:val="21"/>
              </w:rPr>
            </w:pPr>
          </w:p>
        </w:tc>
        <w:tc>
          <w:tcPr>
            <w:tcW w:w="994" w:type="dxa"/>
            <w:vMerge w:val="restart"/>
            <w:tcBorders>
              <w:bottom w:val="nil"/>
            </w:tcBorders>
            <w:vAlign w:val="top"/>
          </w:tcPr>
          <w:p w14:paraId="7274EFF0">
            <w:pPr>
              <w:spacing w:line="243" w:lineRule="auto"/>
              <w:rPr>
                <w:rFonts w:ascii="Arial"/>
                <w:sz w:val="21"/>
              </w:rPr>
            </w:pPr>
          </w:p>
          <w:p w14:paraId="2402F3CC">
            <w:pPr>
              <w:spacing w:line="243" w:lineRule="auto"/>
              <w:rPr>
                <w:rFonts w:ascii="Arial"/>
                <w:sz w:val="21"/>
              </w:rPr>
            </w:pPr>
          </w:p>
          <w:p w14:paraId="319E6581">
            <w:pPr>
              <w:spacing w:line="243" w:lineRule="auto"/>
              <w:rPr>
                <w:rFonts w:ascii="Arial"/>
                <w:sz w:val="21"/>
              </w:rPr>
            </w:pPr>
          </w:p>
          <w:p w14:paraId="63F8E8EB">
            <w:pPr>
              <w:spacing w:line="243" w:lineRule="auto"/>
              <w:rPr>
                <w:rFonts w:ascii="Arial"/>
                <w:sz w:val="21"/>
              </w:rPr>
            </w:pPr>
          </w:p>
          <w:p w14:paraId="157182E1">
            <w:pPr>
              <w:spacing w:line="243" w:lineRule="auto"/>
              <w:rPr>
                <w:rFonts w:ascii="Arial"/>
                <w:sz w:val="21"/>
              </w:rPr>
            </w:pPr>
          </w:p>
          <w:p w14:paraId="189BD355">
            <w:pPr>
              <w:spacing w:line="243" w:lineRule="auto"/>
              <w:rPr>
                <w:rFonts w:ascii="Arial"/>
                <w:sz w:val="21"/>
              </w:rPr>
            </w:pPr>
          </w:p>
          <w:p w14:paraId="59473EBE">
            <w:pPr>
              <w:spacing w:line="243" w:lineRule="auto"/>
              <w:rPr>
                <w:rFonts w:ascii="Arial"/>
                <w:sz w:val="21"/>
              </w:rPr>
            </w:pPr>
          </w:p>
          <w:p w14:paraId="499B2883">
            <w:pPr>
              <w:spacing w:line="244" w:lineRule="auto"/>
              <w:rPr>
                <w:rFonts w:ascii="Arial"/>
                <w:sz w:val="21"/>
              </w:rPr>
            </w:pPr>
          </w:p>
          <w:p w14:paraId="11CB6687">
            <w:pPr>
              <w:pStyle w:val="6"/>
              <w:spacing w:before="88" w:line="231" w:lineRule="auto"/>
              <w:ind w:left="275"/>
            </w:pPr>
            <w:r>
              <w:rPr>
                <w:spacing w:val="-12"/>
              </w:rPr>
              <w:t>管理</w:t>
            </w:r>
          </w:p>
          <w:p w14:paraId="2F7EB835">
            <w:pPr>
              <w:pStyle w:val="6"/>
              <w:spacing w:before="21" w:line="234" w:lineRule="auto"/>
              <w:ind w:left="266"/>
            </w:pPr>
            <w:r>
              <w:rPr>
                <w:spacing w:val="-8"/>
              </w:rPr>
              <w:t>行为</w:t>
            </w:r>
          </w:p>
        </w:tc>
        <w:tc>
          <w:tcPr>
            <w:tcW w:w="1084" w:type="dxa"/>
            <w:vAlign w:val="top"/>
          </w:tcPr>
          <w:p w14:paraId="62013F5E">
            <w:pPr>
              <w:spacing w:line="249" w:lineRule="auto"/>
              <w:rPr>
                <w:rFonts w:ascii="Arial"/>
                <w:sz w:val="21"/>
              </w:rPr>
            </w:pPr>
          </w:p>
          <w:p w14:paraId="23C266E0">
            <w:pPr>
              <w:spacing w:line="250" w:lineRule="auto"/>
              <w:rPr>
                <w:rFonts w:ascii="Arial"/>
                <w:sz w:val="21"/>
              </w:rPr>
            </w:pPr>
          </w:p>
          <w:p w14:paraId="020B6FB4">
            <w:pPr>
              <w:pStyle w:val="6"/>
              <w:spacing w:before="88" w:line="228" w:lineRule="auto"/>
              <w:ind w:left="364"/>
            </w:pPr>
            <w:r>
              <w:rPr>
                <w:spacing w:val="-34"/>
              </w:rPr>
              <w:t>自查</w:t>
            </w:r>
          </w:p>
          <w:p w14:paraId="3FF6EA95">
            <w:pPr>
              <w:pStyle w:val="6"/>
              <w:spacing w:before="26" w:line="228" w:lineRule="auto"/>
              <w:ind w:left="364"/>
            </w:pPr>
            <w:r>
              <w:rPr>
                <w:spacing w:val="-34"/>
              </w:rPr>
              <w:t>自纠</w:t>
            </w:r>
          </w:p>
        </w:tc>
        <w:tc>
          <w:tcPr>
            <w:tcW w:w="1099" w:type="dxa"/>
            <w:vAlign w:val="top"/>
          </w:tcPr>
          <w:p w14:paraId="10B939B4">
            <w:pPr>
              <w:spacing w:line="338" w:lineRule="auto"/>
              <w:rPr>
                <w:rFonts w:ascii="Arial"/>
                <w:sz w:val="21"/>
              </w:rPr>
            </w:pPr>
          </w:p>
          <w:p w14:paraId="7C7FA39D">
            <w:pPr>
              <w:spacing w:line="338" w:lineRule="auto"/>
              <w:rPr>
                <w:rFonts w:ascii="Arial"/>
                <w:sz w:val="21"/>
              </w:rPr>
            </w:pPr>
          </w:p>
          <w:p w14:paraId="63C37F19">
            <w:pPr>
              <w:spacing w:before="69" w:line="315" w:lineRule="exact"/>
              <w:ind w:left="48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3723" w:type="dxa"/>
            <w:vAlign w:val="top"/>
          </w:tcPr>
          <w:p w14:paraId="718D8295">
            <w:pPr>
              <w:spacing w:line="321" w:lineRule="auto"/>
              <w:rPr>
                <w:rFonts w:ascii="Arial"/>
                <w:sz w:val="21"/>
              </w:rPr>
            </w:pPr>
          </w:p>
          <w:p w14:paraId="409C064B">
            <w:pPr>
              <w:pStyle w:val="6"/>
              <w:spacing w:before="88" w:line="252" w:lineRule="auto"/>
              <w:ind w:left="113" w:right="104" w:firstLine="4"/>
              <w:jc w:val="both"/>
            </w:pPr>
            <w:r>
              <w:rPr>
                <w:spacing w:val="9"/>
              </w:rPr>
              <w:t>定期检查定点零售药店医保基金</w:t>
            </w:r>
            <w:r>
              <w:rPr>
                <w:spacing w:val="-7"/>
              </w:rPr>
              <w:t>使用情况，及时纠正医疗保障基金</w:t>
            </w:r>
            <w:r>
              <w:rPr>
                <w:spacing w:val="-1"/>
              </w:rPr>
              <w:t>使用不规范的行为。</w:t>
            </w:r>
          </w:p>
        </w:tc>
        <w:tc>
          <w:tcPr>
            <w:tcW w:w="4842" w:type="dxa"/>
            <w:vAlign w:val="top"/>
          </w:tcPr>
          <w:p w14:paraId="62D96400">
            <w:pPr>
              <w:pStyle w:val="6"/>
              <w:spacing w:before="31" w:line="244" w:lineRule="auto"/>
              <w:ind w:left="130" w:right="108" w:firstLine="3"/>
            </w:pPr>
            <w:r>
              <w:rPr>
                <w:rFonts w:ascii="Times New Roman" w:hAnsi="Times New Roman" w:eastAsia="Times New Roman" w:cs="Times New Roman"/>
                <w:spacing w:val="-5"/>
              </w:rPr>
              <w:t>1</w:t>
            </w:r>
            <w:r>
              <w:rPr>
                <w:spacing w:val="-5"/>
              </w:rPr>
              <w:t>．开展自查自纠，及时报告存在的问题，并</w:t>
            </w:r>
            <w:r>
              <w:rPr>
                <w:spacing w:val="-2"/>
              </w:rPr>
              <w:t>主动全额退回违规医保基金的，得满分；</w:t>
            </w:r>
          </w:p>
          <w:p w14:paraId="367542DE">
            <w:pPr>
              <w:pStyle w:val="6"/>
              <w:spacing w:before="5" w:line="239" w:lineRule="auto"/>
              <w:ind w:left="129" w:right="108" w:hanging="18"/>
            </w:pPr>
            <w:r>
              <w:rPr>
                <w:rFonts w:ascii="Times New Roman" w:hAnsi="Times New Roman" w:eastAsia="Times New Roman" w:cs="Times New Roman"/>
                <w:spacing w:val="-6"/>
              </w:rPr>
              <w:t>2</w:t>
            </w:r>
            <w:r>
              <w:rPr>
                <w:spacing w:val="-6"/>
              </w:rPr>
              <w:t>．自查自纠不彻底、不全面，未主动全额退</w:t>
            </w:r>
            <w:r>
              <w:rPr>
                <w:spacing w:val="-4"/>
              </w:rPr>
              <w:t>回违规医保基金的，每发现一次扣</w:t>
            </w:r>
            <w:r>
              <w:rPr>
                <w:rFonts w:ascii="Times New Roman" w:hAnsi="Times New Roman" w:eastAsia="Times New Roman" w:cs="Times New Roman"/>
                <w:spacing w:val="-4"/>
              </w:rPr>
              <w:t>1</w:t>
            </w:r>
            <w:r>
              <w:rPr>
                <w:spacing w:val="-4"/>
              </w:rPr>
              <w:t>分，扣</w:t>
            </w:r>
            <w:r>
              <w:rPr>
                <w:spacing w:val="-6"/>
              </w:rPr>
              <w:t>完为止。</w:t>
            </w:r>
          </w:p>
        </w:tc>
      </w:tr>
      <w:tr w14:paraId="294DB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45" w:type="dxa"/>
            <w:vAlign w:val="top"/>
          </w:tcPr>
          <w:p w14:paraId="4CE305E1">
            <w:pPr>
              <w:spacing w:line="336" w:lineRule="auto"/>
              <w:rPr>
                <w:rFonts w:ascii="Arial"/>
                <w:sz w:val="21"/>
              </w:rPr>
            </w:pPr>
          </w:p>
          <w:p w14:paraId="2651393D">
            <w:pPr>
              <w:spacing w:before="69" w:line="315"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15</w:t>
            </w:r>
          </w:p>
        </w:tc>
        <w:tc>
          <w:tcPr>
            <w:tcW w:w="1304" w:type="dxa"/>
            <w:vMerge w:val="continue"/>
            <w:tcBorders>
              <w:top w:val="nil"/>
              <w:bottom w:val="nil"/>
            </w:tcBorders>
            <w:vAlign w:val="top"/>
          </w:tcPr>
          <w:p w14:paraId="6EB7E07A">
            <w:pPr>
              <w:rPr>
                <w:rFonts w:ascii="Arial"/>
                <w:sz w:val="21"/>
              </w:rPr>
            </w:pPr>
          </w:p>
        </w:tc>
        <w:tc>
          <w:tcPr>
            <w:tcW w:w="994" w:type="dxa"/>
            <w:vMerge w:val="continue"/>
            <w:tcBorders>
              <w:top w:val="nil"/>
              <w:bottom w:val="nil"/>
            </w:tcBorders>
            <w:vAlign w:val="top"/>
          </w:tcPr>
          <w:p w14:paraId="39052B72">
            <w:pPr>
              <w:rPr>
                <w:rFonts w:ascii="Arial"/>
                <w:sz w:val="21"/>
              </w:rPr>
            </w:pPr>
          </w:p>
        </w:tc>
        <w:tc>
          <w:tcPr>
            <w:tcW w:w="1084" w:type="dxa"/>
            <w:vAlign w:val="top"/>
          </w:tcPr>
          <w:p w14:paraId="3998D60E">
            <w:pPr>
              <w:pStyle w:val="6"/>
              <w:spacing w:before="46" w:line="228" w:lineRule="auto"/>
              <w:ind w:left="244"/>
            </w:pPr>
            <w:r>
              <w:rPr>
                <w:spacing w:val="-23"/>
              </w:rPr>
              <w:t>自查自</w:t>
            </w:r>
          </w:p>
          <w:p w14:paraId="19572260">
            <w:pPr>
              <w:pStyle w:val="6"/>
              <w:spacing w:before="27" w:line="228" w:lineRule="auto"/>
              <w:ind w:left="356" w:right="181" w:hanging="151"/>
            </w:pPr>
            <w:r>
              <w:rPr>
                <w:spacing w:val="-10"/>
              </w:rPr>
              <w:t>纠费用</w:t>
            </w:r>
            <w:r>
              <w:rPr>
                <w:spacing w:val="-30"/>
              </w:rPr>
              <w:t>占比</w:t>
            </w:r>
          </w:p>
        </w:tc>
        <w:tc>
          <w:tcPr>
            <w:tcW w:w="1099" w:type="dxa"/>
            <w:vAlign w:val="top"/>
          </w:tcPr>
          <w:p w14:paraId="61E3D7EB">
            <w:pPr>
              <w:spacing w:line="314" w:lineRule="auto"/>
              <w:rPr>
                <w:rFonts w:ascii="Arial"/>
                <w:sz w:val="21"/>
              </w:rPr>
            </w:pPr>
          </w:p>
          <w:p w14:paraId="08F11A85">
            <w:pPr>
              <w:spacing w:before="69" w:line="315"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48BADB55">
            <w:pPr>
              <w:pStyle w:val="6"/>
              <w:spacing w:before="224" w:line="253" w:lineRule="auto"/>
              <w:ind w:left="170" w:right="253" w:hanging="53"/>
            </w:pPr>
            <w:r>
              <w:rPr>
                <w:spacing w:val="-1"/>
              </w:rPr>
              <w:t>评价定点零售药店医保违规行为</w:t>
            </w:r>
            <w:r>
              <w:rPr>
                <w:spacing w:val="-6"/>
              </w:rPr>
              <w:t>自查自纠是否彻底、全面。</w:t>
            </w:r>
          </w:p>
        </w:tc>
        <w:tc>
          <w:tcPr>
            <w:tcW w:w="4842" w:type="dxa"/>
            <w:vAlign w:val="top"/>
          </w:tcPr>
          <w:p w14:paraId="2F0B9D1E">
            <w:pPr>
              <w:pStyle w:val="6"/>
              <w:spacing w:before="25" w:line="253" w:lineRule="auto"/>
              <w:ind w:left="122" w:right="108" w:firstLine="1"/>
            </w:pPr>
            <w:r>
              <w:rPr>
                <w:spacing w:val="-5"/>
              </w:rPr>
              <w:t>计算公式：自查自纠费用</w:t>
            </w:r>
            <w:r>
              <w:rPr>
                <w:rFonts w:ascii="Times New Roman" w:hAnsi="Times New Roman" w:eastAsia="Times New Roman" w:cs="Times New Roman"/>
                <w:spacing w:val="-5"/>
              </w:rPr>
              <w:t>/</w:t>
            </w:r>
            <w:r>
              <w:rPr>
                <w:spacing w:val="-5"/>
              </w:rPr>
              <w:t>期内查实的违规使</w:t>
            </w:r>
            <w:r>
              <w:rPr>
                <w:spacing w:val="-2"/>
              </w:rPr>
              <w:t>用医保基金费用；</w:t>
            </w:r>
          </w:p>
          <w:p w14:paraId="267AADFD">
            <w:pPr>
              <w:pStyle w:val="6"/>
              <w:spacing w:before="1" w:line="210" w:lineRule="auto"/>
              <w:ind w:left="121"/>
            </w:pPr>
            <w:r>
              <w:rPr>
                <w:spacing w:val="-1"/>
              </w:rPr>
              <w:t>得分按照分值</w:t>
            </w:r>
            <w:r>
              <w:rPr>
                <w:rFonts w:ascii="Times New Roman" w:hAnsi="Times New Roman" w:eastAsia="Times New Roman" w:cs="Times New Roman"/>
                <w:spacing w:val="-1"/>
              </w:rPr>
              <w:t>*</w:t>
            </w:r>
            <w:r>
              <w:rPr>
                <w:spacing w:val="-1"/>
              </w:rPr>
              <w:t>自查自纠费用占比计分。</w:t>
            </w:r>
          </w:p>
        </w:tc>
      </w:tr>
      <w:tr w14:paraId="51573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45" w:type="dxa"/>
            <w:vAlign w:val="top"/>
          </w:tcPr>
          <w:p w14:paraId="228CB018">
            <w:pPr>
              <w:spacing w:before="206" w:line="315"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16</w:t>
            </w:r>
          </w:p>
        </w:tc>
        <w:tc>
          <w:tcPr>
            <w:tcW w:w="1304" w:type="dxa"/>
            <w:vMerge w:val="continue"/>
            <w:tcBorders>
              <w:top w:val="nil"/>
              <w:bottom w:val="nil"/>
            </w:tcBorders>
            <w:vAlign w:val="top"/>
          </w:tcPr>
          <w:p w14:paraId="040C51C3">
            <w:pPr>
              <w:rPr>
                <w:rFonts w:ascii="Arial"/>
                <w:sz w:val="21"/>
              </w:rPr>
            </w:pPr>
          </w:p>
        </w:tc>
        <w:tc>
          <w:tcPr>
            <w:tcW w:w="994" w:type="dxa"/>
            <w:vMerge w:val="continue"/>
            <w:tcBorders>
              <w:top w:val="nil"/>
              <w:bottom w:val="nil"/>
            </w:tcBorders>
            <w:vAlign w:val="top"/>
          </w:tcPr>
          <w:p w14:paraId="74E503CC">
            <w:pPr>
              <w:rPr>
                <w:rFonts w:ascii="Arial"/>
                <w:sz w:val="21"/>
              </w:rPr>
            </w:pPr>
          </w:p>
        </w:tc>
        <w:tc>
          <w:tcPr>
            <w:tcW w:w="1084" w:type="dxa"/>
            <w:vAlign w:val="top"/>
          </w:tcPr>
          <w:p w14:paraId="046BDFCC">
            <w:pPr>
              <w:pStyle w:val="6"/>
              <w:spacing w:before="46" w:line="232" w:lineRule="auto"/>
              <w:ind w:left="310"/>
            </w:pPr>
            <w:r>
              <w:rPr>
                <w:spacing w:val="-7"/>
              </w:rPr>
              <w:t>举报</w:t>
            </w:r>
          </w:p>
          <w:p w14:paraId="1FED03B7">
            <w:pPr>
              <w:pStyle w:val="6"/>
              <w:spacing w:before="21" w:line="210" w:lineRule="auto"/>
              <w:ind w:left="311"/>
            </w:pPr>
            <w:r>
              <w:rPr>
                <w:spacing w:val="-7"/>
              </w:rPr>
              <w:t>投诉</w:t>
            </w:r>
          </w:p>
        </w:tc>
        <w:tc>
          <w:tcPr>
            <w:tcW w:w="1099" w:type="dxa"/>
            <w:vAlign w:val="top"/>
          </w:tcPr>
          <w:p w14:paraId="4C6DEC08">
            <w:pPr>
              <w:spacing w:before="286" w:line="185" w:lineRule="auto"/>
              <w:ind w:left="497"/>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723" w:type="dxa"/>
            <w:vAlign w:val="top"/>
          </w:tcPr>
          <w:p w14:paraId="72451FF0">
            <w:pPr>
              <w:pStyle w:val="6"/>
              <w:spacing w:before="226" w:line="232" w:lineRule="auto"/>
              <w:jc w:val="right"/>
            </w:pPr>
            <w:r>
              <w:rPr>
                <w:spacing w:val="-18"/>
              </w:rPr>
              <w:t>网上、信函、电话等投诉查办情况。</w:t>
            </w:r>
          </w:p>
        </w:tc>
        <w:tc>
          <w:tcPr>
            <w:tcW w:w="4842" w:type="dxa"/>
            <w:vAlign w:val="top"/>
          </w:tcPr>
          <w:p w14:paraId="772EF494">
            <w:pPr>
              <w:pStyle w:val="6"/>
              <w:spacing w:before="47" w:line="228" w:lineRule="auto"/>
              <w:ind w:left="120" w:right="170" w:firstLine="14"/>
            </w:pPr>
            <w:r>
              <w:rPr>
                <w:spacing w:val="-2"/>
              </w:rPr>
              <w:t>涉及本机构的网上、信函、电话投诉等，经</w:t>
            </w:r>
            <w:r>
              <w:rPr>
                <w:spacing w:val="-4"/>
              </w:rPr>
              <w:t>查证属实的，</w:t>
            </w:r>
            <w:r>
              <w:rPr>
                <w:rFonts w:ascii="Times New Roman" w:hAnsi="Times New Roman" w:eastAsia="Times New Roman" w:cs="Times New Roman"/>
                <w:spacing w:val="-4"/>
              </w:rPr>
              <w:t>1</w:t>
            </w:r>
            <w:r>
              <w:rPr>
                <w:spacing w:val="-4"/>
              </w:rPr>
              <w:t>次扣</w:t>
            </w:r>
            <w:r>
              <w:rPr>
                <w:rFonts w:ascii="Times New Roman" w:hAnsi="Times New Roman" w:eastAsia="Times New Roman" w:cs="Times New Roman"/>
                <w:spacing w:val="-4"/>
              </w:rPr>
              <w:t>1</w:t>
            </w:r>
            <w:r>
              <w:rPr>
                <w:spacing w:val="-4"/>
              </w:rPr>
              <w:t>分，扣完为止。</w:t>
            </w:r>
          </w:p>
        </w:tc>
      </w:tr>
      <w:tr w14:paraId="360E1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45" w:type="dxa"/>
            <w:vAlign w:val="top"/>
          </w:tcPr>
          <w:p w14:paraId="7CAEB0A8">
            <w:pPr>
              <w:spacing w:line="318" w:lineRule="auto"/>
              <w:rPr>
                <w:rFonts w:ascii="Arial"/>
                <w:sz w:val="21"/>
              </w:rPr>
            </w:pPr>
          </w:p>
          <w:p w14:paraId="54A7DA45">
            <w:pPr>
              <w:spacing w:before="69" w:line="315"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2"/>
                <w:sz w:val="24"/>
                <w:szCs w:val="24"/>
              </w:rPr>
              <w:t>17</w:t>
            </w:r>
          </w:p>
        </w:tc>
        <w:tc>
          <w:tcPr>
            <w:tcW w:w="1304" w:type="dxa"/>
            <w:vMerge w:val="continue"/>
            <w:tcBorders>
              <w:top w:val="nil"/>
            </w:tcBorders>
            <w:vAlign w:val="top"/>
          </w:tcPr>
          <w:p w14:paraId="6B2F1750">
            <w:pPr>
              <w:rPr>
                <w:rFonts w:ascii="Arial"/>
                <w:sz w:val="21"/>
              </w:rPr>
            </w:pPr>
          </w:p>
        </w:tc>
        <w:tc>
          <w:tcPr>
            <w:tcW w:w="994" w:type="dxa"/>
            <w:vMerge w:val="continue"/>
            <w:tcBorders>
              <w:top w:val="nil"/>
            </w:tcBorders>
            <w:vAlign w:val="top"/>
          </w:tcPr>
          <w:p w14:paraId="3A4748F4">
            <w:pPr>
              <w:rPr>
                <w:rFonts w:ascii="Arial"/>
                <w:sz w:val="21"/>
              </w:rPr>
            </w:pPr>
          </w:p>
        </w:tc>
        <w:tc>
          <w:tcPr>
            <w:tcW w:w="1084" w:type="dxa"/>
            <w:vAlign w:val="top"/>
          </w:tcPr>
          <w:p w14:paraId="3AAFB514">
            <w:pPr>
              <w:pStyle w:val="6"/>
              <w:spacing w:before="240" w:line="203" w:lineRule="auto"/>
              <w:ind w:left="335"/>
            </w:pPr>
            <w:r>
              <w:rPr>
                <w:spacing w:val="-19"/>
              </w:rPr>
              <w:t>防范</w:t>
            </w:r>
          </w:p>
          <w:p w14:paraId="180843B6">
            <w:pPr>
              <w:pStyle w:val="6"/>
              <w:spacing w:before="50" w:line="231" w:lineRule="auto"/>
              <w:ind w:left="310"/>
            </w:pPr>
            <w:r>
              <w:rPr>
                <w:spacing w:val="-7"/>
              </w:rPr>
              <w:t>欺诈</w:t>
            </w:r>
          </w:p>
        </w:tc>
        <w:tc>
          <w:tcPr>
            <w:tcW w:w="1099" w:type="dxa"/>
            <w:vAlign w:val="top"/>
          </w:tcPr>
          <w:p w14:paraId="0E5712C0">
            <w:pPr>
              <w:spacing w:line="318" w:lineRule="auto"/>
              <w:rPr>
                <w:rFonts w:ascii="Arial"/>
                <w:sz w:val="21"/>
              </w:rPr>
            </w:pPr>
          </w:p>
          <w:p w14:paraId="5FEF8553">
            <w:pPr>
              <w:spacing w:before="69" w:line="315" w:lineRule="exact"/>
              <w:ind w:left="49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723" w:type="dxa"/>
            <w:vAlign w:val="top"/>
          </w:tcPr>
          <w:p w14:paraId="210EDC41">
            <w:pPr>
              <w:pStyle w:val="6"/>
              <w:spacing w:before="47" w:line="234" w:lineRule="auto"/>
              <w:ind w:left="121" w:right="104" w:firstLine="3"/>
              <w:jc w:val="both"/>
            </w:pPr>
            <w:r>
              <w:rPr>
                <w:spacing w:val="-8"/>
              </w:rPr>
              <w:t>不得诱导、协助他人冒名或虚假购药，提供虚假证明材料，串通他人</w:t>
            </w:r>
            <w:r>
              <w:rPr>
                <w:spacing w:val="-3"/>
              </w:rPr>
              <w:t>虚开费用单据。</w:t>
            </w:r>
          </w:p>
        </w:tc>
        <w:tc>
          <w:tcPr>
            <w:tcW w:w="4842" w:type="dxa"/>
            <w:vAlign w:val="top"/>
          </w:tcPr>
          <w:p w14:paraId="6C9D9BA0">
            <w:pPr>
              <w:spacing w:line="299" w:lineRule="auto"/>
              <w:rPr>
                <w:rFonts w:ascii="Arial"/>
                <w:sz w:val="21"/>
              </w:rPr>
            </w:pPr>
          </w:p>
          <w:p w14:paraId="056EB5AA">
            <w:pPr>
              <w:pStyle w:val="6"/>
              <w:spacing w:before="88" w:line="382" w:lineRule="exact"/>
              <w:ind w:left="121"/>
            </w:pPr>
            <w:r>
              <w:rPr>
                <w:spacing w:val="-6"/>
                <w:position w:val="3"/>
              </w:rPr>
              <w:t>发生</w:t>
            </w:r>
            <w:r>
              <w:rPr>
                <w:rFonts w:ascii="Times New Roman" w:hAnsi="Times New Roman" w:eastAsia="Times New Roman" w:cs="Times New Roman"/>
                <w:spacing w:val="-6"/>
                <w:position w:val="3"/>
              </w:rPr>
              <w:t>1</w:t>
            </w:r>
            <w:r>
              <w:rPr>
                <w:spacing w:val="-6"/>
                <w:position w:val="3"/>
              </w:rPr>
              <w:t>例欺诈，扣</w:t>
            </w:r>
            <w:r>
              <w:rPr>
                <w:rFonts w:ascii="Times New Roman" w:hAnsi="Times New Roman" w:eastAsia="Times New Roman" w:cs="Times New Roman"/>
                <w:spacing w:val="-6"/>
                <w:position w:val="3"/>
              </w:rPr>
              <w:t>2</w:t>
            </w:r>
            <w:r>
              <w:rPr>
                <w:spacing w:val="-6"/>
                <w:position w:val="3"/>
              </w:rPr>
              <w:t>分，扣完为止。</w:t>
            </w:r>
          </w:p>
        </w:tc>
      </w:tr>
      <w:tr w14:paraId="1B43F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45" w:type="dxa"/>
            <w:vAlign w:val="top"/>
          </w:tcPr>
          <w:p w14:paraId="0CF878A9">
            <w:pPr>
              <w:spacing w:before="209" w:line="315"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1"/>
                <w:sz w:val="24"/>
                <w:szCs w:val="24"/>
              </w:rPr>
              <w:t>18</w:t>
            </w:r>
          </w:p>
        </w:tc>
        <w:tc>
          <w:tcPr>
            <w:tcW w:w="1304" w:type="dxa"/>
            <w:vMerge w:val="restart"/>
            <w:tcBorders>
              <w:bottom w:val="nil"/>
            </w:tcBorders>
            <w:vAlign w:val="top"/>
          </w:tcPr>
          <w:p w14:paraId="598860CE">
            <w:pPr>
              <w:spacing w:line="262" w:lineRule="auto"/>
              <w:rPr>
                <w:rFonts w:ascii="Arial"/>
                <w:sz w:val="21"/>
              </w:rPr>
            </w:pPr>
          </w:p>
          <w:p w14:paraId="7AAAD555">
            <w:pPr>
              <w:spacing w:line="262" w:lineRule="auto"/>
              <w:rPr>
                <w:rFonts w:ascii="Arial"/>
                <w:sz w:val="21"/>
              </w:rPr>
            </w:pPr>
          </w:p>
          <w:p w14:paraId="1E4FBDC0">
            <w:pPr>
              <w:spacing w:line="262" w:lineRule="auto"/>
              <w:rPr>
                <w:rFonts w:ascii="Arial"/>
                <w:sz w:val="21"/>
              </w:rPr>
            </w:pPr>
          </w:p>
          <w:p w14:paraId="0249B2E7">
            <w:pPr>
              <w:spacing w:line="263" w:lineRule="auto"/>
              <w:rPr>
                <w:rFonts w:ascii="Arial"/>
                <w:sz w:val="21"/>
              </w:rPr>
            </w:pPr>
          </w:p>
          <w:p w14:paraId="72B655AE">
            <w:pPr>
              <w:pStyle w:val="6"/>
              <w:spacing w:before="88" w:line="256" w:lineRule="auto"/>
              <w:ind w:left="118" w:right="234"/>
            </w:pPr>
            <w:r>
              <w:rPr>
                <w:spacing w:val="-4"/>
              </w:rPr>
              <w:t>违法违规</w:t>
            </w:r>
            <w:r>
              <w:rPr>
                <w:spacing w:val="-7"/>
              </w:rPr>
              <w:t>违约</w:t>
            </w:r>
          </w:p>
        </w:tc>
        <w:tc>
          <w:tcPr>
            <w:tcW w:w="994" w:type="dxa"/>
            <w:vMerge w:val="restart"/>
            <w:tcBorders>
              <w:bottom w:val="nil"/>
            </w:tcBorders>
            <w:vAlign w:val="top"/>
          </w:tcPr>
          <w:p w14:paraId="42668283">
            <w:pPr>
              <w:spacing w:line="343" w:lineRule="auto"/>
              <w:rPr>
                <w:rFonts w:ascii="Arial"/>
                <w:sz w:val="21"/>
              </w:rPr>
            </w:pPr>
          </w:p>
          <w:p w14:paraId="2DAEE249">
            <w:pPr>
              <w:spacing w:line="344" w:lineRule="auto"/>
              <w:rPr>
                <w:rFonts w:ascii="Arial"/>
                <w:sz w:val="21"/>
              </w:rPr>
            </w:pPr>
          </w:p>
          <w:p w14:paraId="3A6B5F58">
            <w:pPr>
              <w:pStyle w:val="6"/>
              <w:spacing w:before="88" w:line="234" w:lineRule="auto"/>
              <w:ind w:left="279"/>
            </w:pPr>
            <w:r>
              <w:rPr>
                <w:spacing w:val="-14"/>
              </w:rPr>
              <w:t>一般</w:t>
            </w:r>
          </w:p>
          <w:p w14:paraId="41CF02B2">
            <w:pPr>
              <w:pStyle w:val="6"/>
              <w:spacing w:before="18" w:line="231" w:lineRule="auto"/>
              <w:ind w:left="266"/>
            </w:pPr>
            <w:r>
              <w:rPr>
                <w:spacing w:val="-7"/>
              </w:rPr>
              <w:t>处理</w:t>
            </w:r>
          </w:p>
        </w:tc>
        <w:tc>
          <w:tcPr>
            <w:tcW w:w="1084" w:type="dxa"/>
            <w:vAlign w:val="top"/>
          </w:tcPr>
          <w:p w14:paraId="64179EC4">
            <w:pPr>
              <w:pStyle w:val="6"/>
              <w:spacing w:before="229" w:line="235" w:lineRule="auto"/>
              <w:ind w:left="323"/>
            </w:pPr>
            <w:r>
              <w:rPr>
                <w:spacing w:val="-13"/>
              </w:rPr>
              <w:t>约谈</w:t>
            </w:r>
          </w:p>
        </w:tc>
        <w:tc>
          <w:tcPr>
            <w:tcW w:w="1099" w:type="dxa"/>
            <w:vAlign w:val="top"/>
          </w:tcPr>
          <w:p w14:paraId="7467E896">
            <w:pPr>
              <w:spacing w:before="209" w:line="315"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56FF47DF">
            <w:pPr>
              <w:pStyle w:val="6"/>
              <w:spacing w:before="50" w:line="227" w:lineRule="auto"/>
              <w:ind w:left="129" w:right="104" w:firstLine="18"/>
            </w:pPr>
            <w:r>
              <w:rPr>
                <w:spacing w:val="7"/>
              </w:rPr>
              <w:t>因发生违规行为被医保部门进行</w:t>
            </w:r>
            <w:r>
              <w:rPr>
                <w:spacing w:val="-9"/>
              </w:rPr>
              <w:t>约谈。</w:t>
            </w:r>
          </w:p>
        </w:tc>
        <w:tc>
          <w:tcPr>
            <w:tcW w:w="4842" w:type="dxa"/>
            <w:vAlign w:val="top"/>
          </w:tcPr>
          <w:p w14:paraId="61C9D75E">
            <w:pPr>
              <w:pStyle w:val="6"/>
              <w:spacing w:before="209" w:line="382" w:lineRule="exact"/>
              <w:ind w:left="118"/>
            </w:pPr>
            <w:r>
              <w:rPr>
                <w:spacing w:val="-8"/>
                <w:position w:val="3"/>
              </w:rPr>
              <w:t>被医保部门约谈</w:t>
            </w:r>
            <w:r>
              <w:rPr>
                <w:rFonts w:ascii="Times New Roman" w:hAnsi="Times New Roman" w:eastAsia="Times New Roman" w:cs="Times New Roman"/>
                <w:spacing w:val="-8"/>
                <w:position w:val="3"/>
              </w:rPr>
              <w:t>1</w:t>
            </w:r>
            <w:r>
              <w:rPr>
                <w:spacing w:val="-8"/>
                <w:position w:val="3"/>
              </w:rPr>
              <w:t>次扣</w:t>
            </w:r>
            <w:r>
              <w:rPr>
                <w:rFonts w:ascii="Times New Roman" w:hAnsi="Times New Roman" w:eastAsia="Times New Roman" w:cs="Times New Roman"/>
                <w:spacing w:val="-8"/>
                <w:position w:val="3"/>
              </w:rPr>
              <w:t>1</w:t>
            </w:r>
            <w:r>
              <w:rPr>
                <w:spacing w:val="-8"/>
                <w:position w:val="3"/>
              </w:rPr>
              <w:t>分，扣完为止。</w:t>
            </w:r>
          </w:p>
        </w:tc>
      </w:tr>
      <w:tr w14:paraId="47FC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45" w:type="dxa"/>
            <w:vAlign w:val="top"/>
          </w:tcPr>
          <w:p w14:paraId="5869D8F3">
            <w:pPr>
              <w:spacing w:before="210" w:line="315" w:lineRule="exact"/>
              <w:ind w:left="377"/>
              <w:rPr>
                <w:rFonts w:ascii="Times New Roman" w:hAnsi="Times New Roman" w:eastAsia="Times New Roman" w:cs="Times New Roman"/>
                <w:sz w:val="24"/>
                <w:szCs w:val="24"/>
              </w:rPr>
            </w:pPr>
            <w:r>
              <w:rPr>
                <w:rFonts w:ascii="Times New Roman" w:hAnsi="Times New Roman" w:eastAsia="Times New Roman" w:cs="Times New Roman"/>
                <w:spacing w:val="-15"/>
                <w:position w:val="2"/>
                <w:sz w:val="24"/>
                <w:szCs w:val="24"/>
              </w:rPr>
              <w:t>19</w:t>
            </w:r>
          </w:p>
        </w:tc>
        <w:tc>
          <w:tcPr>
            <w:tcW w:w="1304" w:type="dxa"/>
            <w:vMerge w:val="continue"/>
            <w:tcBorders>
              <w:top w:val="nil"/>
              <w:bottom w:val="nil"/>
            </w:tcBorders>
            <w:vAlign w:val="top"/>
          </w:tcPr>
          <w:p w14:paraId="2ECEB819">
            <w:pPr>
              <w:rPr>
                <w:rFonts w:ascii="Arial"/>
                <w:sz w:val="21"/>
              </w:rPr>
            </w:pPr>
          </w:p>
        </w:tc>
        <w:tc>
          <w:tcPr>
            <w:tcW w:w="994" w:type="dxa"/>
            <w:vMerge w:val="continue"/>
            <w:tcBorders>
              <w:top w:val="nil"/>
              <w:bottom w:val="nil"/>
            </w:tcBorders>
            <w:vAlign w:val="top"/>
          </w:tcPr>
          <w:p w14:paraId="75B94C5E">
            <w:pPr>
              <w:rPr>
                <w:rFonts w:ascii="Arial"/>
                <w:sz w:val="21"/>
              </w:rPr>
            </w:pPr>
          </w:p>
        </w:tc>
        <w:tc>
          <w:tcPr>
            <w:tcW w:w="1084" w:type="dxa"/>
            <w:vAlign w:val="top"/>
          </w:tcPr>
          <w:p w14:paraId="26C95928">
            <w:pPr>
              <w:pStyle w:val="6"/>
              <w:spacing w:before="50" w:line="235" w:lineRule="auto"/>
              <w:ind w:left="334"/>
            </w:pPr>
            <w:r>
              <w:rPr>
                <w:spacing w:val="-19"/>
              </w:rPr>
              <w:t>限期</w:t>
            </w:r>
          </w:p>
          <w:p w14:paraId="491AEB29">
            <w:pPr>
              <w:pStyle w:val="6"/>
              <w:spacing w:before="17" w:line="208" w:lineRule="auto"/>
              <w:ind w:left="313"/>
            </w:pPr>
            <w:r>
              <w:rPr>
                <w:spacing w:val="-8"/>
              </w:rPr>
              <w:t>整改</w:t>
            </w:r>
          </w:p>
        </w:tc>
        <w:tc>
          <w:tcPr>
            <w:tcW w:w="1099" w:type="dxa"/>
            <w:vAlign w:val="top"/>
          </w:tcPr>
          <w:p w14:paraId="5C11365F">
            <w:pPr>
              <w:spacing w:before="210" w:line="315"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0152B5AC">
            <w:pPr>
              <w:pStyle w:val="6"/>
              <w:spacing w:before="51" w:line="227" w:lineRule="auto"/>
              <w:ind w:left="141" w:right="104" w:firstLine="7"/>
            </w:pPr>
            <w:r>
              <w:rPr>
                <w:spacing w:val="7"/>
              </w:rPr>
              <w:t>因发生违规行为被医保部门要求</w:t>
            </w:r>
            <w:r>
              <w:rPr>
                <w:spacing w:val="-8"/>
              </w:rPr>
              <w:t>限期整改。</w:t>
            </w:r>
          </w:p>
        </w:tc>
        <w:tc>
          <w:tcPr>
            <w:tcW w:w="4842" w:type="dxa"/>
            <w:vAlign w:val="top"/>
          </w:tcPr>
          <w:p w14:paraId="0C39C275">
            <w:pPr>
              <w:pStyle w:val="6"/>
              <w:spacing w:before="210" w:line="382" w:lineRule="exact"/>
              <w:jc w:val="right"/>
            </w:pPr>
            <w:r>
              <w:rPr>
                <w:spacing w:val="-8"/>
                <w:position w:val="3"/>
              </w:rPr>
              <w:t>被责令限期整改</w:t>
            </w:r>
            <w:r>
              <w:rPr>
                <w:rFonts w:ascii="Times New Roman" w:hAnsi="Times New Roman" w:eastAsia="Times New Roman" w:cs="Times New Roman"/>
                <w:spacing w:val="-8"/>
                <w:position w:val="3"/>
              </w:rPr>
              <w:t>1</w:t>
            </w:r>
            <w:r>
              <w:rPr>
                <w:spacing w:val="-8"/>
                <w:position w:val="3"/>
              </w:rPr>
              <w:t>次，扣</w:t>
            </w:r>
            <w:r>
              <w:rPr>
                <w:rFonts w:ascii="Times New Roman" w:hAnsi="Times New Roman" w:eastAsia="Times New Roman" w:cs="Times New Roman"/>
                <w:spacing w:val="-8"/>
                <w:position w:val="3"/>
              </w:rPr>
              <w:t>1.5</w:t>
            </w:r>
            <w:r>
              <w:rPr>
                <w:spacing w:val="-8"/>
                <w:position w:val="3"/>
              </w:rPr>
              <w:t>分，扣完为止。</w:t>
            </w:r>
          </w:p>
        </w:tc>
      </w:tr>
      <w:tr w14:paraId="2BE3E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45" w:type="dxa"/>
            <w:vAlign w:val="top"/>
          </w:tcPr>
          <w:p w14:paraId="39BE8371">
            <w:pPr>
              <w:spacing w:before="210" w:line="315" w:lineRule="exact"/>
              <w:ind w:left="35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20</w:t>
            </w:r>
          </w:p>
        </w:tc>
        <w:tc>
          <w:tcPr>
            <w:tcW w:w="1304" w:type="dxa"/>
            <w:vMerge w:val="continue"/>
            <w:tcBorders>
              <w:top w:val="nil"/>
              <w:bottom w:val="nil"/>
            </w:tcBorders>
            <w:vAlign w:val="top"/>
          </w:tcPr>
          <w:p w14:paraId="1D6F40E6">
            <w:pPr>
              <w:rPr>
                <w:rFonts w:ascii="Arial"/>
                <w:sz w:val="21"/>
              </w:rPr>
            </w:pPr>
          </w:p>
        </w:tc>
        <w:tc>
          <w:tcPr>
            <w:tcW w:w="994" w:type="dxa"/>
            <w:vMerge w:val="continue"/>
            <w:tcBorders>
              <w:top w:val="nil"/>
            </w:tcBorders>
            <w:vAlign w:val="top"/>
          </w:tcPr>
          <w:p w14:paraId="68D6B32D">
            <w:pPr>
              <w:rPr>
                <w:rFonts w:ascii="Arial"/>
                <w:sz w:val="21"/>
              </w:rPr>
            </w:pPr>
          </w:p>
        </w:tc>
        <w:tc>
          <w:tcPr>
            <w:tcW w:w="1084" w:type="dxa"/>
            <w:vAlign w:val="top"/>
          </w:tcPr>
          <w:p w14:paraId="532EF569">
            <w:pPr>
              <w:pStyle w:val="6"/>
              <w:spacing w:before="230" w:line="234" w:lineRule="auto"/>
              <w:ind w:left="313"/>
            </w:pPr>
            <w:r>
              <w:rPr>
                <w:spacing w:val="-8"/>
              </w:rPr>
              <w:t>通报</w:t>
            </w:r>
          </w:p>
        </w:tc>
        <w:tc>
          <w:tcPr>
            <w:tcW w:w="1099" w:type="dxa"/>
            <w:vAlign w:val="top"/>
          </w:tcPr>
          <w:p w14:paraId="597156FE">
            <w:pPr>
              <w:spacing w:before="210" w:line="315" w:lineRule="exact"/>
              <w:ind w:left="495"/>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3723" w:type="dxa"/>
            <w:vAlign w:val="top"/>
          </w:tcPr>
          <w:p w14:paraId="17048C05">
            <w:pPr>
              <w:pStyle w:val="6"/>
              <w:spacing w:before="51" w:line="227" w:lineRule="auto"/>
              <w:ind w:left="119" w:right="104" w:firstLine="29"/>
            </w:pPr>
            <w:r>
              <w:rPr>
                <w:spacing w:val="7"/>
              </w:rPr>
              <w:t>因发生违规行为被医保部门进行</w:t>
            </w:r>
            <w:r>
              <w:rPr>
                <w:spacing w:val="-6"/>
              </w:rPr>
              <w:t>通报。</w:t>
            </w:r>
          </w:p>
        </w:tc>
        <w:tc>
          <w:tcPr>
            <w:tcW w:w="4842" w:type="dxa"/>
            <w:vAlign w:val="top"/>
          </w:tcPr>
          <w:p w14:paraId="17B7A637">
            <w:pPr>
              <w:pStyle w:val="6"/>
              <w:spacing w:before="210" w:line="381" w:lineRule="exact"/>
              <w:ind w:left="115"/>
            </w:pPr>
            <w:r>
              <w:rPr>
                <w:spacing w:val="-7"/>
                <w:position w:val="3"/>
              </w:rPr>
              <w:t>每被医保部门通报</w:t>
            </w:r>
            <w:r>
              <w:rPr>
                <w:rFonts w:ascii="Times New Roman" w:hAnsi="Times New Roman" w:eastAsia="Times New Roman" w:cs="Times New Roman"/>
                <w:spacing w:val="-7"/>
                <w:position w:val="3"/>
              </w:rPr>
              <w:t>1</w:t>
            </w:r>
            <w:r>
              <w:rPr>
                <w:spacing w:val="-7"/>
                <w:position w:val="3"/>
              </w:rPr>
              <w:t>例扣</w:t>
            </w:r>
            <w:r>
              <w:rPr>
                <w:rFonts w:ascii="Times New Roman" w:hAnsi="Times New Roman" w:eastAsia="Times New Roman" w:cs="Times New Roman"/>
                <w:spacing w:val="-7"/>
                <w:position w:val="3"/>
              </w:rPr>
              <w:t>1</w:t>
            </w:r>
            <w:r>
              <w:rPr>
                <w:spacing w:val="-7"/>
                <w:position w:val="3"/>
              </w:rPr>
              <w:t>分，扣完为止。</w:t>
            </w:r>
          </w:p>
        </w:tc>
      </w:tr>
      <w:tr w14:paraId="3B27B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45" w:type="dxa"/>
            <w:vAlign w:val="top"/>
          </w:tcPr>
          <w:p w14:paraId="5806B711">
            <w:pPr>
              <w:spacing w:before="209" w:line="315" w:lineRule="exact"/>
              <w:ind w:left="35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21</w:t>
            </w:r>
          </w:p>
        </w:tc>
        <w:tc>
          <w:tcPr>
            <w:tcW w:w="1304" w:type="dxa"/>
            <w:vMerge w:val="continue"/>
            <w:tcBorders>
              <w:top w:val="nil"/>
            </w:tcBorders>
            <w:vAlign w:val="top"/>
          </w:tcPr>
          <w:p w14:paraId="6E0BBE98">
            <w:pPr>
              <w:rPr>
                <w:rFonts w:ascii="Arial"/>
                <w:sz w:val="21"/>
              </w:rPr>
            </w:pPr>
          </w:p>
        </w:tc>
        <w:tc>
          <w:tcPr>
            <w:tcW w:w="994" w:type="dxa"/>
            <w:vAlign w:val="top"/>
          </w:tcPr>
          <w:p w14:paraId="2EA80A99">
            <w:pPr>
              <w:pStyle w:val="6"/>
              <w:spacing w:before="49" w:line="234" w:lineRule="auto"/>
              <w:ind w:left="272"/>
            </w:pPr>
            <w:r>
              <w:rPr>
                <w:spacing w:val="-10"/>
              </w:rPr>
              <w:t>协议</w:t>
            </w:r>
          </w:p>
          <w:p w14:paraId="783CCD64">
            <w:pPr>
              <w:pStyle w:val="6"/>
              <w:spacing w:before="17" w:line="210" w:lineRule="auto"/>
              <w:ind w:left="266"/>
            </w:pPr>
            <w:r>
              <w:rPr>
                <w:spacing w:val="-7"/>
              </w:rPr>
              <w:t>处理</w:t>
            </w:r>
          </w:p>
        </w:tc>
        <w:tc>
          <w:tcPr>
            <w:tcW w:w="1084" w:type="dxa"/>
            <w:vAlign w:val="top"/>
          </w:tcPr>
          <w:p w14:paraId="6730F644">
            <w:pPr>
              <w:pStyle w:val="6"/>
              <w:spacing w:before="49" w:line="234" w:lineRule="auto"/>
              <w:ind w:left="317"/>
            </w:pPr>
            <w:r>
              <w:rPr>
                <w:spacing w:val="-10"/>
              </w:rPr>
              <w:t>协议</w:t>
            </w:r>
          </w:p>
          <w:p w14:paraId="0CA8BDC1">
            <w:pPr>
              <w:pStyle w:val="6"/>
              <w:spacing w:before="17" w:line="210" w:lineRule="auto"/>
              <w:ind w:left="311"/>
            </w:pPr>
            <w:r>
              <w:rPr>
                <w:spacing w:val="-7"/>
              </w:rPr>
              <w:t>处理</w:t>
            </w:r>
          </w:p>
        </w:tc>
        <w:tc>
          <w:tcPr>
            <w:tcW w:w="1099" w:type="dxa"/>
            <w:vAlign w:val="top"/>
          </w:tcPr>
          <w:p w14:paraId="33C6E4BE">
            <w:pPr>
              <w:spacing w:before="209" w:line="315" w:lineRule="exact"/>
              <w:ind w:left="49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723" w:type="dxa"/>
            <w:vAlign w:val="top"/>
          </w:tcPr>
          <w:p w14:paraId="0E9D37CB">
            <w:pPr>
              <w:pStyle w:val="6"/>
              <w:spacing w:before="230" w:line="231" w:lineRule="auto"/>
              <w:ind w:left="116"/>
            </w:pPr>
            <w:r>
              <w:rPr>
                <w:spacing w:val="-1"/>
              </w:rPr>
              <w:t>被医保部门给予协议处理情况。</w:t>
            </w:r>
          </w:p>
        </w:tc>
        <w:tc>
          <w:tcPr>
            <w:tcW w:w="4842" w:type="dxa"/>
            <w:vAlign w:val="top"/>
          </w:tcPr>
          <w:p w14:paraId="0FCA836B">
            <w:pPr>
              <w:pStyle w:val="6"/>
              <w:spacing w:before="29" w:line="235" w:lineRule="auto"/>
              <w:ind w:left="119" w:right="108" w:hanging="4"/>
            </w:pPr>
            <w:r>
              <w:rPr>
                <w:spacing w:val="3"/>
              </w:rPr>
              <w:t>每被医保经办机构给予协议处理一次，扣</w:t>
            </w:r>
            <w:r>
              <w:rPr>
                <w:rFonts w:ascii="Times New Roman" w:hAnsi="Times New Roman" w:eastAsia="Times New Roman" w:cs="Times New Roman"/>
                <w:spacing w:val="3"/>
              </w:rPr>
              <w:t>1</w:t>
            </w:r>
            <w:r>
              <w:rPr>
                <w:spacing w:val="-8"/>
              </w:rPr>
              <w:t>分。</w:t>
            </w:r>
          </w:p>
        </w:tc>
      </w:tr>
    </w:tbl>
    <w:p w14:paraId="41180B34">
      <w:pPr>
        <w:rPr>
          <w:rFonts w:ascii="Arial"/>
          <w:sz w:val="21"/>
        </w:rPr>
      </w:pPr>
    </w:p>
    <w:p w14:paraId="2684887C">
      <w:pPr>
        <w:rPr>
          <w:rFonts w:ascii="Arial" w:hAnsi="Arial" w:eastAsia="Arial" w:cs="Arial"/>
          <w:sz w:val="21"/>
          <w:szCs w:val="21"/>
        </w:rPr>
        <w:sectPr>
          <w:footerReference r:id="rId18" w:type="default"/>
          <w:pgSz w:w="16839" w:h="11906"/>
          <w:pgMar w:top="1012" w:right="1364" w:bottom="1166" w:left="1477" w:header="0" w:footer="800" w:gutter="0"/>
          <w:cols w:space="720" w:num="1"/>
        </w:sectPr>
      </w:pPr>
    </w:p>
    <w:tbl>
      <w:tblPr>
        <w:tblStyle w:val="5"/>
        <w:tblW w:w="139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5"/>
        <w:gridCol w:w="1304"/>
        <w:gridCol w:w="994"/>
        <w:gridCol w:w="1084"/>
        <w:gridCol w:w="1099"/>
        <w:gridCol w:w="3723"/>
        <w:gridCol w:w="4842"/>
      </w:tblGrid>
      <w:tr w14:paraId="3060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45" w:type="dxa"/>
            <w:vAlign w:val="top"/>
          </w:tcPr>
          <w:p w14:paraId="2790C303">
            <w:pPr>
              <w:spacing w:before="250" w:line="315" w:lineRule="exact"/>
              <w:ind w:left="35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22</w:t>
            </w:r>
          </w:p>
        </w:tc>
        <w:tc>
          <w:tcPr>
            <w:tcW w:w="1304" w:type="dxa"/>
            <w:vMerge w:val="restart"/>
            <w:tcBorders>
              <w:bottom w:val="nil"/>
            </w:tcBorders>
            <w:vAlign w:val="top"/>
          </w:tcPr>
          <w:p w14:paraId="75582D3F">
            <w:pPr>
              <w:rPr>
                <w:rFonts w:ascii="Arial"/>
                <w:sz w:val="21"/>
              </w:rPr>
            </w:pPr>
          </w:p>
        </w:tc>
        <w:tc>
          <w:tcPr>
            <w:tcW w:w="994" w:type="dxa"/>
            <w:vAlign w:val="top"/>
          </w:tcPr>
          <w:p w14:paraId="719D10C3">
            <w:pPr>
              <w:rPr>
                <w:rFonts w:ascii="Arial"/>
                <w:sz w:val="21"/>
              </w:rPr>
            </w:pPr>
          </w:p>
        </w:tc>
        <w:tc>
          <w:tcPr>
            <w:tcW w:w="1084" w:type="dxa"/>
            <w:vAlign w:val="top"/>
          </w:tcPr>
          <w:p w14:paraId="3C8EC12D">
            <w:pPr>
              <w:pStyle w:val="6"/>
              <w:spacing w:before="70" w:line="231" w:lineRule="auto"/>
              <w:ind w:left="343"/>
            </w:pPr>
            <w:r>
              <w:rPr>
                <w:spacing w:val="-23"/>
              </w:rPr>
              <w:t>中止</w:t>
            </w:r>
          </w:p>
          <w:p w14:paraId="25D74BCB">
            <w:pPr>
              <w:pStyle w:val="6"/>
              <w:spacing w:before="62" w:line="225" w:lineRule="auto"/>
              <w:ind w:left="317"/>
            </w:pPr>
            <w:r>
              <w:rPr>
                <w:spacing w:val="-10"/>
              </w:rPr>
              <w:t>协议</w:t>
            </w:r>
          </w:p>
        </w:tc>
        <w:tc>
          <w:tcPr>
            <w:tcW w:w="1099" w:type="dxa"/>
            <w:vAlign w:val="top"/>
          </w:tcPr>
          <w:p w14:paraId="510DFC7C">
            <w:pPr>
              <w:spacing w:before="250" w:line="315" w:lineRule="exact"/>
              <w:ind w:left="49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723" w:type="dxa"/>
            <w:vAlign w:val="top"/>
          </w:tcPr>
          <w:p w14:paraId="49E32FCA">
            <w:pPr>
              <w:pStyle w:val="6"/>
              <w:spacing w:before="70" w:line="249" w:lineRule="auto"/>
              <w:ind w:left="124" w:right="104" w:firstLine="24"/>
            </w:pPr>
            <w:r>
              <w:rPr>
                <w:spacing w:val="3"/>
              </w:rPr>
              <w:t>因发生违规行为被医保部门中止</w:t>
            </w:r>
            <w:r>
              <w:rPr>
                <w:spacing w:val="-7"/>
              </w:rPr>
              <w:t>协议。</w:t>
            </w:r>
          </w:p>
        </w:tc>
        <w:tc>
          <w:tcPr>
            <w:tcW w:w="4842" w:type="dxa"/>
            <w:vAlign w:val="top"/>
          </w:tcPr>
          <w:p w14:paraId="5E9AE6BB">
            <w:pPr>
              <w:pStyle w:val="6"/>
              <w:spacing w:before="50" w:line="256" w:lineRule="auto"/>
              <w:ind w:left="135" w:right="21" w:hanging="7"/>
            </w:pPr>
            <w:r>
              <w:rPr>
                <w:spacing w:val="3"/>
              </w:rPr>
              <w:t>暂停医保服务协议月数累计</w:t>
            </w:r>
            <w:r>
              <w:rPr>
                <w:rFonts w:ascii="Times New Roman" w:hAnsi="Times New Roman" w:eastAsia="Times New Roman" w:cs="Times New Roman"/>
                <w:spacing w:val="3"/>
              </w:rPr>
              <w:t>≤3</w:t>
            </w:r>
            <w:r>
              <w:rPr>
                <w:spacing w:val="3"/>
              </w:rPr>
              <w:t>个月扣</w:t>
            </w:r>
            <w:r>
              <w:rPr>
                <w:rFonts w:ascii="Times New Roman" w:hAnsi="Times New Roman" w:eastAsia="Times New Roman" w:cs="Times New Roman"/>
                <w:spacing w:val="3"/>
              </w:rPr>
              <w:t>2</w:t>
            </w:r>
            <w:r>
              <w:rPr>
                <w:spacing w:val="3"/>
              </w:rPr>
              <w:t>分；</w:t>
            </w:r>
            <w:r>
              <w:rPr>
                <w:spacing w:val="4"/>
              </w:rPr>
              <w:t>&gt;</w:t>
            </w:r>
            <w:r>
              <w:rPr>
                <w:rFonts w:ascii="Times New Roman" w:hAnsi="Times New Roman" w:eastAsia="Times New Roman" w:cs="Times New Roman"/>
                <w:spacing w:val="4"/>
              </w:rPr>
              <w:t>3</w:t>
            </w:r>
            <w:r>
              <w:rPr>
                <w:spacing w:val="4"/>
              </w:rPr>
              <w:t>个月且</w:t>
            </w:r>
            <w:r>
              <w:rPr>
                <w:rFonts w:ascii="Times New Roman" w:hAnsi="Times New Roman" w:eastAsia="Times New Roman" w:cs="Times New Roman"/>
                <w:spacing w:val="4"/>
              </w:rPr>
              <w:t>≤6</w:t>
            </w:r>
            <w:r>
              <w:rPr>
                <w:spacing w:val="4"/>
              </w:rPr>
              <w:t>个月扣</w:t>
            </w:r>
            <w:r>
              <w:rPr>
                <w:rFonts w:ascii="Times New Roman" w:hAnsi="Times New Roman" w:eastAsia="Times New Roman" w:cs="Times New Roman"/>
                <w:spacing w:val="4"/>
              </w:rPr>
              <w:t>4</w:t>
            </w:r>
            <w:r>
              <w:rPr>
                <w:spacing w:val="4"/>
              </w:rPr>
              <w:t>分</w:t>
            </w:r>
            <w:r>
              <w:rPr>
                <w:spacing w:val="-17"/>
              </w:rPr>
              <w:t>；＞</w:t>
            </w:r>
            <w:r>
              <w:rPr>
                <w:rFonts w:ascii="Times New Roman" w:hAnsi="Times New Roman" w:eastAsia="Times New Roman" w:cs="Times New Roman"/>
                <w:spacing w:val="4"/>
              </w:rPr>
              <w:t>6</w:t>
            </w:r>
            <w:r>
              <w:rPr>
                <w:spacing w:val="4"/>
              </w:rPr>
              <w:t>个月扣</w:t>
            </w:r>
            <w:r>
              <w:rPr>
                <w:rFonts w:ascii="Times New Roman" w:hAnsi="Times New Roman" w:eastAsia="Times New Roman" w:cs="Times New Roman"/>
                <w:spacing w:val="4"/>
              </w:rPr>
              <w:t>6</w:t>
            </w:r>
            <w:r>
              <w:rPr>
                <w:spacing w:val="4"/>
              </w:rPr>
              <w:t>分。</w:t>
            </w:r>
          </w:p>
        </w:tc>
      </w:tr>
      <w:tr w14:paraId="11DDB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45" w:type="dxa"/>
            <w:vAlign w:val="top"/>
          </w:tcPr>
          <w:p w14:paraId="15ADBFE6">
            <w:pPr>
              <w:spacing w:before="245" w:line="315" w:lineRule="exact"/>
              <w:ind w:left="35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23</w:t>
            </w:r>
          </w:p>
        </w:tc>
        <w:tc>
          <w:tcPr>
            <w:tcW w:w="1304" w:type="dxa"/>
            <w:vMerge w:val="continue"/>
            <w:tcBorders>
              <w:top w:val="nil"/>
            </w:tcBorders>
            <w:vAlign w:val="top"/>
          </w:tcPr>
          <w:p w14:paraId="19825FF6">
            <w:pPr>
              <w:rPr>
                <w:rFonts w:ascii="Arial"/>
                <w:sz w:val="21"/>
              </w:rPr>
            </w:pPr>
          </w:p>
        </w:tc>
        <w:tc>
          <w:tcPr>
            <w:tcW w:w="994" w:type="dxa"/>
            <w:vAlign w:val="top"/>
          </w:tcPr>
          <w:p w14:paraId="45072161">
            <w:pPr>
              <w:pStyle w:val="6"/>
              <w:spacing w:before="67" w:line="233" w:lineRule="auto"/>
              <w:ind w:left="266"/>
            </w:pPr>
            <w:r>
              <w:rPr>
                <w:spacing w:val="-8"/>
              </w:rPr>
              <w:t>行政</w:t>
            </w:r>
          </w:p>
          <w:p w14:paraId="18A69C13">
            <w:pPr>
              <w:pStyle w:val="6"/>
              <w:spacing w:before="57" w:line="225" w:lineRule="auto"/>
              <w:ind w:left="266"/>
            </w:pPr>
            <w:r>
              <w:rPr>
                <w:spacing w:val="-7"/>
              </w:rPr>
              <w:t>处罚</w:t>
            </w:r>
          </w:p>
        </w:tc>
        <w:tc>
          <w:tcPr>
            <w:tcW w:w="1084" w:type="dxa"/>
            <w:vAlign w:val="top"/>
          </w:tcPr>
          <w:p w14:paraId="7FB02775">
            <w:pPr>
              <w:pStyle w:val="6"/>
              <w:spacing w:before="67" w:line="233" w:lineRule="auto"/>
              <w:ind w:left="312"/>
            </w:pPr>
            <w:r>
              <w:rPr>
                <w:spacing w:val="-8"/>
              </w:rPr>
              <w:t>行政</w:t>
            </w:r>
          </w:p>
          <w:p w14:paraId="0A25BCCC">
            <w:pPr>
              <w:pStyle w:val="6"/>
              <w:spacing w:before="57" w:line="225" w:lineRule="auto"/>
              <w:ind w:left="311"/>
            </w:pPr>
            <w:r>
              <w:rPr>
                <w:spacing w:val="-7"/>
              </w:rPr>
              <w:t>处罚</w:t>
            </w:r>
          </w:p>
        </w:tc>
        <w:tc>
          <w:tcPr>
            <w:tcW w:w="1099" w:type="dxa"/>
            <w:vAlign w:val="top"/>
          </w:tcPr>
          <w:p w14:paraId="7B8929F2">
            <w:pPr>
              <w:spacing w:before="245" w:line="315" w:lineRule="exact"/>
              <w:ind w:left="500"/>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8</w:t>
            </w:r>
          </w:p>
        </w:tc>
        <w:tc>
          <w:tcPr>
            <w:tcW w:w="3723" w:type="dxa"/>
            <w:vAlign w:val="top"/>
          </w:tcPr>
          <w:p w14:paraId="22869191">
            <w:pPr>
              <w:pStyle w:val="6"/>
              <w:spacing w:before="266" w:line="231" w:lineRule="auto"/>
              <w:ind w:left="116"/>
            </w:pPr>
            <w:r>
              <w:rPr>
                <w:spacing w:val="-1"/>
              </w:rPr>
              <w:t>被医保部门给予行政处罚情况。</w:t>
            </w:r>
          </w:p>
        </w:tc>
        <w:tc>
          <w:tcPr>
            <w:tcW w:w="4842" w:type="dxa"/>
            <w:vAlign w:val="top"/>
          </w:tcPr>
          <w:p w14:paraId="7CDF1785">
            <w:pPr>
              <w:pStyle w:val="6"/>
              <w:spacing w:before="45" w:line="256" w:lineRule="auto"/>
              <w:ind w:left="119" w:right="230" w:hanging="4"/>
            </w:pPr>
            <w:r>
              <w:rPr>
                <w:spacing w:val="-1"/>
              </w:rPr>
              <w:t>每被医保行政部门给予行政处罚一次，扣</w:t>
            </w:r>
            <w:r>
              <w:rPr>
                <w:rFonts w:ascii="Times New Roman" w:hAnsi="Times New Roman" w:eastAsia="Times New Roman" w:cs="Times New Roman"/>
                <w:spacing w:val="-1"/>
              </w:rPr>
              <w:t>2</w:t>
            </w:r>
            <w:r>
              <w:rPr>
                <w:spacing w:val="-8"/>
              </w:rPr>
              <w:t>分。</w:t>
            </w:r>
          </w:p>
        </w:tc>
      </w:tr>
      <w:tr w14:paraId="46836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5" w:type="dxa"/>
            <w:vAlign w:val="top"/>
          </w:tcPr>
          <w:p w14:paraId="79AD8893">
            <w:pPr>
              <w:spacing w:line="258" w:lineRule="auto"/>
              <w:rPr>
                <w:rFonts w:ascii="Arial"/>
                <w:sz w:val="21"/>
              </w:rPr>
            </w:pPr>
          </w:p>
          <w:p w14:paraId="5CB6197E">
            <w:pPr>
              <w:spacing w:line="258" w:lineRule="auto"/>
              <w:rPr>
                <w:rFonts w:ascii="Arial"/>
                <w:sz w:val="21"/>
              </w:rPr>
            </w:pPr>
          </w:p>
          <w:p w14:paraId="274E7330">
            <w:pPr>
              <w:spacing w:line="258" w:lineRule="auto"/>
              <w:rPr>
                <w:rFonts w:ascii="Arial"/>
                <w:sz w:val="21"/>
              </w:rPr>
            </w:pPr>
          </w:p>
          <w:p w14:paraId="2122E287">
            <w:pPr>
              <w:spacing w:before="69" w:line="315" w:lineRule="exact"/>
              <w:ind w:left="35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24</w:t>
            </w:r>
          </w:p>
        </w:tc>
        <w:tc>
          <w:tcPr>
            <w:tcW w:w="1304" w:type="dxa"/>
            <w:vAlign w:val="top"/>
          </w:tcPr>
          <w:p w14:paraId="2E1D18BB">
            <w:pPr>
              <w:spacing w:line="287" w:lineRule="auto"/>
              <w:rPr>
                <w:rFonts w:ascii="Arial"/>
                <w:sz w:val="21"/>
              </w:rPr>
            </w:pPr>
          </w:p>
          <w:p w14:paraId="6A3BAAED">
            <w:pPr>
              <w:spacing w:line="287" w:lineRule="auto"/>
              <w:rPr>
                <w:rFonts w:ascii="Arial"/>
                <w:sz w:val="21"/>
              </w:rPr>
            </w:pPr>
          </w:p>
          <w:p w14:paraId="41BDBF4F">
            <w:pPr>
              <w:pStyle w:val="6"/>
              <w:spacing w:before="88" w:line="284" w:lineRule="auto"/>
              <w:ind w:left="118" w:right="234"/>
            </w:pPr>
            <w:r>
              <w:rPr>
                <w:spacing w:val="-4"/>
              </w:rPr>
              <w:t>违法违规</w:t>
            </w:r>
            <w:r>
              <w:rPr>
                <w:spacing w:val="-7"/>
              </w:rPr>
              <w:t>违约</w:t>
            </w:r>
          </w:p>
        </w:tc>
        <w:tc>
          <w:tcPr>
            <w:tcW w:w="994" w:type="dxa"/>
            <w:vAlign w:val="top"/>
          </w:tcPr>
          <w:p w14:paraId="69218369">
            <w:pPr>
              <w:spacing w:line="287" w:lineRule="auto"/>
              <w:rPr>
                <w:rFonts w:ascii="Arial"/>
                <w:sz w:val="21"/>
              </w:rPr>
            </w:pPr>
          </w:p>
          <w:p w14:paraId="393D5017">
            <w:pPr>
              <w:spacing w:line="288" w:lineRule="auto"/>
              <w:rPr>
                <w:rFonts w:ascii="Arial"/>
                <w:sz w:val="21"/>
              </w:rPr>
            </w:pPr>
          </w:p>
          <w:p w14:paraId="31330A0B">
            <w:pPr>
              <w:pStyle w:val="6"/>
              <w:spacing w:before="88" w:line="233" w:lineRule="auto"/>
              <w:ind w:left="277"/>
            </w:pPr>
            <w:r>
              <w:rPr>
                <w:spacing w:val="-13"/>
              </w:rPr>
              <w:t>费用</w:t>
            </w:r>
          </w:p>
          <w:p w14:paraId="38D64F81">
            <w:pPr>
              <w:pStyle w:val="6"/>
              <w:spacing w:before="60" w:line="231" w:lineRule="auto"/>
              <w:ind w:left="266"/>
            </w:pPr>
            <w:r>
              <w:rPr>
                <w:spacing w:val="-7"/>
              </w:rPr>
              <w:t>处理</w:t>
            </w:r>
          </w:p>
        </w:tc>
        <w:tc>
          <w:tcPr>
            <w:tcW w:w="1084" w:type="dxa"/>
            <w:vAlign w:val="top"/>
          </w:tcPr>
          <w:p w14:paraId="1B28C8C9">
            <w:pPr>
              <w:spacing w:line="377" w:lineRule="auto"/>
              <w:rPr>
                <w:rFonts w:ascii="Arial"/>
                <w:sz w:val="21"/>
              </w:rPr>
            </w:pPr>
          </w:p>
          <w:p w14:paraId="2D90CB7F">
            <w:pPr>
              <w:pStyle w:val="6"/>
              <w:spacing w:before="88" w:line="235" w:lineRule="auto"/>
              <w:ind w:left="115"/>
            </w:pPr>
            <w:r>
              <w:rPr>
                <w:spacing w:val="-22"/>
              </w:rPr>
              <w:t>追回、拒</w:t>
            </w:r>
          </w:p>
          <w:p w14:paraId="2B63F015">
            <w:pPr>
              <w:pStyle w:val="6"/>
              <w:spacing w:before="57" w:line="233" w:lineRule="auto"/>
              <w:ind w:left="190"/>
            </w:pPr>
            <w:r>
              <w:rPr>
                <w:spacing w:val="-5"/>
              </w:rPr>
              <w:t>付费用</w:t>
            </w:r>
          </w:p>
          <w:p w14:paraId="318C60B7">
            <w:pPr>
              <w:pStyle w:val="6"/>
              <w:spacing w:before="57" w:line="234" w:lineRule="auto"/>
              <w:ind w:left="357"/>
            </w:pPr>
            <w:r>
              <w:rPr>
                <w:spacing w:val="-30"/>
              </w:rPr>
              <w:t>占比</w:t>
            </w:r>
          </w:p>
        </w:tc>
        <w:tc>
          <w:tcPr>
            <w:tcW w:w="1099" w:type="dxa"/>
            <w:vAlign w:val="top"/>
          </w:tcPr>
          <w:p w14:paraId="213CD240">
            <w:pPr>
              <w:spacing w:line="258" w:lineRule="auto"/>
              <w:rPr>
                <w:rFonts w:ascii="Arial"/>
                <w:sz w:val="21"/>
              </w:rPr>
            </w:pPr>
          </w:p>
          <w:p w14:paraId="2D761ECD">
            <w:pPr>
              <w:spacing w:line="258" w:lineRule="auto"/>
              <w:rPr>
                <w:rFonts w:ascii="Arial"/>
                <w:sz w:val="21"/>
              </w:rPr>
            </w:pPr>
          </w:p>
          <w:p w14:paraId="1E8CA16E">
            <w:pPr>
              <w:spacing w:line="258" w:lineRule="auto"/>
              <w:rPr>
                <w:rFonts w:ascii="Arial"/>
                <w:sz w:val="21"/>
              </w:rPr>
            </w:pPr>
          </w:p>
          <w:p w14:paraId="2225B505">
            <w:pPr>
              <w:spacing w:before="69" w:line="315" w:lineRule="exact"/>
              <w:ind w:left="496"/>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6</w:t>
            </w:r>
          </w:p>
        </w:tc>
        <w:tc>
          <w:tcPr>
            <w:tcW w:w="3723" w:type="dxa"/>
            <w:vAlign w:val="top"/>
          </w:tcPr>
          <w:p w14:paraId="009BAD26">
            <w:pPr>
              <w:spacing w:line="376" w:lineRule="auto"/>
              <w:rPr>
                <w:rFonts w:ascii="Arial"/>
                <w:sz w:val="21"/>
              </w:rPr>
            </w:pPr>
          </w:p>
          <w:p w14:paraId="4BF987EA">
            <w:pPr>
              <w:pStyle w:val="6"/>
              <w:spacing w:before="88" w:line="279" w:lineRule="auto"/>
              <w:ind w:left="117" w:right="60" w:firstLine="3"/>
              <w:jc w:val="both"/>
            </w:pPr>
            <w:r>
              <w:rPr>
                <w:spacing w:val="-2"/>
              </w:rPr>
              <w:t>对定点零售药店医保违规行为的</w:t>
            </w:r>
            <w:r>
              <w:rPr>
                <w:spacing w:val="-5"/>
              </w:rPr>
              <w:t>处理方式，对已支付的本金追回，</w:t>
            </w:r>
            <w:r>
              <w:rPr>
                <w:spacing w:val="-2"/>
              </w:rPr>
              <w:t>对未支付的本金不再支付。</w:t>
            </w:r>
          </w:p>
        </w:tc>
        <w:tc>
          <w:tcPr>
            <w:tcW w:w="4842" w:type="dxa"/>
            <w:vAlign w:val="top"/>
          </w:tcPr>
          <w:p w14:paraId="5247CB67">
            <w:pPr>
              <w:pStyle w:val="6"/>
              <w:spacing w:before="45" w:line="277" w:lineRule="auto"/>
              <w:ind w:left="115" w:right="35" w:firstLine="8"/>
              <w:jc w:val="both"/>
            </w:pPr>
            <w:r>
              <w:rPr>
                <w:spacing w:val="1"/>
              </w:rPr>
              <w:t>计算公式：追回、拒付费用</w:t>
            </w:r>
            <w:r>
              <w:rPr>
                <w:rFonts w:ascii="Times New Roman" w:hAnsi="Times New Roman" w:eastAsia="Times New Roman" w:cs="Times New Roman"/>
                <w:spacing w:val="1"/>
              </w:rPr>
              <w:t>/</w:t>
            </w:r>
            <w:r>
              <w:rPr>
                <w:spacing w:val="1"/>
              </w:rPr>
              <w:t>医保总额费用；</w:t>
            </w:r>
            <w:r>
              <w:rPr>
                <w:spacing w:val="-6"/>
              </w:rPr>
              <w:t>低优指标，指标为</w:t>
            </w:r>
            <w:r>
              <w:rPr>
                <w:rFonts w:ascii="Times New Roman" w:hAnsi="Times New Roman" w:eastAsia="Times New Roman" w:cs="Times New Roman"/>
                <w:spacing w:val="-6"/>
              </w:rPr>
              <w:t>0</w:t>
            </w:r>
            <w:r>
              <w:rPr>
                <w:spacing w:val="-6"/>
              </w:rPr>
              <w:t>得满分，</w:t>
            </w:r>
            <w:r>
              <w:rPr>
                <w:rFonts w:ascii="Times New Roman" w:hAnsi="Times New Roman" w:eastAsia="Times New Roman" w:cs="Times New Roman"/>
                <w:spacing w:val="-6"/>
              </w:rPr>
              <w:t>[0-2%]</w:t>
            </w:r>
            <w:r>
              <w:rPr>
                <w:spacing w:val="-6"/>
              </w:rPr>
              <w:t>得</w:t>
            </w:r>
            <w:r>
              <w:rPr>
                <w:rFonts w:ascii="Times New Roman" w:hAnsi="Times New Roman" w:eastAsia="Times New Roman" w:cs="Times New Roman"/>
                <w:spacing w:val="-6"/>
              </w:rPr>
              <w:t>3</w:t>
            </w:r>
            <w:r>
              <w:rPr>
                <w:spacing w:val="-6"/>
              </w:rPr>
              <w:t>分，</w:t>
            </w:r>
            <w:r>
              <w:rPr>
                <w:spacing w:val="-7"/>
              </w:rPr>
              <w:t>每增加</w:t>
            </w:r>
            <w:r>
              <w:rPr>
                <w:rFonts w:ascii="Times New Roman" w:hAnsi="Times New Roman" w:eastAsia="Times New Roman" w:cs="Times New Roman"/>
                <w:spacing w:val="-7"/>
              </w:rPr>
              <w:t>1%</w:t>
            </w:r>
            <w:r>
              <w:rPr>
                <w:spacing w:val="-7"/>
              </w:rPr>
              <w:t>扣</w:t>
            </w:r>
            <w:r>
              <w:rPr>
                <w:rFonts w:ascii="Times New Roman" w:hAnsi="Times New Roman" w:eastAsia="Times New Roman" w:cs="Times New Roman"/>
                <w:spacing w:val="-7"/>
              </w:rPr>
              <w:t>1</w:t>
            </w:r>
            <w:r>
              <w:rPr>
                <w:spacing w:val="-7"/>
              </w:rPr>
              <w:t>分，扣完为止；</w:t>
            </w:r>
          </w:p>
          <w:p w14:paraId="17F1EF6A">
            <w:pPr>
              <w:pStyle w:val="6"/>
              <w:spacing w:before="6" w:line="248" w:lineRule="auto"/>
              <w:ind w:left="124" w:right="170" w:hanging="4"/>
              <w:jc w:val="both"/>
            </w:pPr>
            <w:r>
              <w:rPr>
                <w:spacing w:val="-1"/>
              </w:rPr>
              <w:t>未采集到该项数据以及数据缺失的按得分系</w:t>
            </w:r>
            <w:r>
              <w:rPr>
                <w:spacing w:val="-7"/>
              </w:rPr>
              <w:t>数</w:t>
            </w:r>
            <w:r>
              <w:rPr>
                <w:rFonts w:ascii="Times New Roman" w:hAnsi="Times New Roman" w:eastAsia="Times New Roman" w:cs="Times New Roman"/>
                <w:spacing w:val="-7"/>
              </w:rPr>
              <w:t>0.5</w:t>
            </w:r>
            <w:r>
              <w:rPr>
                <w:spacing w:val="-7"/>
              </w:rPr>
              <w:t>计分。</w:t>
            </w:r>
          </w:p>
        </w:tc>
      </w:tr>
      <w:tr w14:paraId="11A41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945" w:type="dxa"/>
            <w:vAlign w:val="top"/>
          </w:tcPr>
          <w:p w14:paraId="6434C7B7">
            <w:pPr>
              <w:spacing w:line="293" w:lineRule="auto"/>
              <w:rPr>
                <w:rFonts w:ascii="Arial"/>
                <w:sz w:val="21"/>
              </w:rPr>
            </w:pPr>
          </w:p>
          <w:p w14:paraId="17D2C746">
            <w:pPr>
              <w:spacing w:line="293" w:lineRule="auto"/>
              <w:rPr>
                <w:rFonts w:ascii="Arial"/>
                <w:sz w:val="21"/>
              </w:rPr>
            </w:pPr>
          </w:p>
          <w:p w14:paraId="3D60F1C2">
            <w:pPr>
              <w:spacing w:line="293" w:lineRule="auto"/>
              <w:rPr>
                <w:rFonts w:ascii="Arial"/>
                <w:sz w:val="21"/>
              </w:rPr>
            </w:pPr>
          </w:p>
          <w:p w14:paraId="2AAF241A">
            <w:pPr>
              <w:spacing w:line="294" w:lineRule="auto"/>
              <w:rPr>
                <w:rFonts w:ascii="Arial"/>
                <w:sz w:val="21"/>
              </w:rPr>
            </w:pPr>
          </w:p>
          <w:p w14:paraId="47F0240B">
            <w:pPr>
              <w:spacing w:before="69" w:line="315" w:lineRule="exact"/>
              <w:ind w:left="354"/>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25</w:t>
            </w:r>
          </w:p>
        </w:tc>
        <w:tc>
          <w:tcPr>
            <w:tcW w:w="1304" w:type="dxa"/>
            <w:vAlign w:val="top"/>
          </w:tcPr>
          <w:p w14:paraId="3E4FE658">
            <w:pPr>
              <w:spacing w:line="293" w:lineRule="auto"/>
              <w:rPr>
                <w:rFonts w:ascii="Arial"/>
                <w:sz w:val="21"/>
              </w:rPr>
            </w:pPr>
          </w:p>
          <w:p w14:paraId="250E0F5A">
            <w:pPr>
              <w:spacing w:line="294" w:lineRule="auto"/>
              <w:rPr>
                <w:rFonts w:ascii="Arial"/>
                <w:sz w:val="21"/>
              </w:rPr>
            </w:pPr>
          </w:p>
          <w:p w14:paraId="2295C0C2">
            <w:pPr>
              <w:spacing w:line="294" w:lineRule="auto"/>
              <w:rPr>
                <w:rFonts w:ascii="Arial"/>
                <w:sz w:val="21"/>
              </w:rPr>
            </w:pPr>
          </w:p>
          <w:p w14:paraId="2039D14B">
            <w:pPr>
              <w:spacing w:line="294" w:lineRule="auto"/>
              <w:rPr>
                <w:rFonts w:ascii="Arial"/>
                <w:sz w:val="21"/>
              </w:rPr>
            </w:pPr>
          </w:p>
          <w:p w14:paraId="62BB4F48">
            <w:pPr>
              <w:pStyle w:val="6"/>
              <w:spacing w:before="87" w:line="233" w:lineRule="auto"/>
              <w:ind w:left="179"/>
            </w:pPr>
            <w:r>
              <w:rPr>
                <w:spacing w:val="-4"/>
              </w:rPr>
              <w:t>表彰奖励</w:t>
            </w:r>
          </w:p>
        </w:tc>
        <w:tc>
          <w:tcPr>
            <w:tcW w:w="994" w:type="dxa"/>
            <w:vAlign w:val="top"/>
          </w:tcPr>
          <w:p w14:paraId="7B1AF08A">
            <w:pPr>
              <w:spacing w:line="270" w:lineRule="auto"/>
              <w:rPr>
                <w:rFonts w:ascii="Arial"/>
                <w:sz w:val="21"/>
              </w:rPr>
            </w:pPr>
          </w:p>
          <w:p w14:paraId="4AF3B6C8">
            <w:pPr>
              <w:spacing w:line="270" w:lineRule="auto"/>
              <w:rPr>
                <w:rFonts w:ascii="Arial"/>
                <w:sz w:val="21"/>
              </w:rPr>
            </w:pPr>
          </w:p>
          <w:p w14:paraId="5762DA31">
            <w:pPr>
              <w:spacing w:line="270" w:lineRule="auto"/>
              <w:rPr>
                <w:rFonts w:ascii="Arial"/>
                <w:sz w:val="21"/>
              </w:rPr>
            </w:pPr>
          </w:p>
          <w:p w14:paraId="5E69ABF4">
            <w:pPr>
              <w:spacing w:line="270" w:lineRule="auto"/>
              <w:rPr>
                <w:rFonts w:ascii="Arial"/>
                <w:sz w:val="21"/>
              </w:rPr>
            </w:pPr>
          </w:p>
          <w:p w14:paraId="187EA393">
            <w:pPr>
              <w:spacing w:line="270" w:lineRule="auto"/>
              <w:rPr>
                <w:rFonts w:ascii="Arial"/>
                <w:sz w:val="21"/>
              </w:rPr>
            </w:pPr>
          </w:p>
          <w:p w14:paraId="6F755040">
            <w:pPr>
              <w:spacing w:before="69" w:line="115" w:lineRule="exact"/>
              <w:ind w:left="464"/>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1084" w:type="dxa"/>
            <w:vAlign w:val="top"/>
          </w:tcPr>
          <w:p w14:paraId="794AD27B">
            <w:pPr>
              <w:spacing w:line="270" w:lineRule="auto"/>
              <w:rPr>
                <w:rFonts w:ascii="Arial"/>
                <w:sz w:val="21"/>
              </w:rPr>
            </w:pPr>
          </w:p>
          <w:p w14:paraId="5FFD1117">
            <w:pPr>
              <w:spacing w:line="270" w:lineRule="auto"/>
              <w:rPr>
                <w:rFonts w:ascii="Arial"/>
                <w:sz w:val="21"/>
              </w:rPr>
            </w:pPr>
          </w:p>
          <w:p w14:paraId="3C3EC497">
            <w:pPr>
              <w:spacing w:line="270" w:lineRule="auto"/>
              <w:rPr>
                <w:rFonts w:ascii="Arial"/>
                <w:sz w:val="21"/>
              </w:rPr>
            </w:pPr>
          </w:p>
          <w:p w14:paraId="3DB55EB6">
            <w:pPr>
              <w:spacing w:line="270" w:lineRule="auto"/>
              <w:rPr>
                <w:rFonts w:ascii="Arial"/>
                <w:sz w:val="21"/>
              </w:rPr>
            </w:pPr>
          </w:p>
          <w:p w14:paraId="57CC1947">
            <w:pPr>
              <w:spacing w:line="270" w:lineRule="auto"/>
              <w:rPr>
                <w:rFonts w:ascii="Arial"/>
                <w:sz w:val="21"/>
              </w:rPr>
            </w:pPr>
          </w:p>
          <w:p w14:paraId="28AB3F91">
            <w:pPr>
              <w:spacing w:before="69" w:line="115" w:lineRule="exact"/>
              <w:ind w:left="509"/>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1099" w:type="dxa"/>
            <w:vAlign w:val="top"/>
          </w:tcPr>
          <w:p w14:paraId="118C4E88">
            <w:pPr>
              <w:spacing w:line="270" w:lineRule="auto"/>
              <w:rPr>
                <w:rFonts w:ascii="Arial"/>
                <w:sz w:val="21"/>
              </w:rPr>
            </w:pPr>
          </w:p>
          <w:p w14:paraId="63D7F0FD">
            <w:pPr>
              <w:spacing w:line="270" w:lineRule="auto"/>
              <w:rPr>
                <w:rFonts w:ascii="Arial"/>
                <w:sz w:val="21"/>
              </w:rPr>
            </w:pPr>
          </w:p>
          <w:p w14:paraId="3D4617F8">
            <w:pPr>
              <w:spacing w:line="270" w:lineRule="auto"/>
              <w:rPr>
                <w:rFonts w:ascii="Arial"/>
                <w:sz w:val="21"/>
              </w:rPr>
            </w:pPr>
          </w:p>
          <w:p w14:paraId="5CB2079D">
            <w:pPr>
              <w:spacing w:line="270" w:lineRule="auto"/>
              <w:rPr>
                <w:rFonts w:ascii="Arial"/>
                <w:sz w:val="21"/>
              </w:rPr>
            </w:pPr>
          </w:p>
          <w:p w14:paraId="4E4EAD4A">
            <w:pPr>
              <w:spacing w:line="270" w:lineRule="auto"/>
              <w:rPr>
                <w:rFonts w:ascii="Arial"/>
                <w:sz w:val="21"/>
              </w:rPr>
            </w:pPr>
          </w:p>
          <w:p w14:paraId="2F5B7FB3">
            <w:pPr>
              <w:spacing w:before="69" w:line="115" w:lineRule="exact"/>
              <w:ind w:left="517"/>
              <w:rPr>
                <w:rFonts w:ascii="Times New Roman" w:hAnsi="Times New Roman" w:eastAsia="Times New Roman" w:cs="Times New Roman"/>
                <w:sz w:val="24"/>
                <w:szCs w:val="24"/>
              </w:rPr>
            </w:pPr>
            <w:r>
              <w:rPr>
                <w:rFonts w:ascii="Times New Roman" w:hAnsi="Times New Roman" w:eastAsia="Times New Roman" w:cs="Times New Roman"/>
                <w:position w:val="-2"/>
                <w:sz w:val="24"/>
                <w:szCs w:val="24"/>
              </w:rPr>
              <w:t>-</w:t>
            </w:r>
          </w:p>
        </w:tc>
        <w:tc>
          <w:tcPr>
            <w:tcW w:w="3723" w:type="dxa"/>
            <w:vAlign w:val="top"/>
          </w:tcPr>
          <w:p w14:paraId="70691CA0">
            <w:pPr>
              <w:pStyle w:val="6"/>
              <w:spacing w:before="74" w:line="266" w:lineRule="auto"/>
              <w:ind w:left="118" w:right="104" w:firstLine="2"/>
            </w:pPr>
            <w:r>
              <w:rPr>
                <w:spacing w:val="-8"/>
              </w:rPr>
              <w:t>对举报欺诈骗保有重大贡献的；开</w:t>
            </w:r>
            <w:r>
              <w:rPr>
                <w:spacing w:val="-2"/>
              </w:rPr>
              <w:t>展或对医疗保障管理创新性工作的提出意见建议被医保部门采纳</w:t>
            </w:r>
            <w:r>
              <w:rPr>
                <w:spacing w:val="-8"/>
              </w:rPr>
              <w:t>的；受到市级以上医保部门表扬嘉奖并取得一定成果的；其他情况经</w:t>
            </w:r>
            <w:r>
              <w:rPr>
                <w:spacing w:val="-2"/>
              </w:rPr>
              <w:t>医保部门考察核实情况属实并经上会研究一致同意通过的。</w:t>
            </w:r>
          </w:p>
        </w:tc>
        <w:tc>
          <w:tcPr>
            <w:tcW w:w="4842" w:type="dxa"/>
            <w:vAlign w:val="top"/>
          </w:tcPr>
          <w:p w14:paraId="2545839D">
            <w:pPr>
              <w:spacing w:line="293" w:lineRule="auto"/>
              <w:rPr>
                <w:rFonts w:ascii="Arial"/>
                <w:sz w:val="21"/>
              </w:rPr>
            </w:pPr>
          </w:p>
          <w:p w14:paraId="41D40E74">
            <w:pPr>
              <w:spacing w:line="293" w:lineRule="auto"/>
              <w:rPr>
                <w:rFonts w:ascii="Arial"/>
                <w:sz w:val="21"/>
              </w:rPr>
            </w:pPr>
          </w:p>
          <w:p w14:paraId="62827A8E">
            <w:pPr>
              <w:spacing w:line="294" w:lineRule="auto"/>
              <w:rPr>
                <w:rFonts w:ascii="Arial"/>
                <w:sz w:val="21"/>
              </w:rPr>
            </w:pPr>
          </w:p>
          <w:p w14:paraId="06FC23F3">
            <w:pPr>
              <w:spacing w:line="294" w:lineRule="auto"/>
              <w:rPr>
                <w:rFonts w:ascii="Arial"/>
                <w:sz w:val="21"/>
              </w:rPr>
            </w:pPr>
          </w:p>
          <w:p w14:paraId="1FE7015F">
            <w:pPr>
              <w:pStyle w:val="6"/>
              <w:spacing w:before="88" w:line="230" w:lineRule="auto"/>
              <w:ind w:left="119"/>
            </w:pPr>
            <w:r>
              <w:rPr>
                <w:spacing w:val="-2"/>
              </w:rPr>
              <w:t>本项目为附加项，累计不超过</w:t>
            </w:r>
            <w:r>
              <w:rPr>
                <w:rFonts w:ascii="Times New Roman" w:hAnsi="Times New Roman" w:eastAsia="Times New Roman" w:cs="Times New Roman"/>
                <w:spacing w:val="-2"/>
              </w:rPr>
              <w:t>5</w:t>
            </w:r>
            <w:r>
              <w:rPr>
                <w:spacing w:val="-2"/>
              </w:rPr>
              <w:t>分。</w:t>
            </w:r>
          </w:p>
        </w:tc>
      </w:tr>
    </w:tbl>
    <w:p w14:paraId="5B89A2C9">
      <w:pPr>
        <w:rPr>
          <w:rFonts w:ascii="Arial"/>
          <w:sz w:val="21"/>
        </w:rPr>
      </w:pPr>
    </w:p>
    <w:p w14:paraId="46FE8BDC">
      <w:pPr>
        <w:rPr>
          <w:rFonts w:ascii="Arial" w:hAnsi="Arial" w:eastAsia="Arial" w:cs="Arial"/>
          <w:sz w:val="21"/>
          <w:szCs w:val="21"/>
        </w:rPr>
        <w:sectPr>
          <w:footerReference r:id="rId19" w:type="default"/>
          <w:pgSz w:w="16839" w:h="11906"/>
          <w:pgMar w:top="1012" w:right="1364" w:bottom="1166" w:left="1477" w:header="0" w:footer="800" w:gutter="0"/>
          <w:cols w:space="720" w:num="1"/>
        </w:sectPr>
      </w:pPr>
    </w:p>
    <w:p w14:paraId="20DBBAE9">
      <w:pPr>
        <w:spacing w:before="115" w:line="532" w:lineRule="exact"/>
        <w:ind w:left="144"/>
        <w:rPr>
          <w:rFonts w:ascii="Times New Roman" w:hAnsi="Times New Roman" w:eastAsia="Times New Roman" w:cs="Times New Roman"/>
          <w:sz w:val="31"/>
          <w:szCs w:val="31"/>
        </w:rPr>
      </w:pPr>
      <w:r>
        <w:rPr>
          <w:rFonts w:ascii="方正黑体_GBK" w:hAnsi="方正黑体_GBK" w:eastAsia="方正黑体_GBK" w:cs="方正黑体_GBK"/>
          <w:spacing w:val="23"/>
          <w:position w:val="5"/>
          <w:sz w:val="31"/>
          <w:szCs w:val="31"/>
        </w:rPr>
        <w:t>附件</w:t>
      </w:r>
      <w:r>
        <w:rPr>
          <w:rFonts w:ascii="Times New Roman" w:hAnsi="Times New Roman" w:eastAsia="Times New Roman" w:cs="Times New Roman"/>
          <w:spacing w:val="23"/>
          <w:position w:val="5"/>
          <w:sz w:val="31"/>
          <w:szCs w:val="31"/>
        </w:rPr>
        <w:t>3</w:t>
      </w:r>
    </w:p>
    <w:p w14:paraId="1E394429">
      <w:pPr>
        <w:spacing w:before="118" w:line="659" w:lineRule="exact"/>
        <w:ind w:left="3957"/>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重庆市医药机构相关人员信用评价标准</w:t>
      </w:r>
    </w:p>
    <w:p w14:paraId="0BEF8178">
      <w:pPr>
        <w:spacing w:line="76" w:lineRule="exact"/>
      </w:pPr>
    </w:p>
    <w:tbl>
      <w:tblPr>
        <w:tblStyle w:val="5"/>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7730"/>
        <w:gridCol w:w="4884"/>
      </w:tblGrid>
      <w:tr w14:paraId="324C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380" w:type="dxa"/>
            <w:vAlign w:val="top"/>
          </w:tcPr>
          <w:p w14:paraId="53B7AE19">
            <w:pPr>
              <w:spacing w:before="106" w:line="221" w:lineRule="auto"/>
              <w:ind w:left="217"/>
              <w:rPr>
                <w:rFonts w:ascii="黑体" w:hAnsi="黑体" w:eastAsia="黑体" w:cs="黑体"/>
                <w:sz w:val="24"/>
                <w:szCs w:val="24"/>
              </w:rPr>
            </w:pPr>
            <w:r>
              <w:rPr>
                <w:rFonts w:ascii="黑体" w:hAnsi="黑体" w:eastAsia="黑体" w:cs="黑体"/>
                <w:spacing w:val="-3"/>
                <w:sz w:val="24"/>
                <w:szCs w:val="24"/>
              </w:rPr>
              <w:t>信用等级</w:t>
            </w:r>
          </w:p>
        </w:tc>
        <w:tc>
          <w:tcPr>
            <w:tcW w:w="7730" w:type="dxa"/>
            <w:vAlign w:val="top"/>
          </w:tcPr>
          <w:p w14:paraId="1D1555FF">
            <w:pPr>
              <w:spacing w:before="107" w:line="222" w:lineRule="auto"/>
              <w:ind w:left="3393"/>
              <w:rPr>
                <w:rFonts w:ascii="黑体" w:hAnsi="黑体" w:eastAsia="黑体" w:cs="黑体"/>
                <w:sz w:val="24"/>
                <w:szCs w:val="24"/>
              </w:rPr>
            </w:pPr>
            <w:r>
              <w:rPr>
                <w:rFonts w:ascii="黑体" w:hAnsi="黑体" w:eastAsia="黑体" w:cs="黑体"/>
                <w:spacing w:val="-4"/>
                <w:sz w:val="24"/>
                <w:szCs w:val="24"/>
              </w:rPr>
              <w:t>记分情形</w:t>
            </w:r>
          </w:p>
        </w:tc>
        <w:tc>
          <w:tcPr>
            <w:tcW w:w="4884" w:type="dxa"/>
            <w:vAlign w:val="top"/>
          </w:tcPr>
          <w:p w14:paraId="38BA53AD">
            <w:pPr>
              <w:spacing w:before="107" w:line="222" w:lineRule="auto"/>
              <w:ind w:left="1970"/>
              <w:rPr>
                <w:rFonts w:ascii="黑体" w:hAnsi="黑体" w:eastAsia="黑体" w:cs="黑体"/>
                <w:sz w:val="24"/>
                <w:szCs w:val="24"/>
              </w:rPr>
            </w:pPr>
            <w:r>
              <w:rPr>
                <w:rFonts w:ascii="黑体" w:hAnsi="黑体" w:eastAsia="黑体" w:cs="黑体"/>
                <w:spacing w:val="-4"/>
                <w:sz w:val="24"/>
                <w:szCs w:val="24"/>
              </w:rPr>
              <w:t>记分标准</w:t>
            </w:r>
          </w:p>
        </w:tc>
      </w:tr>
      <w:tr w14:paraId="57ED0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380" w:type="dxa"/>
            <w:vAlign w:val="top"/>
          </w:tcPr>
          <w:p w14:paraId="54F602AD">
            <w:pPr>
              <w:spacing w:before="142" w:line="189" w:lineRule="auto"/>
              <w:ind w:left="603"/>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7730" w:type="dxa"/>
            <w:vAlign w:val="top"/>
          </w:tcPr>
          <w:p w14:paraId="6A553362">
            <w:pPr>
              <w:pStyle w:val="6"/>
              <w:spacing w:before="86" w:line="232" w:lineRule="auto"/>
              <w:ind w:left="3162"/>
            </w:pPr>
            <w:r>
              <w:rPr>
                <w:spacing w:val="-4"/>
              </w:rPr>
              <w:t>无记分情形。</w:t>
            </w:r>
          </w:p>
        </w:tc>
        <w:tc>
          <w:tcPr>
            <w:tcW w:w="4884" w:type="dxa"/>
            <w:vAlign w:val="top"/>
          </w:tcPr>
          <w:p w14:paraId="59A03D66">
            <w:pPr>
              <w:pStyle w:val="6"/>
              <w:spacing w:before="66" w:line="369" w:lineRule="exact"/>
              <w:ind w:left="2237"/>
            </w:pPr>
            <w:r>
              <w:rPr>
                <w:rFonts w:ascii="Times New Roman" w:hAnsi="Times New Roman" w:eastAsia="Times New Roman" w:cs="Times New Roman"/>
                <w:spacing w:val="-5"/>
                <w:position w:val="3"/>
              </w:rPr>
              <w:t>0</w:t>
            </w:r>
            <w:r>
              <w:rPr>
                <w:spacing w:val="-5"/>
                <w:position w:val="3"/>
              </w:rPr>
              <w:t>分</w:t>
            </w:r>
          </w:p>
        </w:tc>
      </w:tr>
      <w:tr w14:paraId="77131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1380" w:type="dxa"/>
            <w:vAlign w:val="top"/>
          </w:tcPr>
          <w:p w14:paraId="216A24BE">
            <w:pPr>
              <w:spacing w:line="317" w:lineRule="auto"/>
              <w:rPr>
                <w:rFonts w:ascii="Arial"/>
                <w:sz w:val="21"/>
              </w:rPr>
            </w:pPr>
          </w:p>
          <w:p w14:paraId="50D2AF0F">
            <w:pPr>
              <w:spacing w:line="317" w:lineRule="auto"/>
              <w:rPr>
                <w:rFonts w:ascii="Arial"/>
                <w:sz w:val="21"/>
              </w:rPr>
            </w:pPr>
          </w:p>
          <w:p w14:paraId="1F2E04DE">
            <w:pPr>
              <w:spacing w:line="317" w:lineRule="auto"/>
              <w:rPr>
                <w:rFonts w:ascii="Arial"/>
                <w:sz w:val="21"/>
              </w:rPr>
            </w:pPr>
          </w:p>
          <w:p w14:paraId="15E7E9B2">
            <w:pPr>
              <w:spacing w:before="69" w:line="185" w:lineRule="auto"/>
              <w:ind w:left="612"/>
              <w:rPr>
                <w:rFonts w:ascii="Times New Roman" w:hAnsi="Times New Roman" w:eastAsia="Times New Roman" w:cs="Times New Roman"/>
                <w:sz w:val="24"/>
                <w:szCs w:val="24"/>
              </w:rPr>
            </w:pPr>
            <w:r>
              <w:rPr>
                <w:rFonts w:ascii="Times New Roman" w:hAnsi="Times New Roman" w:eastAsia="Times New Roman" w:cs="Times New Roman"/>
                <w:sz w:val="24"/>
                <w:szCs w:val="24"/>
              </w:rPr>
              <w:t>B</w:t>
            </w:r>
          </w:p>
        </w:tc>
        <w:tc>
          <w:tcPr>
            <w:tcW w:w="7730" w:type="dxa"/>
            <w:vAlign w:val="top"/>
          </w:tcPr>
          <w:p w14:paraId="5A14385C">
            <w:pPr>
              <w:pStyle w:val="6"/>
              <w:spacing w:before="68" w:line="271" w:lineRule="auto"/>
              <w:ind w:left="125" w:right="240" w:firstLine="7"/>
            </w:pPr>
            <w:r>
              <w:rPr>
                <w:rFonts w:ascii="Times New Roman" w:hAnsi="Times New Roman" w:eastAsia="Times New Roman" w:cs="Times New Roman"/>
                <w:spacing w:val="-1"/>
                <w:position w:val="-1"/>
              </w:rPr>
              <w:t>1.</w:t>
            </w:r>
            <w:r>
              <w:rPr>
                <w:spacing w:val="-1"/>
              </w:rPr>
              <w:t>相关人员所在定点医药机构违反服务协议受到医保经办机构协议处理</w:t>
            </w:r>
            <w:r>
              <w:rPr>
                <w:spacing w:val="-2"/>
              </w:rPr>
              <w:t>并支付违约金，该人员负有责任的；</w:t>
            </w:r>
          </w:p>
          <w:p w14:paraId="5EFD8641">
            <w:pPr>
              <w:pStyle w:val="6"/>
              <w:spacing w:before="85" w:line="271" w:lineRule="auto"/>
              <w:ind w:left="117" w:right="103" w:hanging="8"/>
            </w:pPr>
            <w:r>
              <w:rPr>
                <w:rFonts w:ascii="Times New Roman" w:hAnsi="Times New Roman" w:eastAsia="Times New Roman" w:cs="Times New Roman"/>
                <w:spacing w:val="-3"/>
              </w:rPr>
              <w:t>2.</w:t>
            </w:r>
            <w:r>
              <w:rPr>
                <w:spacing w:val="-3"/>
              </w:rPr>
              <w:t>执行药品耗材集中带量采购政策中，公立医疗</w:t>
            </w:r>
            <w:r>
              <w:rPr>
                <w:spacing w:val="-4"/>
              </w:rPr>
              <w:t>机构相关人员无正当理由</w:t>
            </w:r>
            <w:r>
              <w:rPr>
                <w:spacing w:val="-1"/>
              </w:rPr>
              <w:t>超过规定要求使用高价非中选产品，被医保部门通报的；</w:t>
            </w:r>
          </w:p>
          <w:p w14:paraId="37DEA80C">
            <w:pPr>
              <w:pStyle w:val="6"/>
              <w:spacing w:before="86" w:line="367" w:lineRule="exact"/>
              <w:ind w:left="114"/>
            </w:pPr>
            <w:r>
              <w:rPr>
                <w:rFonts w:ascii="Times New Roman" w:hAnsi="Times New Roman" w:eastAsia="Times New Roman" w:cs="Times New Roman"/>
                <w:spacing w:val="-5"/>
                <w:position w:val="2"/>
              </w:rPr>
              <w:t>3.</w:t>
            </w:r>
            <w:r>
              <w:rPr>
                <w:spacing w:val="-5"/>
                <w:position w:val="2"/>
              </w:rPr>
              <w:t>其他应记</w:t>
            </w:r>
            <w:r>
              <w:rPr>
                <w:rFonts w:ascii="Times New Roman" w:hAnsi="Times New Roman" w:eastAsia="Times New Roman" w:cs="Times New Roman"/>
                <w:spacing w:val="-5"/>
                <w:position w:val="2"/>
              </w:rPr>
              <w:t>1</w:t>
            </w:r>
            <w:r>
              <w:rPr>
                <w:spacing w:val="-5"/>
                <w:position w:val="2"/>
              </w:rPr>
              <w:t>－</w:t>
            </w:r>
            <w:r>
              <w:rPr>
                <w:rFonts w:ascii="Times New Roman" w:hAnsi="Times New Roman" w:eastAsia="Times New Roman" w:cs="Times New Roman"/>
                <w:spacing w:val="-5"/>
                <w:position w:val="2"/>
              </w:rPr>
              <w:t>3</w:t>
            </w:r>
            <w:r>
              <w:rPr>
                <w:spacing w:val="-5"/>
                <w:position w:val="2"/>
              </w:rPr>
              <w:t>分的情形。</w:t>
            </w:r>
          </w:p>
        </w:tc>
        <w:tc>
          <w:tcPr>
            <w:tcW w:w="4884" w:type="dxa"/>
            <w:vAlign w:val="top"/>
          </w:tcPr>
          <w:p w14:paraId="2DC755D2">
            <w:pPr>
              <w:spacing w:line="326" w:lineRule="auto"/>
              <w:rPr>
                <w:rFonts w:ascii="Arial"/>
                <w:sz w:val="21"/>
              </w:rPr>
            </w:pPr>
          </w:p>
          <w:p w14:paraId="2F1C2AEA">
            <w:pPr>
              <w:spacing w:line="326" w:lineRule="auto"/>
              <w:rPr>
                <w:rFonts w:ascii="Arial"/>
                <w:sz w:val="21"/>
              </w:rPr>
            </w:pPr>
          </w:p>
          <w:p w14:paraId="2595F983">
            <w:pPr>
              <w:pStyle w:val="6"/>
              <w:spacing w:before="88" w:line="312" w:lineRule="auto"/>
              <w:ind w:left="131" w:right="239" w:hanging="10"/>
            </w:pPr>
            <w:r>
              <w:rPr>
                <w:spacing w:val="-3"/>
              </w:rPr>
              <w:t>根据行为性质和负有一般责任、重要责任、</w:t>
            </w:r>
            <w:r>
              <w:t>主要责任的责任程度，每次记</w:t>
            </w:r>
            <w:r>
              <w:rPr>
                <w:rFonts w:ascii="Times New Roman" w:hAnsi="Times New Roman" w:eastAsia="Times New Roman" w:cs="Times New Roman"/>
              </w:rPr>
              <w:t>1</w:t>
            </w:r>
            <w:r>
              <w:t>－</w:t>
            </w:r>
            <w:r>
              <w:rPr>
                <w:rFonts w:ascii="Times New Roman" w:hAnsi="Times New Roman" w:eastAsia="Times New Roman" w:cs="Times New Roman"/>
              </w:rPr>
              <w:t>3</w:t>
            </w:r>
            <w:r>
              <w:t>分。</w:t>
            </w:r>
          </w:p>
        </w:tc>
      </w:tr>
      <w:tr w14:paraId="22E61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5" w:hRule="atLeast"/>
        </w:trPr>
        <w:tc>
          <w:tcPr>
            <w:tcW w:w="1380" w:type="dxa"/>
            <w:vAlign w:val="top"/>
          </w:tcPr>
          <w:p w14:paraId="11CEFFF4">
            <w:pPr>
              <w:spacing w:line="292" w:lineRule="auto"/>
              <w:rPr>
                <w:rFonts w:ascii="Arial"/>
                <w:sz w:val="21"/>
              </w:rPr>
            </w:pPr>
          </w:p>
          <w:p w14:paraId="38BF5035">
            <w:pPr>
              <w:spacing w:line="292" w:lineRule="auto"/>
              <w:rPr>
                <w:rFonts w:ascii="Arial"/>
                <w:sz w:val="21"/>
              </w:rPr>
            </w:pPr>
          </w:p>
          <w:p w14:paraId="26CED9E4">
            <w:pPr>
              <w:spacing w:line="292" w:lineRule="auto"/>
              <w:rPr>
                <w:rFonts w:ascii="Arial"/>
                <w:sz w:val="21"/>
              </w:rPr>
            </w:pPr>
          </w:p>
          <w:p w14:paraId="7426CE6D">
            <w:pPr>
              <w:spacing w:line="293" w:lineRule="auto"/>
              <w:rPr>
                <w:rFonts w:ascii="Arial"/>
                <w:sz w:val="21"/>
              </w:rPr>
            </w:pPr>
          </w:p>
          <w:p w14:paraId="69BFDA2B">
            <w:pPr>
              <w:spacing w:before="69" w:line="188" w:lineRule="auto"/>
              <w:ind w:left="617"/>
              <w:rPr>
                <w:rFonts w:ascii="Times New Roman" w:hAnsi="Times New Roman" w:eastAsia="Times New Roman" w:cs="Times New Roman"/>
                <w:sz w:val="24"/>
                <w:szCs w:val="24"/>
              </w:rPr>
            </w:pPr>
            <w:r>
              <w:rPr>
                <w:rFonts w:ascii="Times New Roman" w:hAnsi="Times New Roman" w:eastAsia="Times New Roman" w:cs="Times New Roman"/>
                <w:sz w:val="24"/>
                <w:szCs w:val="24"/>
              </w:rPr>
              <w:t>C</w:t>
            </w:r>
          </w:p>
        </w:tc>
        <w:tc>
          <w:tcPr>
            <w:tcW w:w="7730" w:type="dxa"/>
            <w:vAlign w:val="top"/>
          </w:tcPr>
          <w:p w14:paraId="62D66890">
            <w:pPr>
              <w:pStyle w:val="6"/>
              <w:spacing w:before="65" w:line="282" w:lineRule="auto"/>
              <w:ind w:left="125" w:right="103" w:firstLine="7"/>
            </w:pPr>
            <w:r>
              <w:rPr>
                <w:rFonts w:ascii="Times New Roman" w:hAnsi="Times New Roman" w:eastAsia="Times New Roman" w:cs="Times New Roman"/>
                <w:spacing w:val="-4"/>
              </w:rPr>
              <w:t>1.</w:t>
            </w:r>
            <w:r>
              <w:rPr>
                <w:spacing w:val="-4"/>
              </w:rPr>
              <w:t>相关人员所在定点医药机构或科室涉及违反医疗保障相关法律法规，受</w:t>
            </w:r>
            <w:r>
              <w:rPr>
                <w:spacing w:val="-1"/>
              </w:rPr>
              <w:t>到医疗保障行政部门依据《条例》第三十八条、第三十九条作出行政处</w:t>
            </w:r>
            <w:r>
              <w:rPr>
                <w:spacing w:val="-2"/>
              </w:rPr>
              <w:t>罚，该人员负有责任的；</w:t>
            </w:r>
          </w:p>
          <w:p w14:paraId="490D03AA">
            <w:pPr>
              <w:pStyle w:val="6"/>
              <w:spacing w:before="85" w:line="272" w:lineRule="auto"/>
              <w:ind w:left="122" w:right="28" w:hanging="13"/>
            </w:pPr>
            <w:r>
              <w:rPr>
                <w:rFonts w:ascii="Times New Roman" w:hAnsi="Times New Roman" w:eastAsia="Times New Roman" w:cs="Times New Roman"/>
                <w:spacing w:val="-1"/>
              </w:rPr>
              <w:t>2.</w:t>
            </w:r>
            <w:r>
              <w:rPr>
                <w:spacing w:val="-1"/>
              </w:rPr>
              <w:t>相关人员所在定点医药机构违反服务协议受到医保经办机构协议处</w:t>
            </w:r>
            <w:r>
              <w:rPr>
                <w:spacing w:val="-2"/>
              </w:rPr>
              <w:t>理、</w:t>
            </w:r>
            <w:r>
              <w:rPr>
                <w:spacing w:val="-1"/>
              </w:rPr>
              <w:t>支付违约金并中止医保协议处理的，该人员负有责任的；</w:t>
            </w:r>
          </w:p>
          <w:p w14:paraId="1EA1E772">
            <w:pPr>
              <w:pStyle w:val="6"/>
              <w:spacing w:before="84" w:line="367" w:lineRule="exact"/>
              <w:ind w:left="114"/>
            </w:pPr>
            <w:r>
              <w:rPr>
                <w:rFonts w:ascii="Times New Roman" w:hAnsi="Times New Roman" w:eastAsia="Times New Roman" w:cs="Times New Roman"/>
                <w:spacing w:val="3"/>
                <w:position w:val="2"/>
              </w:rPr>
              <w:t>3.</w:t>
            </w:r>
            <w:r>
              <w:rPr>
                <w:spacing w:val="3"/>
                <w:position w:val="2"/>
              </w:rPr>
              <w:t>其他应记</w:t>
            </w:r>
            <w:r>
              <w:rPr>
                <w:rFonts w:ascii="Times New Roman" w:hAnsi="Times New Roman" w:eastAsia="Times New Roman" w:cs="Times New Roman"/>
                <w:spacing w:val="3"/>
                <w:position w:val="2"/>
              </w:rPr>
              <w:t>4</w:t>
            </w:r>
            <w:r>
              <w:rPr>
                <w:spacing w:val="3"/>
                <w:position w:val="2"/>
              </w:rPr>
              <w:t>－</w:t>
            </w:r>
            <w:r>
              <w:rPr>
                <w:rFonts w:ascii="Times New Roman" w:hAnsi="Times New Roman" w:eastAsia="Times New Roman" w:cs="Times New Roman"/>
                <w:spacing w:val="3"/>
                <w:position w:val="2"/>
              </w:rPr>
              <w:t>6</w:t>
            </w:r>
            <w:r>
              <w:rPr>
                <w:spacing w:val="3"/>
                <w:position w:val="2"/>
              </w:rPr>
              <w:t>分的情形。</w:t>
            </w:r>
          </w:p>
        </w:tc>
        <w:tc>
          <w:tcPr>
            <w:tcW w:w="4884" w:type="dxa"/>
            <w:vAlign w:val="top"/>
          </w:tcPr>
          <w:p w14:paraId="260D1E02">
            <w:pPr>
              <w:spacing w:line="291" w:lineRule="auto"/>
              <w:rPr>
                <w:rFonts w:ascii="Arial"/>
                <w:sz w:val="21"/>
              </w:rPr>
            </w:pPr>
          </w:p>
          <w:p w14:paraId="1560633E">
            <w:pPr>
              <w:spacing w:line="291" w:lineRule="auto"/>
              <w:rPr>
                <w:rFonts w:ascii="Arial"/>
                <w:sz w:val="21"/>
              </w:rPr>
            </w:pPr>
          </w:p>
          <w:p w14:paraId="5425FFE1">
            <w:pPr>
              <w:spacing w:line="292" w:lineRule="auto"/>
              <w:rPr>
                <w:rFonts w:ascii="Arial"/>
                <w:sz w:val="21"/>
              </w:rPr>
            </w:pPr>
          </w:p>
          <w:p w14:paraId="1960F984">
            <w:pPr>
              <w:pStyle w:val="6"/>
              <w:spacing w:before="88" w:line="310" w:lineRule="auto"/>
              <w:ind w:left="131" w:right="239" w:hanging="10"/>
            </w:pPr>
            <w:r>
              <w:rPr>
                <w:spacing w:val="-3"/>
              </w:rPr>
              <w:t>根据行为性质和负有一般责任、重要责任、</w:t>
            </w:r>
            <w:r>
              <w:rPr>
                <w:spacing w:val="1"/>
              </w:rPr>
              <w:t>主要责任的责任程度，每次记</w:t>
            </w:r>
            <w:r>
              <w:rPr>
                <w:rFonts w:ascii="Times New Roman" w:hAnsi="Times New Roman" w:eastAsia="Times New Roman" w:cs="Times New Roman"/>
                <w:spacing w:val="1"/>
              </w:rPr>
              <w:t>4</w:t>
            </w:r>
            <w:r>
              <w:rPr>
                <w:spacing w:val="1"/>
              </w:rPr>
              <w:t>－</w:t>
            </w:r>
            <w:r>
              <w:rPr>
                <w:rFonts w:ascii="Times New Roman" w:hAnsi="Times New Roman" w:eastAsia="Times New Roman" w:cs="Times New Roman"/>
                <w:spacing w:val="1"/>
              </w:rPr>
              <w:t>6</w:t>
            </w:r>
            <w:r>
              <w:rPr>
                <w:spacing w:val="1"/>
              </w:rPr>
              <w:t>分。</w:t>
            </w:r>
          </w:p>
        </w:tc>
      </w:tr>
    </w:tbl>
    <w:p w14:paraId="1599D2D5">
      <w:pPr>
        <w:rPr>
          <w:rFonts w:ascii="Arial"/>
          <w:sz w:val="21"/>
        </w:rPr>
      </w:pPr>
    </w:p>
    <w:p w14:paraId="06B5743E">
      <w:pPr>
        <w:rPr>
          <w:rFonts w:ascii="Arial" w:hAnsi="Arial" w:eastAsia="Arial" w:cs="Arial"/>
          <w:sz w:val="21"/>
          <w:szCs w:val="21"/>
        </w:rPr>
        <w:sectPr>
          <w:footerReference r:id="rId20" w:type="default"/>
          <w:pgSz w:w="16839" w:h="11906"/>
          <w:pgMar w:top="1012" w:right="1364" w:bottom="1166" w:left="1474" w:header="0" w:footer="800" w:gutter="0"/>
          <w:cols w:space="720" w:num="1"/>
        </w:sectPr>
      </w:pPr>
    </w:p>
    <w:tbl>
      <w:tblPr>
        <w:tblStyle w:val="5"/>
        <w:tblW w:w="139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7730"/>
        <w:gridCol w:w="4884"/>
      </w:tblGrid>
      <w:tr w14:paraId="06998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1380" w:type="dxa"/>
            <w:vAlign w:val="top"/>
          </w:tcPr>
          <w:p w14:paraId="517C38DE">
            <w:pPr>
              <w:spacing w:line="289" w:lineRule="auto"/>
              <w:rPr>
                <w:rFonts w:ascii="Arial"/>
                <w:sz w:val="21"/>
              </w:rPr>
            </w:pPr>
          </w:p>
          <w:p w14:paraId="4D5A5097">
            <w:pPr>
              <w:spacing w:line="289" w:lineRule="auto"/>
              <w:rPr>
                <w:rFonts w:ascii="Arial"/>
                <w:sz w:val="21"/>
              </w:rPr>
            </w:pPr>
          </w:p>
          <w:p w14:paraId="1F9A0471">
            <w:pPr>
              <w:spacing w:before="69" w:line="185" w:lineRule="auto"/>
              <w:ind w:left="605"/>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7730" w:type="dxa"/>
            <w:vAlign w:val="top"/>
          </w:tcPr>
          <w:p w14:paraId="3785AB92">
            <w:pPr>
              <w:pStyle w:val="6"/>
              <w:spacing w:before="91" w:line="285" w:lineRule="auto"/>
              <w:ind w:left="151" w:right="103" w:hanging="19"/>
            </w:pPr>
            <w:r>
              <w:rPr>
                <w:rFonts w:ascii="Times New Roman" w:hAnsi="Times New Roman" w:eastAsia="Times New Roman" w:cs="Times New Roman"/>
                <w:spacing w:val="-4"/>
              </w:rPr>
              <w:t>1.</w:t>
            </w:r>
            <w:r>
              <w:rPr>
                <w:spacing w:val="-4"/>
              </w:rPr>
              <w:t>为非登记备案相关人员，或登记备案状态为暂停、终止的相关责任人员冒名提供医保费用结算的；</w:t>
            </w:r>
          </w:p>
          <w:p w14:paraId="0F4F09DD">
            <w:pPr>
              <w:pStyle w:val="6"/>
              <w:spacing w:before="125" w:line="384" w:lineRule="exact"/>
              <w:ind w:left="109"/>
            </w:pPr>
            <w:r>
              <w:rPr>
                <w:rFonts w:ascii="Times New Roman" w:hAnsi="Times New Roman" w:eastAsia="Times New Roman" w:cs="Times New Roman"/>
                <w:spacing w:val="-1"/>
                <w:position w:val="3"/>
              </w:rPr>
              <w:t>2.</w:t>
            </w:r>
            <w:r>
              <w:rPr>
                <w:spacing w:val="-1"/>
                <w:position w:val="3"/>
              </w:rPr>
              <w:t>其他应记</w:t>
            </w:r>
            <w:r>
              <w:rPr>
                <w:rFonts w:ascii="Times New Roman" w:hAnsi="Times New Roman" w:eastAsia="Times New Roman" w:cs="Times New Roman"/>
                <w:spacing w:val="-1"/>
                <w:position w:val="3"/>
              </w:rPr>
              <w:t>7</w:t>
            </w:r>
            <w:r>
              <w:rPr>
                <w:spacing w:val="-1"/>
                <w:position w:val="3"/>
              </w:rPr>
              <w:t>－</w:t>
            </w:r>
            <w:r>
              <w:rPr>
                <w:rFonts w:ascii="Times New Roman" w:hAnsi="Times New Roman" w:eastAsia="Times New Roman" w:cs="Times New Roman"/>
                <w:spacing w:val="-1"/>
                <w:position w:val="3"/>
              </w:rPr>
              <w:t>9</w:t>
            </w:r>
            <w:r>
              <w:rPr>
                <w:spacing w:val="-1"/>
                <w:position w:val="3"/>
              </w:rPr>
              <w:t>分的情形。</w:t>
            </w:r>
          </w:p>
        </w:tc>
        <w:tc>
          <w:tcPr>
            <w:tcW w:w="4884" w:type="dxa"/>
            <w:vAlign w:val="top"/>
          </w:tcPr>
          <w:p w14:paraId="3CDCAEB5">
            <w:pPr>
              <w:spacing w:line="261" w:lineRule="auto"/>
              <w:rPr>
                <w:rFonts w:ascii="Arial"/>
                <w:sz w:val="21"/>
              </w:rPr>
            </w:pPr>
          </w:p>
          <w:p w14:paraId="71EC7CE6">
            <w:pPr>
              <w:pStyle w:val="6"/>
              <w:spacing w:before="87" w:line="340" w:lineRule="auto"/>
              <w:ind w:left="131" w:right="239" w:hanging="10"/>
            </w:pPr>
            <w:r>
              <w:rPr>
                <w:spacing w:val="-3"/>
              </w:rPr>
              <w:t>根据行为性质和负有一般责任、重要责任、</w:t>
            </w:r>
            <w:r>
              <w:rPr>
                <w:spacing w:val="1"/>
              </w:rPr>
              <w:t>主要责任的责任程度，每次记</w:t>
            </w:r>
            <w:r>
              <w:rPr>
                <w:rFonts w:ascii="Times New Roman" w:hAnsi="Times New Roman" w:eastAsia="Times New Roman" w:cs="Times New Roman"/>
                <w:spacing w:val="1"/>
              </w:rPr>
              <w:t>7</w:t>
            </w:r>
            <w:r>
              <w:rPr>
                <w:spacing w:val="1"/>
              </w:rPr>
              <w:t>－</w:t>
            </w:r>
            <w:r>
              <w:rPr>
                <w:rFonts w:ascii="Times New Roman" w:hAnsi="Times New Roman" w:eastAsia="Times New Roman" w:cs="Times New Roman"/>
                <w:spacing w:val="1"/>
              </w:rPr>
              <w:t>9</w:t>
            </w:r>
            <w:r>
              <w:rPr>
                <w:spacing w:val="1"/>
              </w:rPr>
              <w:t>分。</w:t>
            </w:r>
          </w:p>
        </w:tc>
      </w:tr>
      <w:tr w14:paraId="21B76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6" w:hRule="atLeast"/>
        </w:trPr>
        <w:tc>
          <w:tcPr>
            <w:tcW w:w="1380" w:type="dxa"/>
            <w:vAlign w:val="top"/>
          </w:tcPr>
          <w:p w14:paraId="488E8007">
            <w:pPr>
              <w:spacing w:line="252" w:lineRule="auto"/>
              <w:rPr>
                <w:rFonts w:ascii="Arial"/>
                <w:sz w:val="21"/>
              </w:rPr>
            </w:pPr>
          </w:p>
          <w:p w14:paraId="0112A8FD">
            <w:pPr>
              <w:spacing w:line="252" w:lineRule="auto"/>
              <w:rPr>
                <w:rFonts w:ascii="Arial"/>
                <w:sz w:val="21"/>
              </w:rPr>
            </w:pPr>
          </w:p>
          <w:p w14:paraId="695A6399">
            <w:pPr>
              <w:spacing w:line="252" w:lineRule="auto"/>
              <w:rPr>
                <w:rFonts w:ascii="Arial"/>
                <w:sz w:val="21"/>
              </w:rPr>
            </w:pPr>
          </w:p>
          <w:p w14:paraId="20589895">
            <w:pPr>
              <w:spacing w:line="252" w:lineRule="auto"/>
              <w:rPr>
                <w:rFonts w:ascii="Arial"/>
                <w:sz w:val="21"/>
              </w:rPr>
            </w:pPr>
          </w:p>
          <w:p w14:paraId="58FD7AF3">
            <w:pPr>
              <w:spacing w:line="253" w:lineRule="auto"/>
              <w:rPr>
                <w:rFonts w:ascii="Arial"/>
                <w:sz w:val="21"/>
              </w:rPr>
            </w:pPr>
          </w:p>
          <w:p w14:paraId="35850118">
            <w:pPr>
              <w:spacing w:line="253" w:lineRule="auto"/>
              <w:rPr>
                <w:rFonts w:ascii="Arial"/>
                <w:sz w:val="21"/>
              </w:rPr>
            </w:pPr>
          </w:p>
          <w:p w14:paraId="4748C09D">
            <w:pPr>
              <w:spacing w:line="253" w:lineRule="auto"/>
              <w:rPr>
                <w:rFonts w:ascii="Arial"/>
                <w:sz w:val="21"/>
              </w:rPr>
            </w:pPr>
          </w:p>
          <w:p w14:paraId="3D91567B">
            <w:pPr>
              <w:spacing w:before="69" w:line="185" w:lineRule="auto"/>
              <w:ind w:left="618"/>
              <w:rPr>
                <w:rFonts w:ascii="Times New Roman" w:hAnsi="Times New Roman" w:eastAsia="Times New Roman" w:cs="Times New Roman"/>
                <w:sz w:val="24"/>
                <w:szCs w:val="24"/>
              </w:rPr>
            </w:pPr>
            <w:r>
              <w:rPr>
                <w:rFonts w:ascii="Times New Roman" w:hAnsi="Times New Roman" w:eastAsia="Times New Roman" w:cs="Times New Roman"/>
                <w:sz w:val="24"/>
                <w:szCs w:val="24"/>
              </w:rPr>
              <w:t>E</w:t>
            </w:r>
          </w:p>
        </w:tc>
        <w:tc>
          <w:tcPr>
            <w:tcW w:w="7730" w:type="dxa"/>
            <w:vAlign w:val="top"/>
          </w:tcPr>
          <w:p w14:paraId="3F561730">
            <w:pPr>
              <w:pStyle w:val="6"/>
              <w:spacing w:before="85" w:line="300" w:lineRule="auto"/>
              <w:ind w:left="125" w:right="103" w:firstLine="7"/>
            </w:pPr>
            <w:r>
              <w:rPr>
                <w:rFonts w:ascii="Times New Roman" w:hAnsi="Times New Roman" w:eastAsia="Times New Roman" w:cs="Times New Roman"/>
                <w:spacing w:val="-4"/>
              </w:rPr>
              <w:t>1.</w:t>
            </w:r>
            <w:r>
              <w:rPr>
                <w:spacing w:val="-4"/>
              </w:rPr>
              <w:t>相关人员所在定点医药机构或科室涉及违反医疗保障相关法律法规，受</w:t>
            </w:r>
            <w:r>
              <w:rPr>
                <w:spacing w:val="-1"/>
              </w:rPr>
              <w:t>到医疗保障行政部门依据《条例》第四十条作出行政处罚，该人员负有</w:t>
            </w:r>
            <w:r>
              <w:rPr>
                <w:spacing w:val="-6"/>
              </w:rPr>
              <w:t>责任的；</w:t>
            </w:r>
          </w:p>
          <w:p w14:paraId="28D82CF0">
            <w:pPr>
              <w:pStyle w:val="6"/>
              <w:spacing w:before="126" w:line="285" w:lineRule="auto"/>
              <w:ind w:left="122" w:right="28" w:hanging="13"/>
            </w:pPr>
            <w:r>
              <w:rPr>
                <w:rFonts w:ascii="Times New Roman" w:hAnsi="Times New Roman" w:eastAsia="Times New Roman" w:cs="Times New Roman"/>
                <w:spacing w:val="-1"/>
              </w:rPr>
              <w:t>2.</w:t>
            </w:r>
            <w:r>
              <w:rPr>
                <w:spacing w:val="-1"/>
              </w:rPr>
              <w:t>相关人员所在定点医药机构违反服务协议受到医保经办机构协议处</w:t>
            </w:r>
            <w:r>
              <w:rPr>
                <w:spacing w:val="-2"/>
              </w:rPr>
              <w:t>理、</w:t>
            </w:r>
            <w:r>
              <w:rPr>
                <w:spacing w:val="-1"/>
              </w:rPr>
              <w:t>支付违约金并解除医保协议处理的，该人员负有责任的；</w:t>
            </w:r>
          </w:p>
          <w:p w14:paraId="481067C4">
            <w:pPr>
              <w:pStyle w:val="6"/>
              <w:spacing w:before="126" w:line="285" w:lineRule="auto"/>
              <w:ind w:left="129" w:right="103" w:hanging="15"/>
            </w:pPr>
            <w:r>
              <w:rPr>
                <w:rFonts w:ascii="Times New Roman" w:hAnsi="Times New Roman" w:eastAsia="Times New Roman" w:cs="Times New Roman"/>
                <w:spacing w:val="-4"/>
              </w:rPr>
              <w:t>3.</w:t>
            </w:r>
            <w:r>
              <w:rPr>
                <w:spacing w:val="-4"/>
              </w:rPr>
              <w:t>被行业主管部门注销注册、吊销或撤销卫生专业技术资格证书或执业证</w:t>
            </w:r>
            <w:r>
              <w:rPr>
                <w:spacing w:val="-9"/>
              </w:rPr>
              <w:t>书的；</w:t>
            </w:r>
          </w:p>
          <w:p w14:paraId="19E45B70">
            <w:pPr>
              <w:pStyle w:val="6"/>
              <w:spacing w:before="125" w:line="384" w:lineRule="exact"/>
              <w:ind w:left="108"/>
            </w:pPr>
            <w:r>
              <w:rPr>
                <w:rFonts w:ascii="Times New Roman" w:hAnsi="Times New Roman" w:eastAsia="Times New Roman" w:cs="Times New Roman"/>
                <w:spacing w:val="-4"/>
                <w:position w:val="3"/>
              </w:rPr>
              <w:t>4.</w:t>
            </w:r>
            <w:r>
              <w:rPr>
                <w:spacing w:val="-4"/>
                <w:position w:val="3"/>
              </w:rPr>
              <w:t>其他应记</w:t>
            </w:r>
            <w:r>
              <w:rPr>
                <w:rFonts w:ascii="Times New Roman" w:hAnsi="Times New Roman" w:eastAsia="Times New Roman" w:cs="Times New Roman"/>
                <w:spacing w:val="-4"/>
                <w:position w:val="3"/>
              </w:rPr>
              <w:t>10—12</w:t>
            </w:r>
            <w:r>
              <w:rPr>
                <w:spacing w:val="-4"/>
                <w:position w:val="3"/>
              </w:rPr>
              <w:t>分的情形。</w:t>
            </w:r>
          </w:p>
        </w:tc>
        <w:tc>
          <w:tcPr>
            <w:tcW w:w="4884" w:type="dxa"/>
            <w:vAlign w:val="top"/>
          </w:tcPr>
          <w:p w14:paraId="2D65C006">
            <w:pPr>
              <w:spacing w:line="241" w:lineRule="auto"/>
              <w:rPr>
                <w:rFonts w:ascii="Arial"/>
                <w:sz w:val="21"/>
              </w:rPr>
            </w:pPr>
          </w:p>
          <w:p w14:paraId="701CEFEB">
            <w:pPr>
              <w:spacing w:line="241" w:lineRule="auto"/>
              <w:rPr>
                <w:rFonts w:ascii="Arial"/>
                <w:sz w:val="21"/>
              </w:rPr>
            </w:pPr>
          </w:p>
          <w:p w14:paraId="4C8CCB2E">
            <w:pPr>
              <w:spacing w:line="242" w:lineRule="auto"/>
              <w:rPr>
                <w:rFonts w:ascii="Arial"/>
                <w:sz w:val="21"/>
              </w:rPr>
            </w:pPr>
          </w:p>
          <w:p w14:paraId="76DA3512">
            <w:pPr>
              <w:spacing w:line="242" w:lineRule="auto"/>
              <w:rPr>
                <w:rFonts w:ascii="Arial"/>
                <w:sz w:val="21"/>
              </w:rPr>
            </w:pPr>
          </w:p>
          <w:p w14:paraId="164D4467">
            <w:pPr>
              <w:spacing w:line="242" w:lineRule="auto"/>
              <w:rPr>
                <w:rFonts w:ascii="Arial"/>
                <w:sz w:val="21"/>
              </w:rPr>
            </w:pPr>
          </w:p>
          <w:p w14:paraId="09E2BD89">
            <w:pPr>
              <w:spacing w:line="242" w:lineRule="auto"/>
              <w:rPr>
                <w:rFonts w:ascii="Arial"/>
                <w:sz w:val="21"/>
              </w:rPr>
            </w:pPr>
          </w:p>
          <w:p w14:paraId="756C9624">
            <w:pPr>
              <w:pStyle w:val="6"/>
              <w:spacing w:before="88" w:line="340" w:lineRule="auto"/>
              <w:ind w:left="131" w:right="239" w:hanging="10"/>
            </w:pPr>
            <w:r>
              <w:rPr>
                <w:spacing w:val="-3"/>
              </w:rPr>
              <w:t>根据行为性质和负有一般责任、重要责任、</w:t>
            </w:r>
            <w:r>
              <w:rPr>
                <w:spacing w:val="-5"/>
              </w:rPr>
              <w:t>主要责任的责任程度，每次记</w:t>
            </w:r>
            <w:r>
              <w:rPr>
                <w:rFonts w:ascii="Times New Roman" w:hAnsi="Times New Roman" w:eastAsia="Times New Roman" w:cs="Times New Roman"/>
                <w:spacing w:val="-5"/>
              </w:rPr>
              <w:t>10</w:t>
            </w:r>
            <w:r>
              <w:rPr>
                <w:spacing w:val="-5"/>
              </w:rPr>
              <w:t>－</w:t>
            </w:r>
            <w:r>
              <w:rPr>
                <w:rFonts w:ascii="Times New Roman" w:hAnsi="Times New Roman" w:eastAsia="Times New Roman" w:cs="Times New Roman"/>
                <w:spacing w:val="-5"/>
              </w:rPr>
              <w:t>12</w:t>
            </w:r>
            <w:r>
              <w:rPr>
                <w:spacing w:val="-5"/>
              </w:rPr>
              <w:t>分。</w:t>
            </w:r>
          </w:p>
        </w:tc>
      </w:tr>
    </w:tbl>
    <w:p w14:paraId="3EEE44CB">
      <w:pPr>
        <w:rPr>
          <w:rFonts w:ascii="Arial"/>
          <w:sz w:val="21"/>
        </w:rPr>
      </w:pPr>
    </w:p>
    <w:p w14:paraId="35ECD366">
      <w:pPr>
        <w:rPr>
          <w:rFonts w:ascii="Arial" w:hAnsi="Arial" w:eastAsia="Arial" w:cs="Arial"/>
          <w:sz w:val="21"/>
          <w:szCs w:val="21"/>
        </w:rPr>
        <w:sectPr>
          <w:footerReference r:id="rId21" w:type="default"/>
          <w:pgSz w:w="16839" w:h="11906"/>
          <w:pgMar w:top="1012" w:right="1364" w:bottom="1166" w:left="1474" w:header="0" w:footer="800" w:gutter="0"/>
          <w:cols w:space="720" w:num="1"/>
        </w:sectPr>
      </w:pPr>
    </w:p>
    <w:p w14:paraId="5CC97C93">
      <w:pPr>
        <w:spacing w:before="115" w:line="532" w:lineRule="exact"/>
        <w:ind w:left="144"/>
        <w:rPr>
          <w:rFonts w:ascii="Times New Roman" w:hAnsi="Times New Roman" w:eastAsia="Times New Roman" w:cs="Times New Roman"/>
          <w:sz w:val="31"/>
          <w:szCs w:val="31"/>
        </w:rPr>
      </w:pPr>
      <w:r>
        <w:rPr>
          <w:rFonts w:ascii="方正黑体_GBK" w:hAnsi="方正黑体_GBK" w:eastAsia="方正黑体_GBK" w:cs="方正黑体_GBK"/>
          <w:spacing w:val="23"/>
          <w:position w:val="5"/>
          <w:sz w:val="31"/>
          <w:szCs w:val="31"/>
        </w:rPr>
        <w:t>附件</w:t>
      </w:r>
      <w:r>
        <w:rPr>
          <w:rFonts w:ascii="Times New Roman" w:hAnsi="Times New Roman" w:eastAsia="Times New Roman" w:cs="Times New Roman"/>
          <w:spacing w:val="23"/>
          <w:position w:val="5"/>
          <w:sz w:val="31"/>
          <w:szCs w:val="31"/>
        </w:rPr>
        <w:t>4</w:t>
      </w:r>
    </w:p>
    <w:p w14:paraId="70B1C5A7">
      <w:pPr>
        <w:spacing w:before="139" w:line="214" w:lineRule="auto"/>
        <w:ind w:left="371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重庆市参保人员失信等级评价标准</w:t>
      </w:r>
    </w:p>
    <w:p w14:paraId="38CA41DA">
      <w:pPr>
        <w:spacing w:line="141" w:lineRule="exact"/>
      </w:pPr>
    </w:p>
    <w:tbl>
      <w:tblPr>
        <w:tblStyle w:val="5"/>
        <w:tblW w:w="139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8"/>
        <w:gridCol w:w="11569"/>
      </w:tblGrid>
      <w:tr w14:paraId="74620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428" w:type="dxa"/>
            <w:vAlign w:val="top"/>
          </w:tcPr>
          <w:p w14:paraId="07C33DF3">
            <w:pPr>
              <w:pStyle w:val="6"/>
              <w:spacing w:before="89" w:line="233" w:lineRule="auto"/>
              <w:ind w:left="755"/>
            </w:pPr>
            <w:r>
              <w:rPr>
                <w:spacing w:val="-7"/>
              </w:rPr>
              <w:t>失信等级</w:t>
            </w:r>
          </w:p>
        </w:tc>
        <w:tc>
          <w:tcPr>
            <w:tcW w:w="11569" w:type="dxa"/>
            <w:vAlign w:val="top"/>
          </w:tcPr>
          <w:p w14:paraId="65B349B1">
            <w:pPr>
              <w:pStyle w:val="6"/>
              <w:spacing w:before="89" w:line="231" w:lineRule="auto"/>
              <w:ind w:left="5312"/>
            </w:pPr>
            <w:r>
              <w:rPr>
                <w:spacing w:val="-4"/>
              </w:rPr>
              <w:t>评定标准</w:t>
            </w:r>
          </w:p>
        </w:tc>
      </w:tr>
      <w:tr w14:paraId="63D1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428" w:type="dxa"/>
            <w:vAlign w:val="top"/>
          </w:tcPr>
          <w:p w14:paraId="5D86364E">
            <w:pPr>
              <w:spacing w:before="142" w:line="189" w:lineRule="auto"/>
              <w:ind w:left="1126"/>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11569" w:type="dxa"/>
            <w:vAlign w:val="top"/>
          </w:tcPr>
          <w:p w14:paraId="4FA9DD50">
            <w:pPr>
              <w:pStyle w:val="6"/>
              <w:spacing w:before="85" w:line="233" w:lineRule="auto"/>
              <w:ind w:left="4233"/>
            </w:pPr>
            <w:r>
              <w:rPr>
                <w:spacing w:val="-2"/>
              </w:rPr>
              <w:t>未发生任何违法违规问题的。</w:t>
            </w:r>
          </w:p>
        </w:tc>
      </w:tr>
      <w:tr w14:paraId="32980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2428" w:type="dxa"/>
            <w:vAlign w:val="top"/>
          </w:tcPr>
          <w:p w14:paraId="4297368B">
            <w:pPr>
              <w:spacing w:line="258" w:lineRule="auto"/>
              <w:rPr>
                <w:rFonts w:ascii="Arial"/>
                <w:sz w:val="21"/>
              </w:rPr>
            </w:pPr>
          </w:p>
          <w:p w14:paraId="54F20F92">
            <w:pPr>
              <w:spacing w:line="258" w:lineRule="auto"/>
              <w:rPr>
                <w:rFonts w:ascii="Arial"/>
                <w:sz w:val="21"/>
              </w:rPr>
            </w:pPr>
          </w:p>
          <w:p w14:paraId="2104FB7A">
            <w:pPr>
              <w:spacing w:before="69" w:line="185" w:lineRule="auto"/>
              <w:ind w:left="1136"/>
              <w:rPr>
                <w:rFonts w:ascii="Times New Roman" w:hAnsi="Times New Roman" w:eastAsia="Times New Roman" w:cs="Times New Roman"/>
                <w:sz w:val="24"/>
                <w:szCs w:val="24"/>
              </w:rPr>
            </w:pPr>
            <w:r>
              <w:rPr>
                <w:rFonts w:ascii="Times New Roman" w:hAnsi="Times New Roman" w:eastAsia="Times New Roman" w:cs="Times New Roman"/>
                <w:sz w:val="24"/>
                <w:szCs w:val="24"/>
              </w:rPr>
              <w:t>B</w:t>
            </w:r>
          </w:p>
        </w:tc>
        <w:tc>
          <w:tcPr>
            <w:tcW w:w="11569" w:type="dxa"/>
            <w:vAlign w:val="top"/>
          </w:tcPr>
          <w:p w14:paraId="6190D952">
            <w:pPr>
              <w:pStyle w:val="6"/>
              <w:spacing w:before="85" w:line="228" w:lineRule="auto"/>
              <w:ind w:left="166"/>
            </w:pPr>
            <w:r>
              <w:rPr>
                <w:spacing w:val="-1"/>
              </w:rPr>
              <w:t>一年内初次实施将本人的医疗保障凭证交由他人冒名使用，重复享受医疗保障待遇，或利用享受医疗保障待</w:t>
            </w:r>
          </w:p>
          <w:p w14:paraId="6E78C0D0">
            <w:pPr>
              <w:pStyle w:val="6"/>
              <w:spacing w:before="108" w:line="228" w:lineRule="auto"/>
              <w:ind w:left="155"/>
            </w:pPr>
            <w:r>
              <w:t>遇的机会转卖药品，接受返还现金、实物或者获得其他非法利益等《</w:t>
            </w:r>
            <w:r>
              <w:rPr>
                <w:spacing w:val="-1"/>
              </w:rPr>
              <w:t>医疗保障基金使用监督管理条例》第四</w:t>
            </w:r>
          </w:p>
          <w:p w14:paraId="130D0A40">
            <w:pPr>
              <w:pStyle w:val="6"/>
              <w:spacing w:before="106" w:line="230" w:lineRule="auto"/>
              <w:ind w:left="2200"/>
            </w:pPr>
            <w:r>
              <w:rPr>
                <w:spacing w:val="-1"/>
              </w:rPr>
              <w:t>十一条第一款所述一般性违法行为之一，造成医疗保障基金损失的。</w:t>
            </w:r>
          </w:p>
        </w:tc>
      </w:tr>
      <w:tr w14:paraId="19411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428" w:type="dxa"/>
            <w:vAlign w:val="top"/>
          </w:tcPr>
          <w:p w14:paraId="6C543BB2">
            <w:pPr>
              <w:spacing w:line="293" w:lineRule="auto"/>
              <w:rPr>
                <w:rFonts w:ascii="Arial"/>
                <w:sz w:val="21"/>
              </w:rPr>
            </w:pPr>
          </w:p>
          <w:p w14:paraId="545CDECA">
            <w:pPr>
              <w:spacing w:before="69" w:line="188" w:lineRule="auto"/>
              <w:ind w:left="1140"/>
              <w:rPr>
                <w:rFonts w:ascii="Times New Roman" w:hAnsi="Times New Roman" w:eastAsia="Times New Roman" w:cs="Times New Roman"/>
                <w:sz w:val="24"/>
                <w:szCs w:val="24"/>
              </w:rPr>
            </w:pPr>
            <w:r>
              <w:rPr>
                <w:rFonts w:ascii="Times New Roman" w:hAnsi="Times New Roman" w:eastAsia="Times New Roman" w:cs="Times New Roman"/>
                <w:sz w:val="24"/>
                <w:szCs w:val="24"/>
              </w:rPr>
              <w:t>C</w:t>
            </w:r>
          </w:p>
        </w:tc>
        <w:tc>
          <w:tcPr>
            <w:tcW w:w="11569" w:type="dxa"/>
            <w:vAlign w:val="top"/>
          </w:tcPr>
          <w:p w14:paraId="333E8D3D">
            <w:pPr>
              <w:pStyle w:val="6"/>
              <w:spacing w:before="89" w:line="229" w:lineRule="auto"/>
              <w:jc w:val="right"/>
            </w:pPr>
            <w:r>
              <w:rPr>
                <w:spacing w:val="-2"/>
              </w:rPr>
              <w:t>一年内两次或两次以上实施《医疗保障基金使用监督</w:t>
            </w:r>
            <w:r>
              <w:rPr>
                <w:spacing w:val="-3"/>
              </w:rPr>
              <w:t>管理条例》第四十一条第一款所述一般性违法行为之一，</w:t>
            </w:r>
          </w:p>
          <w:p w14:paraId="58A404A6">
            <w:pPr>
              <w:pStyle w:val="6"/>
              <w:spacing w:before="103" w:line="232" w:lineRule="auto"/>
              <w:ind w:left="4351"/>
            </w:pPr>
            <w:r>
              <w:rPr>
                <w:spacing w:val="-2"/>
              </w:rPr>
              <w:t>造成医疗保障基金损失的。</w:t>
            </w:r>
          </w:p>
        </w:tc>
      </w:tr>
      <w:tr w14:paraId="3F009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8" w:hRule="atLeast"/>
        </w:trPr>
        <w:tc>
          <w:tcPr>
            <w:tcW w:w="2428" w:type="dxa"/>
            <w:vAlign w:val="top"/>
          </w:tcPr>
          <w:p w14:paraId="48BE0D2B">
            <w:pPr>
              <w:spacing w:line="245" w:lineRule="auto"/>
              <w:rPr>
                <w:rFonts w:ascii="Arial"/>
                <w:sz w:val="21"/>
              </w:rPr>
            </w:pPr>
          </w:p>
          <w:p w14:paraId="50973923">
            <w:pPr>
              <w:spacing w:line="246" w:lineRule="auto"/>
              <w:rPr>
                <w:rFonts w:ascii="Arial"/>
                <w:sz w:val="21"/>
              </w:rPr>
            </w:pPr>
          </w:p>
          <w:p w14:paraId="197AAB1A">
            <w:pPr>
              <w:spacing w:line="246" w:lineRule="auto"/>
              <w:rPr>
                <w:rFonts w:ascii="Arial"/>
                <w:sz w:val="21"/>
              </w:rPr>
            </w:pPr>
          </w:p>
          <w:p w14:paraId="51BAAB1D">
            <w:pPr>
              <w:spacing w:before="69" w:line="185" w:lineRule="auto"/>
              <w:ind w:left="1128"/>
              <w:rPr>
                <w:rFonts w:ascii="Times New Roman" w:hAnsi="Times New Roman" w:eastAsia="Times New Roman" w:cs="Times New Roman"/>
                <w:sz w:val="24"/>
                <w:szCs w:val="24"/>
              </w:rPr>
            </w:pPr>
            <w:r>
              <w:rPr>
                <w:rFonts w:ascii="Times New Roman" w:hAnsi="Times New Roman" w:eastAsia="Times New Roman" w:cs="Times New Roman"/>
                <w:sz w:val="24"/>
                <w:szCs w:val="24"/>
              </w:rPr>
              <w:t>D</w:t>
            </w:r>
          </w:p>
        </w:tc>
        <w:tc>
          <w:tcPr>
            <w:tcW w:w="11569" w:type="dxa"/>
            <w:vAlign w:val="top"/>
          </w:tcPr>
          <w:p w14:paraId="4B068422">
            <w:pPr>
              <w:pStyle w:val="6"/>
              <w:spacing w:before="90" w:line="285" w:lineRule="auto"/>
              <w:ind w:left="120" w:right="180" w:firstLine="24"/>
              <w:jc w:val="both"/>
            </w:pPr>
            <w:r>
              <w:rPr>
                <w:spacing w:val="-2"/>
              </w:rPr>
              <w:t>以骗取医疗保障基金为目的实施《医疗保障基金使用监督管理条例》第四十一条</w:t>
            </w:r>
            <w:r>
              <w:rPr>
                <w:spacing w:val="-3"/>
              </w:rPr>
              <w:t>第一款所述一般性违法行为</w:t>
            </w:r>
            <w:r>
              <w:t>之一，造成医疗保障基金损失的；通过使用他人医疗保障凭证冒名</w:t>
            </w:r>
            <w:r>
              <w:rPr>
                <w:spacing w:val="-1"/>
              </w:rPr>
              <w:t>就医购药，伪造、变造、隐匿、涂改、销</w:t>
            </w:r>
            <w:r>
              <w:t>毁医学文书、医学证明、会计凭证、电子信息等有关资料或虚构医</w:t>
            </w:r>
            <w:r>
              <w:rPr>
                <w:spacing w:val="-1"/>
              </w:rPr>
              <w:t>药服务项目等方式，骗取医疗保障基金支</w:t>
            </w:r>
            <w:r>
              <w:rPr>
                <w:spacing w:val="-6"/>
              </w:rPr>
              <w:t>出的。</w:t>
            </w:r>
          </w:p>
        </w:tc>
      </w:tr>
    </w:tbl>
    <w:p w14:paraId="1BC4437F">
      <w:pPr>
        <w:rPr>
          <w:rFonts w:ascii="Arial"/>
          <w:sz w:val="21"/>
        </w:rPr>
      </w:pPr>
    </w:p>
    <w:p w14:paraId="4446165F">
      <w:pPr>
        <w:rPr>
          <w:rFonts w:ascii="Arial" w:hAnsi="Arial" w:eastAsia="Arial" w:cs="Arial"/>
          <w:sz w:val="21"/>
          <w:szCs w:val="21"/>
        </w:rPr>
        <w:sectPr>
          <w:footerReference r:id="rId22" w:type="default"/>
          <w:pgSz w:w="16839" w:h="11906"/>
          <w:pgMar w:top="1012" w:right="1361" w:bottom="1166" w:left="1474" w:header="0" w:footer="800" w:gutter="0"/>
          <w:cols w:space="720" w:num="1"/>
        </w:sectPr>
      </w:pPr>
    </w:p>
    <w:p w14:paraId="315C90D4">
      <w:pPr>
        <w:spacing w:before="116" w:line="471" w:lineRule="exact"/>
        <w:ind w:left="19"/>
        <w:rPr>
          <w:rFonts w:ascii="Times New Roman" w:hAnsi="Times New Roman" w:eastAsia="Times New Roman" w:cs="Times New Roman"/>
          <w:sz w:val="31"/>
          <w:szCs w:val="31"/>
        </w:rPr>
      </w:pPr>
      <w:r>
        <w:rPr>
          <w:rFonts w:ascii="方正黑体_GBK" w:hAnsi="方正黑体_GBK" w:eastAsia="方正黑体_GBK" w:cs="方正黑体_GBK"/>
          <w:spacing w:val="-5"/>
          <w:position w:val="3"/>
          <w:sz w:val="31"/>
          <w:szCs w:val="31"/>
        </w:rPr>
        <w:t>附件</w:t>
      </w:r>
      <w:r>
        <w:rPr>
          <w:rFonts w:ascii="Times New Roman" w:hAnsi="Times New Roman" w:eastAsia="Times New Roman" w:cs="Times New Roman"/>
          <w:spacing w:val="-5"/>
          <w:position w:val="3"/>
          <w:sz w:val="31"/>
          <w:szCs w:val="31"/>
        </w:rPr>
        <w:t>5</w:t>
      </w:r>
    </w:p>
    <w:p w14:paraId="44B8E6D5">
      <w:pPr>
        <w:spacing w:line="454" w:lineRule="auto"/>
        <w:rPr>
          <w:rFonts w:ascii="Arial"/>
          <w:sz w:val="21"/>
        </w:rPr>
      </w:pPr>
    </w:p>
    <w:p w14:paraId="6A6D9F32">
      <w:pPr>
        <w:spacing w:before="160" w:line="224" w:lineRule="auto"/>
        <w:ind w:left="1119"/>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重庆市医疗保障基金监管医药机构</w:t>
      </w:r>
    </w:p>
    <w:p w14:paraId="38A40B5F">
      <w:pPr>
        <w:spacing w:line="657" w:lineRule="exact"/>
        <w:ind w:left="3309"/>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信用承诺书</w:t>
      </w:r>
    </w:p>
    <w:p w14:paraId="0517AF95">
      <w:pPr>
        <w:spacing w:line="284" w:lineRule="auto"/>
        <w:rPr>
          <w:rFonts w:ascii="Arial"/>
          <w:sz w:val="21"/>
        </w:rPr>
      </w:pPr>
    </w:p>
    <w:p w14:paraId="5CB9433A">
      <w:pPr>
        <w:spacing w:line="284" w:lineRule="auto"/>
        <w:rPr>
          <w:rFonts w:ascii="Arial"/>
          <w:sz w:val="21"/>
        </w:rPr>
      </w:pPr>
    </w:p>
    <w:p w14:paraId="23DB1ACF">
      <w:pPr>
        <w:spacing w:line="285" w:lineRule="auto"/>
        <w:rPr>
          <w:rFonts w:ascii="Arial"/>
          <w:sz w:val="21"/>
        </w:rPr>
      </w:pPr>
    </w:p>
    <w:p w14:paraId="500E5F87">
      <w:pPr>
        <w:spacing w:line="285" w:lineRule="auto"/>
        <w:rPr>
          <w:rFonts w:ascii="Arial"/>
          <w:sz w:val="21"/>
        </w:rPr>
      </w:pPr>
    </w:p>
    <w:p w14:paraId="406F36D1">
      <w:pPr>
        <w:pStyle w:val="2"/>
        <w:spacing w:before="114" w:line="237" w:lineRule="auto"/>
        <w:ind w:left="11"/>
      </w:pPr>
      <w:r>
        <w:rPr>
          <w:spacing w:val="5"/>
        </w:rPr>
        <w:t>单位（单位名称：</w:t>
      </w:r>
      <w:r>
        <w:rPr>
          <w:spacing w:val="4"/>
        </w:rPr>
        <w:t>社会信用代码：</w:t>
      </w:r>
    </w:p>
    <w:p w14:paraId="5B4C6710">
      <w:pPr>
        <w:pStyle w:val="2"/>
        <w:spacing w:before="153" w:line="235" w:lineRule="auto"/>
        <w:ind w:left="38"/>
      </w:pPr>
      <w:r>
        <w:rPr>
          <w:spacing w:val="-1"/>
        </w:rPr>
        <w:t>医保代码</w:t>
      </w:r>
      <w:r>
        <w:rPr>
          <w:spacing w:val="19"/>
        </w:rPr>
        <w:t>：）</w:t>
      </w:r>
      <w:r>
        <w:rPr>
          <w:spacing w:val="-1"/>
        </w:rPr>
        <w:t>郑重承诺：</w:t>
      </w:r>
    </w:p>
    <w:p w14:paraId="36D25D7E">
      <w:pPr>
        <w:pStyle w:val="2"/>
        <w:spacing w:before="119" w:line="298" w:lineRule="auto"/>
        <w:ind w:left="5" w:right="260" w:firstLine="659"/>
      </w:pPr>
      <w:r>
        <w:rPr>
          <w:rFonts w:ascii="Times New Roman" w:hAnsi="Times New Roman" w:eastAsia="Times New Roman" w:cs="Times New Roman"/>
          <w:spacing w:val="10"/>
        </w:rPr>
        <w:t>1</w:t>
      </w:r>
      <w:r>
        <w:rPr>
          <w:spacing w:val="10"/>
        </w:rPr>
        <w:t>．严格遵守《医疗保障基金使用监督管理条例》和《重庆</w:t>
      </w:r>
      <w:r>
        <w:rPr>
          <w:spacing w:val="5"/>
        </w:rPr>
        <w:t>市医疗保障定点医药机构医疗服务协议书》，规范医保基金使用</w:t>
      </w:r>
      <w:r>
        <w:rPr>
          <w:spacing w:val="-1"/>
        </w:rPr>
        <w:t>行为。</w:t>
      </w:r>
    </w:p>
    <w:p w14:paraId="0CD3DCAF">
      <w:pPr>
        <w:pStyle w:val="2"/>
        <w:spacing w:before="107" w:line="301" w:lineRule="auto"/>
        <w:ind w:left="6" w:firstLine="627"/>
      </w:pPr>
      <w:r>
        <w:rPr>
          <w:rFonts w:ascii="Times New Roman" w:hAnsi="Times New Roman" w:eastAsia="Times New Roman" w:cs="Times New Roman"/>
          <w:spacing w:val="11"/>
        </w:rPr>
        <w:t>2</w:t>
      </w:r>
      <w:r>
        <w:rPr>
          <w:spacing w:val="11"/>
        </w:rPr>
        <w:t>．填报医疗保障基金监管信用评价指标信息必须真实，无</w:t>
      </w:r>
      <w:r>
        <w:rPr>
          <w:spacing w:val="2"/>
        </w:rPr>
        <w:t>虚报、瞒报、谎报现象，若在日常监管、专项检</w:t>
      </w:r>
      <w:r>
        <w:rPr>
          <w:spacing w:val="1"/>
        </w:rPr>
        <w:t>查等过程中发现信息不实自愿将信用等级降低到</w:t>
      </w:r>
      <w:r>
        <w:rPr>
          <w:rFonts w:ascii="Times New Roman" w:hAnsi="Times New Roman" w:eastAsia="Times New Roman" w:cs="Times New Roman"/>
          <w:spacing w:val="1"/>
        </w:rPr>
        <w:t>E</w:t>
      </w:r>
      <w:r>
        <w:rPr>
          <w:spacing w:val="1"/>
        </w:rPr>
        <w:t>级，接受医</w:t>
      </w:r>
      <w:r>
        <w:t>保部门给予的处罚，</w:t>
      </w:r>
      <w:r>
        <w:rPr>
          <w:spacing w:val="7"/>
        </w:rPr>
        <w:t>并在三年内接受信用评价考评结果不得评为</w:t>
      </w:r>
      <w:r>
        <w:rPr>
          <w:rFonts w:ascii="Times New Roman" w:hAnsi="Times New Roman" w:eastAsia="Times New Roman" w:cs="Times New Roman"/>
          <w:spacing w:val="7"/>
        </w:rPr>
        <w:t>A</w:t>
      </w:r>
      <w:r>
        <w:rPr>
          <w:spacing w:val="7"/>
        </w:rPr>
        <w:t>级。</w:t>
      </w:r>
    </w:p>
    <w:p w14:paraId="6938A2C1">
      <w:pPr>
        <w:spacing w:line="248" w:lineRule="auto"/>
        <w:rPr>
          <w:rFonts w:ascii="Arial"/>
          <w:sz w:val="21"/>
        </w:rPr>
      </w:pPr>
    </w:p>
    <w:p w14:paraId="4BD01342">
      <w:pPr>
        <w:spacing w:line="249" w:lineRule="auto"/>
        <w:rPr>
          <w:rFonts w:ascii="Arial"/>
          <w:sz w:val="21"/>
        </w:rPr>
      </w:pPr>
    </w:p>
    <w:p w14:paraId="04483D11">
      <w:pPr>
        <w:spacing w:line="249" w:lineRule="auto"/>
        <w:rPr>
          <w:rFonts w:ascii="Arial"/>
          <w:sz w:val="21"/>
        </w:rPr>
      </w:pPr>
    </w:p>
    <w:p w14:paraId="0584212A">
      <w:pPr>
        <w:spacing w:line="249" w:lineRule="auto"/>
        <w:rPr>
          <w:rFonts w:ascii="Arial"/>
          <w:sz w:val="21"/>
        </w:rPr>
      </w:pPr>
    </w:p>
    <w:p w14:paraId="4F6CC986">
      <w:pPr>
        <w:spacing w:line="249" w:lineRule="auto"/>
        <w:rPr>
          <w:rFonts w:ascii="Arial"/>
          <w:sz w:val="21"/>
        </w:rPr>
      </w:pPr>
    </w:p>
    <w:p w14:paraId="5E6FC76E">
      <w:pPr>
        <w:pStyle w:val="2"/>
        <w:spacing w:before="114" w:line="237" w:lineRule="auto"/>
        <w:ind w:left="5452"/>
      </w:pPr>
      <w:r>
        <w:rPr>
          <w:spacing w:val="7"/>
        </w:rPr>
        <w:t>单位名称（公章）</w:t>
      </w:r>
    </w:p>
    <w:p w14:paraId="2F2750B7">
      <w:pPr>
        <w:pStyle w:val="2"/>
        <w:spacing w:before="152" w:line="239" w:lineRule="auto"/>
        <w:ind w:left="6085"/>
      </w:pPr>
      <w:r>
        <w:rPr>
          <w:spacing w:val="-10"/>
        </w:rPr>
        <w:t>年月日</w:t>
      </w:r>
    </w:p>
    <w:p w14:paraId="6599A6D4">
      <w:pPr>
        <w:spacing w:line="239" w:lineRule="auto"/>
        <w:sectPr>
          <w:footerReference r:id="rId23" w:type="default"/>
          <w:pgSz w:w="11906" w:h="16839"/>
          <w:pgMar w:top="1431" w:right="1214" w:bottom="1166" w:left="1599" w:header="0" w:footer="800" w:gutter="0"/>
          <w:cols w:space="720" w:num="1"/>
        </w:sectPr>
      </w:pPr>
    </w:p>
    <w:p w14:paraId="13DE55E4">
      <w:pPr>
        <w:spacing w:line="252" w:lineRule="auto"/>
        <w:rPr>
          <w:rFonts w:ascii="Arial"/>
          <w:sz w:val="21"/>
        </w:rPr>
      </w:pPr>
    </w:p>
    <w:p w14:paraId="3B434749">
      <w:pPr>
        <w:spacing w:line="253" w:lineRule="auto"/>
        <w:rPr>
          <w:rFonts w:ascii="Arial"/>
          <w:sz w:val="21"/>
        </w:rPr>
      </w:pPr>
    </w:p>
    <w:p w14:paraId="32D3A75C">
      <w:pPr>
        <w:spacing w:before="160" w:line="224" w:lineRule="auto"/>
        <w:ind w:left="1112"/>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重庆市医疗保障基金监管医务人员</w:t>
      </w:r>
    </w:p>
    <w:p w14:paraId="32522E4D">
      <w:pPr>
        <w:spacing w:line="657" w:lineRule="exact"/>
        <w:ind w:left="3302"/>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position w:val="5"/>
          <w:sz w:val="43"/>
          <w:szCs w:val="43"/>
        </w:rPr>
        <w:t>信用承诺书</w:t>
      </w:r>
    </w:p>
    <w:p w14:paraId="7E7E8014">
      <w:pPr>
        <w:spacing w:line="270" w:lineRule="auto"/>
        <w:rPr>
          <w:rFonts w:ascii="Arial"/>
          <w:sz w:val="21"/>
        </w:rPr>
      </w:pPr>
    </w:p>
    <w:p w14:paraId="60717CFA">
      <w:pPr>
        <w:spacing w:line="271" w:lineRule="auto"/>
        <w:rPr>
          <w:rFonts w:ascii="Arial"/>
          <w:sz w:val="21"/>
        </w:rPr>
      </w:pPr>
    </w:p>
    <w:p w14:paraId="3E0494F1">
      <w:pPr>
        <w:pStyle w:val="2"/>
        <w:spacing w:before="113" w:line="318" w:lineRule="auto"/>
        <w:ind w:left="31" w:right="21" w:firstLine="606"/>
      </w:pPr>
      <w:r>
        <w:rPr>
          <w:spacing w:val="-9"/>
        </w:rPr>
        <w:t>本人（姓名）作为（单位全称）</w:t>
      </w:r>
      <w:r>
        <w:rPr>
          <w:spacing w:val="3"/>
        </w:rPr>
        <w:t>医务人员，有效身份证号码，郑重承诺：</w:t>
      </w:r>
    </w:p>
    <w:p w14:paraId="553682D1">
      <w:pPr>
        <w:pStyle w:val="2"/>
        <w:spacing w:before="1" w:line="318" w:lineRule="auto"/>
        <w:ind w:firstLine="637"/>
      </w:pPr>
      <w:r>
        <w:rPr>
          <w:spacing w:val="5"/>
        </w:rPr>
        <w:t>在提供医疗服务、药品销售等过程中，严格遵守国</w:t>
      </w:r>
      <w:r>
        <w:rPr>
          <w:spacing w:val="4"/>
        </w:rPr>
        <w:t>家法律法</w:t>
      </w:r>
      <w:r>
        <w:rPr>
          <w:spacing w:val="8"/>
        </w:rPr>
        <w:t>规、规章和政策规定，合规使用医保基金、</w:t>
      </w:r>
      <w:r>
        <w:rPr>
          <w:spacing w:val="7"/>
        </w:rPr>
        <w:t>正确执行医保政策。</w:t>
      </w:r>
      <w:r>
        <w:rPr>
          <w:spacing w:val="5"/>
        </w:rPr>
        <w:t>自愿接受医保信用监管，不产生欺诈骗取医保基金行为，若违反承诺事项，本人自愿承担相应法律责任并接受信用联合约束和惩戒。惩戒措施包括但不限于：暂停医保支付资格；纳入医保失信</w:t>
      </w:r>
      <w:r>
        <w:rPr>
          <w:spacing w:val="8"/>
        </w:rPr>
        <w:t>黑名单，接受医保、卫生健康等部门给予的相关处罚。</w:t>
      </w:r>
    </w:p>
    <w:p w14:paraId="301616BD">
      <w:pPr>
        <w:spacing w:line="268" w:lineRule="auto"/>
        <w:rPr>
          <w:rFonts w:ascii="Arial"/>
          <w:sz w:val="21"/>
        </w:rPr>
      </w:pPr>
    </w:p>
    <w:p w14:paraId="316BF0C7">
      <w:pPr>
        <w:spacing w:line="268" w:lineRule="auto"/>
        <w:rPr>
          <w:rFonts w:ascii="Arial"/>
          <w:sz w:val="21"/>
        </w:rPr>
      </w:pPr>
    </w:p>
    <w:p w14:paraId="029122A9">
      <w:pPr>
        <w:spacing w:line="269" w:lineRule="auto"/>
        <w:rPr>
          <w:rFonts w:ascii="Arial"/>
          <w:sz w:val="21"/>
        </w:rPr>
      </w:pPr>
    </w:p>
    <w:p w14:paraId="3A54CCFB">
      <w:pPr>
        <w:spacing w:line="269" w:lineRule="auto"/>
        <w:rPr>
          <w:rFonts w:ascii="Arial"/>
          <w:sz w:val="21"/>
        </w:rPr>
      </w:pPr>
    </w:p>
    <w:p w14:paraId="1D738816">
      <w:pPr>
        <w:pStyle w:val="2"/>
        <w:spacing w:before="114" w:line="237" w:lineRule="auto"/>
        <w:ind w:left="6081"/>
      </w:pPr>
      <w:r>
        <w:rPr>
          <w:spacing w:val="4"/>
        </w:rPr>
        <w:t>承诺人姓名：</w:t>
      </w:r>
    </w:p>
    <w:p w14:paraId="7E56C93A">
      <w:pPr>
        <w:pStyle w:val="2"/>
        <w:spacing w:before="151" w:line="239" w:lineRule="auto"/>
        <w:ind w:left="5756"/>
      </w:pPr>
      <w:r>
        <w:rPr>
          <w:spacing w:val="-7"/>
        </w:rPr>
        <w:t>年月日</w:t>
      </w:r>
    </w:p>
    <w:p w14:paraId="5810E58B">
      <w:pPr>
        <w:spacing w:line="239" w:lineRule="auto"/>
        <w:sectPr>
          <w:headerReference r:id="rId24" w:type="default"/>
          <w:footerReference r:id="rId25" w:type="default"/>
          <w:pgSz w:w="11906" w:h="16839"/>
          <w:pgMar w:top="2712" w:right="1402" w:bottom="1166" w:left="1607" w:header="2221" w:footer="800" w:gutter="0"/>
          <w:cols w:space="720" w:num="1"/>
        </w:sectPr>
      </w:pPr>
    </w:p>
    <w:p w14:paraId="3D7AD5BB">
      <w:pPr>
        <w:spacing w:before="2"/>
      </w:pPr>
    </w:p>
    <w:p w14:paraId="28A4DDDF">
      <w:pPr>
        <w:spacing w:before="2"/>
      </w:pPr>
    </w:p>
    <w:p w14:paraId="455BE594">
      <w:pPr>
        <w:spacing w:before="2"/>
      </w:pPr>
    </w:p>
    <w:p w14:paraId="6EC7C516">
      <w:pPr>
        <w:spacing w:before="2"/>
      </w:pPr>
    </w:p>
    <w:p w14:paraId="210DE489">
      <w:pPr>
        <w:spacing w:before="2"/>
      </w:pPr>
    </w:p>
    <w:p w14:paraId="3E75AA2A">
      <w:pPr>
        <w:spacing w:before="2"/>
      </w:pPr>
    </w:p>
    <w:p w14:paraId="1D80D1BB">
      <w:pPr>
        <w:spacing w:before="2"/>
      </w:pPr>
    </w:p>
    <w:p w14:paraId="378DFF77">
      <w:pPr>
        <w:spacing w:before="2"/>
      </w:pPr>
    </w:p>
    <w:p w14:paraId="100EE97D">
      <w:pPr>
        <w:spacing w:before="2"/>
      </w:pPr>
    </w:p>
    <w:p w14:paraId="4FB11C02">
      <w:pPr>
        <w:spacing w:before="2"/>
      </w:pPr>
    </w:p>
    <w:p w14:paraId="1C767E55">
      <w:pPr>
        <w:spacing w:before="2"/>
      </w:pPr>
    </w:p>
    <w:p w14:paraId="0EFAB172">
      <w:pPr>
        <w:spacing w:before="2"/>
      </w:pPr>
    </w:p>
    <w:p w14:paraId="0E29BF48">
      <w:pPr>
        <w:spacing w:before="1"/>
      </w:pPr>
    </w:p>
    <w:p w14:paraId="3892333D">
      <w:pPr>
        <w:spacing w:before="1"/>
      </w:pPr>
    </w:p>
    <w:p w14:paraId="22E1F4FA">
      <w:pPr>
        <w:spacing w:before="1"/>
      </w:pPr>
    </w:p>
    <w:p w14:paraId="2389A3E8">
      <w:pPr>
        <w:spacing w:before="1"/>
      </w:pPr>
    </w:p>
    <w:p w14:paraId="4829ED1B">
      <w:pPr>
        <w:spacing w:before="1"/>
      </w:pPr>
    </w:p>
    <w:p w14:paraId="4DC21A10">
      <w:pPr>
        <w:spacing w:before="1"/>
      </w:pPr>
    </w:p>
    <w:p w14:paraId="0A9B4621">
      <w:pPr>
        <w:spacing w:before="1"/>
      </w:pPr>
    </w:p>
    <w:p w14:paraId="73B4C122">
      <w:pPr>
        <w:spacing w:before="1"/>
      </w:pPr>
    </w:p>
    <w:p w14:paraId="344DB138">
      <w:pPr>
        <w:spacing w:before="1"/>
      </w:pPr>
    </w:p>
    <w:p w14:paraId="616C1707">
      <w:pPr>
        <w:spacing w:before="1"/>
      </w:pPr>
    </w:p>
    <w:p w14:paraId="008A8D29">
      <w:pPr>
        <w:spacing w:before="1"/>
      </w:pPr>
    </w:p>
    <w:p w14:paraId="45D67DBF">
      <w:pPr>
        <w:spacing w:before="1"/>
      </w:pPr>
    </w:p>
    <w:p w14:paraId="5BA4A8FB">
      <w:pPr>
        <w:spacing w:before="1"/>
      </w:pPr>
    </w:p>
    <w:p w14:paraId="3C96AE92">
      <w:pPr>
        <w:spacing w:before="1"/>
      </w:pPr>
    </w:p>
    <w:p w14:paraId="14A90214">
      <w:pPr>
        <w:spacing w:before="1"/>
      </w:pPr>
    </w:p>
    <w:p w14:paraId="57FD2C1C">
      <w:pPr>
        <w:spacing w:before="1"/>
      </w:pPr>
    </w:p>
    <w:p w14:paraId="7A3B1923">
      <w:pPr>
        <w:spacing w:before="1"/>
      </w:pPr>
    </w:p>
    <w:p w14:paraId="17A8FB17">
      <w:pPr>
        <w:spacing w:before="1"/>
      </w:pPr>
    </w:p>
    <w:p w14:paraId="7FE255A0">
      <w:pPr>
        <w:spacing w:before="1"/>
      </w:pPr>
    </w:p>
    <w:p w14:paraId="6115E822">
      <w:pPr>
        <w:spacing w:before="1"/>
      </w:pPr>
    </w:p>
    <w:p w14:paraId="304BB80B">
      <w:pPr>
        <w:spacing w:before="1"/>
      </w:pPr>
    </w:p>
    <w:p w14:paraId="7408F8C0">
      <w:pPr>
        <w:spacing w:before="1"/>
      </w:pPr>
    </w:p>
    <w:p w14:paraId="535B052C">
      <w:pPr>
        <w:spacing w:before="1"/>
      </w:pPr>
    </w:p>
    <w:p w14:paraId="71BE521F">
      <w:pPr>
        <w:spacing w:before="1"/>
      </w:pPr>
    </w:p>
    <w:p w14:paraId="0D714927">
      <w:pPr>
        <w:spacing w:before="1"/>
      </w:pPr>
    </w:p>
    <w:p w14:paraId="306BC5AA">
      <w:pPr>
        <w:spacing w:before="1"/>
      </w:pPr>
    </w:p>
    <w:p w14:paraId="2EFC5B06">
      <w:pPr>
        <w:spacing w:before="1"/>
      </w:pPr>
    </w:p>
    <w:p w14:paraId="4824C6CD">
      <w:pPr>
        <w:spacing w:before="1"/>
      </w:pPr>
    </w:p>
    <w:p w14:paraId="73B27208">
      <w:pPr>
        <w:spacing w:before="1"/>
      </w:pPr>
    </w:p>
    <w:p w14:paraId="73012E2C">
      <w:pPr>
        <w:spacing w:before="1"/>
      </w:pPr>
    </w:p>
    <w:p w14:paraId="74D4EA68">
      <w:pPr>
        <w:spacing w:before="1"/>
      </w:pPr>
    </w:p>
    <w:p w14:paraId="2FF2BC14">
      <w:pPr>
        <w:spacing w:before="1"/>
      </w:pPr>
    </w:p>
    <w:p w14:paraId="1F6D3B61">
      <w:pPr>
        <w:spacing w:before="1"/>
      </w:pPr>
    </w:p>
    <w:p w14:paraId="3B905868">
      <w:pPr>
        <w:spacing w:before="1"/>
      </w:pPr>
    </w:p>
    <w:p w14:paraId="0FCCD6C2">
      <w:pPr>
        <w:spacing w:before="1"/>
      </w:pPr>
    </w:p>
    <w:p w14:paraId="1E786AAE">
      <w:pPr>
        <w:spacing w:before="1"/>
      </w:pPr>
    </w:p>
    <w:p w14:paraId="6E9F42CE">
      <w:pPr>
        <w:spacing w:before="1"/>
      </w:pPr>
    </w:p>
    <w:p w14:paraId="2B5173CC">
      <w:pPr>
        <w:spacing w:before="1"/>
      </w:pPr>
    </w:p>
    <w:p w14:paraId="5A3B2F25">
      <w:pPr>
        <w:spacing w:before="1"/>
      </w:pPr>
    </w:p>
    <w:p w14:paraId="3E99880D">
      <w:pPr>
        <w:spacing w:before="1"/>
      </w:pPr>
    </w:p>
    <w:p w14:paraId="687416C2">
      <w:pPr>
        <w:spacing w:before="1"/>
      </w:pPr>
    </w:p>
    <w:p w14:paraId="31D4EAFE">
      <w:pPr>
        <w:spacing w:before="1"/>
      </w:pPr>
    </w:p>
    <w:p w14:paraId="15F30ECE">
      <w:pPr>
        <w:spacing w:before="1"/>
      </w:pPr>
    </w:p>
    <w:p w14:paraId="340BB43F">
      <w:pPr>
        <w:spacing w:before="1"/>
      </w:pPr>
    </w:p>
    <w:p w14:paraId="2312AC13">
      <w:pPr>
        <w:spacing w:before="1"/>
      </w:pPr>
    </w:p>
    <w:p w14:paraId="0E3542BD">
      <w:pPr>
        <w:spacing w:before="1"/>
      </w:pPr>
    </w:p>
    <w:p w14:paraId="7D6DCF33">
      <w:pPr>
        <w:spacing w:before="1"/>
      </w:pPr>
    </w:p>
    <w:p w14:paraId="6AFC8C9E">
      <w:pPr>
        <w:spacing w:before="1"/>
      </w:pPr>
    </w:p>
    <w:tbl>
      <w:tblPr>
        <w:tblStyle w:val="5"/>
        <w:tblW w:w="88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40"/>
        <w:gridCol w:w="4294"/>
      </w:tblGrid>
      <w:tr w14:paraId="6F33D3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09" w:hRule="atLeast"/>
        </w:trPr>
        <w:tc>
          <w:tcPr>
            <w:tcW w:w="4540" w:type="dxa"/>
            <w:tcBorders>
              <w:top w:val="single" w:color="000000" w:sz="2" w:space="0"/>
              <w:bottom w:val="single" w:color="000000" w:sz="2" w:space="0"/>
            </w:tcBorders>
            <w:vAlign w:val="top"/>
          </w:tcPr>
          <w:p w14:paraId="437AEA14">
            <w:pPr>
              <w:pStyle w:val="6"/>
              <w:spacing w:before="235" w:line="213" w:lineRule="auto"/>
              <w:ind w:left="414"/>
              <w:rPr>
                <w:sz w:val="28"/>
                <w:szCs w:val="28"/>
              </w:rPr>
            </w:pPr>
            <w:r>
              <w:rPr>
                <w:spacing w:val="-3"/>
                <w:sz w:val="28"/>
                <w:szCs w:val="28"/>
              </w:rPr>
              <w:t>重庆市医疗保障局办公室</w:t>
            </w:r>
          </w:p>
        </w:tc>
        <w:tc>
          <w:tcPr>
            <w:tcW w:w="4294" w:type="dxa"/>
            <w:tcBorders>
              <w:top w:val="single" w:color="000000" w:sz="2" w:space="0"/>
              <w:bottom w:val="single" w:color="000000" w:sz="2" w:space="0"/>
            </w:tcBorders>
            <w:vAlign w:val="top"/>
          </w:tcPr>
          <w:p w14:paraId="58A312DC">
            <w:pPr>
              <w:pStyle w:val="6"/>
              <w:spacing w:before="201" w:line="233" w:lineRule="auto"/>
              <w:ind w:left="1153"/>
              <w:rPr>
                <w:sz w:val="28"/>
                <w:szCs w:val="28"/>
              </w:rPr>
            </w:pPr>
            <w:r>
              <w:rPr>
                <w:rFonts w:ascii="Times New Roman" w:hAnsi="Times New Roman" w:eastAsia="Times New Roman" w:cs="Times New Roman"/>
                <w:spacing w:val="-13"/>
                <w:sz w:val="28"/>
                <w:szCs w:val="28"/>
              </w:rPr>
              <w:t>2025</w:t>
            </w:r>
            <w:r>
              <w:rPr>
                <w:spacing w:val="-13"/>
                <w:sz w:val="28"/>
                <w:szCs w:val="28"/>
              </w:rPr>
              <w:t>年</w:t>
            </w:r>
            <w:r>
              <w:rPr>
                <w:rFonts w:ascii="Times New Roman" w:hAnsi="Times New Roman" w:eastAsia="Times New Roman" w:cs="Times New Roman"/>
                <w:spacing w:val="-13"/>
                <w:sz w:val="28"/>
                <w:szCs w:val="28"/>
              </w:rPr>
              <w:t>8</w:t>
            </w:r>
            <w:r>
              <w:rPr>
                <w:spacing w:val="-13"/>
                <w:sz w:val="28"/>
                <w:szCs w:val="28"/>
              </w:rPr>
              <w:t>月</w:t>
            </w:r>
            <w:r>
              <w:rPr>
                <w:rFonts w:ascii="Times New Roman" w:hAnsi="Times New Roman" w:eastAsia="Times New Roman" w:cs="Times New Roman"/>
                <w:spacing w:val="-13"/>
                <w:sz w:val="28"/>
                <w:szCs w:val="28"/>
              </w:rPr>
              <w:t>11</w:t>
            </w:r>
            <w:r>
              <w:rPr>
                <w:spacing w:val="-13"/>
                <w:sz w:val="28"/>
                <w:szCs w:val="28"/>
              </w:rPr>
              <w:t>日印发</w:t>
            </w:r>
          </w:p>
        </w:tc>
      </w:tr>
    </w:tbl>
    <w:p w14:paraId="129488E2">
      <w:pPr>
        <w:rPr>
          <w:rFonts w:ascii="Arial"/>
          <w:sz w:val="21"/>
        </w:rPr>
      </w:pPr>
    </w:p>
    <w:sectPr>
      <w:headerReference r:id="rId26" w:type="default"/>
      <w:footerReference r:id="rId27" w:type="default"/>
      <w:pgSz w:w="11906" w:h="16839"/>
      <w:pgMar w:top="400" w:right="1484" w:bottom="1166" w:left="1587" w:header="0" w:footer="8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1487">
    <w:pPr>
      <w:spacing w:before="1" w:line="235" w:lineRule="auto"/>
      <w:ind w:left="8306"/>
      <w:rPr>
        <w:rFonts w:ascii="宋体" w:hAnsi="宋体" w:eastAsia="宋体" w:cs="宋体"/>
        <w:sz w:val="28"/>
        <w:szCs w:val="28"/>
      </w:rPr>
    </w:pPr>
    <w:r>
      <w:rPr>
        <w:rFonts w:ascii="宋体" w:hAnsi="宋体" w:eastAsia="宋体" w:cs="宋体"/>
        <w:spacing w:val="-14"/>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CA96">
    <w:pPr>
      <w:spacing w:before="1" w:line="235" w:lineRule="auto"/>
      <w:ind w:left="13051"/>
      <w:rPr>
        <w:rFonts w:ascii="宋体" w:hAnsi="宋体" w:eastAsia="宋体" w:cs="宋体"/>
        <w:sz w:val="28"/>
        <w:szCs w:val="28"/>
      </w:rPr>
    </w:pPr>
    <w:r>
      <w:rPr>
        <w:rFonts w:ascii="宋体" w:hAnsi="宋体" w:eastAsia="宋体" w:cs="宋体"/>
        <w:spacing w:val="-6"/>
        <w:sz w:val="28"/>
        <w:szCs w:val="28"/>
      </w:rPr>
      <w:t>-21-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E0F11">
    <w:pPr>
      <w:spacing w:before="1" w:line="235" w:lineRule="auto"/>
      <w:ind w:left="122"/>
      <w:rPr>
        <w:rFonts w:ascii="宋体" w:hAnsi="宋体" w:eastAsia="宋体" w:cs="宋体"/>
        <w:sz w:val="28"/>
        <w:szCs w:val="28"/>
      </w:rPr>
    </w:pPr>
    <w:r>
      <w:rPr>
        <w:rFonts w:ascii="宋体" w:hAnsi="宋体" w:eastAsia="宋体" w:cs="宋体"/>
        <w:spacing w:val="-6"/>
        <w:sz w:val="28"/>
        <w:szCs w:val="28"/>
      </w:rPr>
      <w:t>-22-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A433">
    <w:pPr>
      <w:spacing w:line="234" w:lineRule="auto"/>
      <w:ind w:left="13051"/>
      <w:rPr>
        <w:rFonts w:ascii="宋体" w:hAnsi="宋体" w:eastAsia="宋体" w:cs="宋体"/>
        <w:sz w:val="28"/>
        <w:szCs w:val="28"/>
      </w:rPr>
    </w:pPr>
    <w:r>
      <w:rPr>
        <w:rFonts w:ascii="宋体" w:hAnsi="宋体" w:eastAsia="宋体" w:cs="宋体"/>
        <w:spacing w:val="-6"/>
        <w:sz w:val="28"/>
        <w:szCs w:val="28"/>
      </w:rPr>
      <w:t>-23-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01C4">
    <w:pPr>
      <w:spacing w:before="1" w:line="235" w:lineRule="auto"/>
      <w:ind w:left="122"/>
      <w:rPr>
        <w:rFonts w:ascii="宋体" w:hAnsi="宋体" w:eastAsia="宋体" w:cs="宋体"/>
        <w:sz w:val="28"/>
        <w:szCs w:val="28"/>
      </w:rPr>
    </w:pPr>
    <w:r>
      <w:rPr>
        <w:rFonts w:ascii="宋体" w:hAnsi="宋体" w:eastAsia="宋体" w:cs="宋体"/>
        <w:spacing w:val="-6"/>
        <w:sz w:val="28"/>
        <w:szCs w:val="28"/>
      </w:rPr>
      <w:t>-24-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1AC8">
    <w:pPr>
      <w:spacing w:line="234" w:lineRule="auto"/>
      <w:ind w:left="13051"/>
      <w:rPr>
        <w:rFonts w:ascii="宋体" w:hAnsi="宋体" w:eastAsia="宋体" w:cs="宋体"/>
        <w:sz w:val="28"/>
        <w:szCs w:val="28"/>
      </w:rPr>
    </w:pPr>
    <w:r>
      <w:rPr>
        <w:rFonts w:ascii="宋体" w:hAnsi="宋体" w:eastAsia="宋体" w:cs="宋体"/>
        <w:spacing w:val="-6"/>
        <w:sz w:val="28"/>
        <w:szCs w:val="28"/>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A2E3">
    <w:pPr>
      <w:spacing w:line="234" w:lineRule="auto"/>
      <w:ind w:left="122"/>
      <w:rPr>
        <w:rFonts w:ascii="宋体" w:hAnsi="宋体" w:eastAsia="宋体" w:cs="宋体"/>
        <w:sz w:val="28"/>
        <w:szCs w:val="28"/>
      </w:rPr>
    </w:pPr>
    <w:r>
      <w:rPr>
        <w:rFonts w:ascii="宋体" w:hAnsi="宋体" w:eastAsia="宋体" w:cs="宋体"/>
        <w:spacing w:val="-6"/>
        <w:sz w:val="28"/>
        <w:szCs w:val="28"/>
      </w:rPr>
      <w:t>-26-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76CA">
    <w:pPr>
      <w:spacing w:line="234" w:lineRule="auto"/>
      <w:ind w:left="13054"/>
      <w:rPr>
        <w:rFonts w:ascii="宋体" w:hAnsi="宋体" w:eastAsia="宋体" w:cs="宋体"/>
        <w:sz w:val="28"/>
        <w:szCs w:val="28"/>
      </w:rPr>
    </w:pPr>
    <w:r>
      <w:rPr>
        <w:rFonts w:ascii="宋体" w:hAnsi="宋体" w:eastAsia="宋体" w:cs="宋体"/>
        <w:spacing w:val="-6"/>
        <w:sz w:val="28"/>
        <w:szCs w:val="28"/>
      </w:rPr>
      <w:t>-27-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4FE1">
    <w:pPr>
      <w:spacing w:line="234" w:lineRule="auto"/>
      <w:ind w:left="125"/>
      <w:rPr>
        <w:rFonts w:ascii="宋体" w:hAnsi="宋体" w:eastAsia="宋体" w:cs="宋体"/>
        <w:sz w:val="28"/>
        <w:szCs w:val="28"/>
      </w:rPr>
    </w:pPr>
    <w:r>
      <w:rPr>
        <w:rFonts w:ascii="宋体" w:hAnsi="宋体" w:eastAsia="宋体" w:cs="宋体"/>
        <w:spacing w:val="-6"/>
        <w:sz w:val="28"/>
        <w:szCs w:val="28"/>
      </w:rPr>
      <w:t>-28-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1502A">
    <w:pPr>
      <w:spacing w:line="234" w:lineRule="auto"/>
      <w:ind w:left="13054"/>
      <w:rPr>
        <w:rFonts w:ascii="宋体" w:hAnsi="宋体" w:eastAsia="宋体" w:cs="宋体"/>
        <w:sz w:val="28"/>
        <w:szCs w:val="28"/>
      </w:rPr>
    </w:pPr>
    <w:r>
      <w:rPr>
        <w:rFonts w:ascii="宋体" w:hAnsi="宋体" w:eastAsia="宋体" w:cs="宋体"/>
        <w:spacing w:val="-6"/>
        <w:sz w:val="28"/>
        <w:szCs w:val="28"/>
      </w:rPr>
      <w:t>-29-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CCE1D">
    <w:pPr>
      <w:spacing w:line="234" w:lineRule="auto"/>
      <w:rPr>
        <w:rFonts w:ascii="宋体" w:hAnsi="宋体" w:eastAsia="宋体" w:cs="宋体"/>
        <w:sz w:val="28"/>
        <w:szCs w:val="28"/>
      </w:rPr>
    </w:pPr>
    <w:r>
      <w:rPr>
        <w:rFonts w:ascii="宋体" w:hAnsi="宋体" w:eastAsia="宋体" w:cs="宋体"/>
        <w:spacing w:val="-6"/>
        <w:sz w:val="28"/>
        <w:szCs w:val="28"/>
      </w:rPr>
      <w:t>-30-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137E">
    <w:pPr>
      <w:spacing w:line="234" w:lineRule="auto"/>
      <w:ind w:left="7995"/>
      <w:rPr>
        <w:rFonts w:ascii="宋体" w:hAnsi="宋体" w:eastAsia="宋体" w:cs="宋体"/>
        <w:sz w:val="28"/>
        <w:szCs w:val="28"/>
      </w:rPr>
    </w:pPr>
    <w:r>
      <w:rPr>
        <w:rFonts w:ascii="宋体" w:hAnsi="宋体" w:eastAsia="宋体" w:cs="宋体"/>
        <w:spacing w:val="-10"/>
        <w:sz w:val="28"/>
        <w:szCs w:val="28"/>
      </w:rPr>
      <w:t>-13-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433E8">
    <w:pPr>
      <w:spacing w:line="234" w:lineRule="auto"/>
      <w:ind w:left="7989"/>
      <w:rPr>
        <w:rFonts w:ascii="宋体" w:hAnsi="宋体" w:eastAsia="宋体" w:cs="宋体"/>
        <w:sz w:val="28"/>
        <w:szCs w:val="28"/>
      </w:rPr>
    </w:pPr>
    <w:r>
      <w:rPr>
        <w:rFonts w:ascii="宋体" w:hAnsi="宋体" w:eastAsia="宋体" w:cs="宋体"/>
        <w:spacing w:val="-6"/>
        <w:sz w:val="28"/>
        <w:szCs w:val="28"/>
      </w:rPr>
      <w:t>-31-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582E">
    <w:pPr>
      <w:spacing w:line="234" w:lineRule="auto"/>
      <w:ind w:left="12"/>
      <w:rPr>
        <w:rFonts w:ascii="宋体" w:hAnsi="宋体" w:eastAsia="宋体" w:cs="宋体"/>
        <w:sz w:val="28"/>
        <w:szCs w:val="28"/>
      </w:rPr>
    </w:pPr>
    <w:r>
      <w:rPr>
        <w:rFonts w:ascii="宋体" w:hAnsi="宋体" w:eastAsia="宋体" w:cs="宋体"/>
        <w:spacing w:val="-6"/>
        <w:sz w:val="28"/>
        <w:szCs w:val="2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65737">
    <w:pPr>
      <w:spacing w:before="1" w:line="235" w:lineRule="auto"/>
      <w:rPr>
        <w:rFonts w:ascii="宋体" w:hAnsi="宋体" w:eastAsia="宋体" w:cs="宋体"/>
        <w:sz w:val="28"/>
        <w:szCs w:val="28"/>
      </w:rPr>
    </w:pPr>
    <w:r>
      <w:rPr>
        <w:rFonts w:ascii="宋体" w:hAnsi="宋体" w:eastAsia="宋体" w:cs="宋体"/>
        <w:spacing w:val="-10"/>
        <w:sz w:val="28"/>
        <w:szCs w:val="28"/>
      </w:rP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A3B22">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E973F">
    <w:pPr>
      <w:spacing w:line="234" w:lineRule="auto"/>
      <w:rPr>
        <w:rFonts w:ascii="宋体" w:hAnsi="宋体" w:eastAsia="宋体" w:cs="宋体"/>
        <w:sz w:val="28"/>
        <w:szCs w:val="28"/>
      </w:rPr>
    </w:pPr>
    <w:r>
      <w:rPr>
        <w:rFonts w:ascii="宋体" w:hAnsi="宋体" w:eastAsia="宋体" w:cs="宋体"/>
        <w:spacing w:val="-10"/>
        <w:sz w:val="28"/>
        <w:szCs w:val="2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4EB81">
    <w:pPr>
      <w:spacing w:line="234"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7</w:t>
    </w:r>
    <w:r>
      <w:rPr>
        <w:rFonts w:ascii="宋体" w:hAnsi="宋体" w:eastAsia="宋体" w:cs="宋体"/>
        <w:spacing w:val="-10"/>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BAEA9">
    <w:pPr>
      <w:spacing w:line="234" w:lineRule="auto"/>
      <w:rPr>
        <w:rFonts w:ascii="宋体" w:hAnsi="宋体" w:eastAsia="宋体" w:cs="宋体"/>
        <w:sz w:val="28"/>
        <w:szCs w:val="28"/>
      </w:rPr>
    </w:pPr>
    <w:r>
      <w:rPr>
        <w:rFonts w:ascii="宋体" w:hAnsi="宋体" w:eastAsia="宋体" w:cs="宋体"/>
        <w:spacing w:val="-10"/>
        <w:sz w:val="28"/>
        <w:szCs w:val="28"/>
      </w:rPr>
      <w:t>-18-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F0DE">
    <w:pPr>
      <w:spacing w:line="234" w:lineRule="auto"/>
      <w:jc w:val="right"/>
      <w:rPr>
        <w:rFonts w:ascii="宋体" w:hAnsi="宋体" w:eastAsia="宋体" w:cs="宋体"/>
        <w:sz w:val="28"/>
        <w:szCs w:val="28"/>
      </w:rPr>
    </w:pPr>
    <w:r>
      <w:rPr>
        <w:rFonts w:ascii="宋体" w:hAnsi="宋体" w:eastAsia="宋体" w:cs="宋体"/>
        <w:spacing w:val="-13"/>
        <w:sz w:val="28"/>
        <w:szCs w:val="28"/>
      </w:rPr>
      <w:t>-1</w:t>
    </w:r>
    <w:r>
      <w:rPr>
        <w:rFonts w:ascii="宋体" w:hAnsi="宋体" w:eastAsia="宋体" w:cs="宋体"/>
        <w:spacing w:val="-12"/>
        <w:sz w:val="28"/>
        <w:szCs w:val="28"/>
      </w:rPr>
      <w:t>9</w:t>
    </w:r>
    <w:r>
      <w:rPr>
        <w:rFonts w:ascii="宋体" w:hAnsi="宋体" w:eastAsia="宋体" w:cs="宋体"/>
        <w:spacing w:val="-1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27F42">
    <w:pPr>
      <w:spacing w:line="234" w:lineRule="auto"/>
      <w:rPr>
        <w:rFonts w:ascii="宋体" w:hAnsi="宋体" w:eastAsia="宋体" w:cs="宋体"/>
        <w:sz w:val="28"/>
        <w:szCs w:val="28"/>
      </w:rPr>
    </w:pPr>
    <w:r>
      <w:rPr>
        <w:rFonts w:ascii="宋体" w:hAnsi="宋体" w:eastAsia="宋体" w:cs="宋体"/>
        <w:spacing w:val="-6"/>
        <w:sz w:val="28"/>
        <w:szCs w:val="28"/>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74DD">
    <w:pPr>
      <w:spacing w:before="35" w:line="231" w:lineRule="auto"/>
      <w:ind w:left="11"/>
      <w:rPr>
        <w:rFonts w:ascii="Times New Roman" w:hAnsi="Times New Roman" w:eastAsia="Times New Roman" w:cs="Times New Roman"/>
        <w:sz w:val="31"/>
        <w:szCs w:val="31"/>
      </w:rPr>
    </w:pPr>
    <w:r>
      <w:rPr>
        <w:rFonts w:ascii="方正黑体_GBK" w:hAnsi="方正黑体_GBK" w:eastAsia="方正黑体_GBK" w:cs="方正黑体_GBK"/>
        <w:spacing w:val="23"/>
        <w:sz w:val="31"/>
        <w:szCs w:val="31"/>
      </w:rPr>
      <w:t>附件</w:t>
    </w:r>
    <w:r>
      <w:rPr>
        <w:rFonts w:ascii="Times New Roman" w:hAnsi="Times New Roman" w:eastAsia="Times New Roman" w:cs="Times New Roman"/>
        <w:spacing w:val="23"/>
        <w:sz w:val="31"/>
        <w:szCs w:val="31"/>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9BD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D1E3280"/>
    <w:rsid w:val="75041B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方正仿宋_GBK" w:hAnsi="方正仿宋_GBK" w:eastAsia="方正仿宋_GBK" w:cs="方正仿宋_GBK"/>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1.xml"/><Relationship Id="rId26" Type="http://schemas.openxmlformats.org/officeDocument/2006/relationships/header" Target="header2.xml"/><Relationship Id="rId25" Type="http://schemas.openxmlformats.org/officeDocument/2006/relationships/footer" Target="footer20.xml"/><Relationship Id="rId24" Type="http://schemas.openxmlformats.org/officeDocument/2006/relationships/header" Target="header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6644</Words>
  <Characters>6752</Characters>
  <TotalTime>5</TotalTime>
  <ScaleCrop>false</ScaleCrop>
  <LinksUpToDate>false</LinksUpToDate>
  <CharactersWithSpaces>7254</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2025-08-12T09:40:00Z</dcterms:created>
  <dc:creator>杨洋2</dc:creator>
  <cp:lastModifiedBy>袁航</cp:lastModifiedBy>
  <dcterms:modified xsi:type="dcterms:W3CDTF">2025-11-07T07:37:24Z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2025-11-07T15:32:07Z</vt:filetime>
  </property>
  <property fmtid="{D5CDD505-2E9C-101B-9397-08002B2CF9AE}" pid="4" name="KSOTemplateDocerSaveRecord">
    <vt:lpwstr>eyJoZGlkIjoiOTkwZmY5M2FiOGI3NmUxNmU3Mzg0ZTkyMmNkZjI3NWMiLCJ1c2VySWQiOiIxNjc5NDU3OTgyIn0=</vt:lpwstr>
  </property>
  <property fmtid="{D5CDD505-2E9C-101B-9397-08002B2CF9AE}" pid="5" name="KSOProductBuildVer">
    <vt:lpwstr>2052-12.1.0.21915</vt:lpwstr>
  </property>
  <property fmtid="{D5CDD505-2E9C-101B-9397-08002B2CF9AE}" pid="6" name="ICV">
    <vt:lpwstr>63DF073B13A24BFF96331EA8E98CF752_12</vt:lpwstr>
  </property>
</Properties>
</file>