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textAlignment w:val="baseline"/>
        <w:rPr>
          <w:rFonts w:ascii="宋体" w:hAnsi="宋体" w:eastAsia="方正小标宋_GBK"/>
          <w:color w:val="000000"/>
          <w:sz w:val="44"/>
          <w:szCs w:val="44"/>
          <w:highlight w:val="none"/>
        </w:rPr>
      </w:pPr>
      <w:bookmarkStart w:id="0" w:name="_GoBack"/>
      <w:r>
        <w:rPr>
          <w:rFonts w:hint="eastAsia" w:ascii="宋体" w:hAnsi="宋体" w:eastAsia="方正小标宋_GBK"/>
          <w:color w:val="000000"/>
          <w:sz w:val="44"/>
          <w:szCs w:val="44"/>
          <w:highlight w:val="none"/>
        </w:rPr>
        <w:t>“两病”门诊用药</w:t>
      </w:r>
      <w:r>
        <w:rPr>
          <w:rFonts w:ascii="宋体" w:hAnsi="宋体" w:eastAsia="方正小标宋_GBK"/>
          <w:color w:val="000000"/>
          <w:sz w:val="44"/>
          <w:szCs w:val="44"/>
          <w:highlight w:val="none"/>
        </w:rPr>
        <w:t>保障</w:t>
      </w:r>
      <w:bookmarkEnd w:id="0"/>
    </w:p>
    <w:p>
      <w:pPr>
        <w:spacing w:line="579" w:lineRule="exact"/>
        <w:rPr>
          <w:rFonts w:ascii="宋体" w:hAnsi="宋体"/>
          <w:color w:val="000000"/>
          <w:szCs w:val="32"/>
          <w:highlight w:val="none"/>
        </w:rPr>
      </w:pPr>
    </w:p>
    <w:p>
      <w:pPr>
        <w:spacing w:line="579" w:lineRule="exact"/>
        <w:ind w:firstLine="640" w:firstLineChars="200"/>
        <w:rPr>
          <w:rFonts w:ascii="方正黑体_GBK" w:eastAsia="方正黑体_GBK"/>
          <w:color w:val="000000"/>
          <w:szCs w:val="32"/>
          <w:highlight w:val="none"/>
        </w:rPr>
      </w:pPr>
      <w:r>
        <w:rPr>
          <w:rFonts w:hint="eastAsia" w:ascii="方正黑体_GBK" w:eastAsia="方正黑体_GBK"/>
          <w:color w:val="000000"/>
          <w:szCs w:val="32"/>
          <w:highlight w:val="none"/>
        </w:rPr>
        <w:t>一、适用人群</w:t>
      </w:r>
    </w:p>
    <w:p>
      <w:pPr>
        <w:spacing w:line="579" w:lineRule="exact"/>
        <w:ind w:firstLine="640" w:firstLineChars="200"/>
        <w:rPr>
          <w:rFonts w:ascii="宋体" w:hAnsi="宋体"/>
          <w:color w:val="000000"/>
          <w:szCs w:val="32"/>
          <w:highlight w:val="none"/>
        </w:rPr>
      </w:pPr>
      <w:r>
        <w:rPr>
          <w:rFonts w:hint="eastAsia" w:ascii="宋体" w:hAnsi="宋体"/>
          <w:color w:val="000000"/>
          <w:szCs w:val="32"/>
          <w:highlight w:val="none"/>
        </w:rPr>
        <w:t>符合中国高血压、糖尿病防治指南标准，需长期门诊用药的参加了重庆市城镇职工医保或城乡居民医保的“两病”患者，经诊断机构鉴定符合“两病标准”的可获得门诊用药资格。</w:t>
      </w:r>
    </w:p>
    <w:p>
      <w:pPr>
        <w:spacing w:line="579" w:lineRule="exact"/>
        <w:ind w:firstLine="640" w:firstLineChars="200"/>
        <w:rPr>
          <w:rFonts w:ascii="方正黑体_GBK" w:eastAsia="方正黑体_GBK"/>
          <w:color w:val="000000"/>
          <w:szCs w:val="32"/>
          <w:highlight w:val="none"/>
        </w:rPr>
      </w:pPr>
      <w:r>
        <w:rPr>
          <w:rFonts w:hint="eastAsia" w:ascii="方正黑体_GBK" w:eastAsia="方正黑体_GBK"/>
          <w:color w:val="000000"/>
          <w:szCs w:val="32"/>
          <w:highlight w:val="none"/>
        </w:rPr>
        <w:t>二、诊断管理</w:t>
      </w:r>
    </w:p>
    <w:p>
      <w:pPr>
        <w:spacing w:line="579" w:lineRule="exact"/>
        <w:ind w:firstLine="640" w:firstLineChars="200"/>
        <w:rPr>
          <w:rFonts w:ascii="方正楷体_GBK" w:eastAsia="方正楷体_GBK"/>
          <w:color w:val="000000"/>
          <w:szCs w:val="32"/>
          <w:highlight w:val="none"/>
        </w:rPr>
      </w:pPr>
      <w:r>
        <w:rPr>
          <w:rFonts w:hint="eastAsia" w:ascii="方正楷体_GBK" w:eastAsia="方正楷体_GBK"/>
          <w:color w:val="000000"/>
          <w:szCs w:val="32"/>
          <w:highlight w:val="none"/>
        </w:rPr>
        <w:t>（一）诊断机构</w:t>
      </w:r>
    </w:p>
    <w:p>
      <w:pPr>
        <w:snapToGrid w:val="0"/>
        <w:spacing w:line="620" w:lineRule="exact"/>
        <w:ind w:firstLine="640" w:firstLineChars="200"/>
        <w:rPr>
          <w:color w:val="000000"/>
          <w:szCs w:val="32"/>
          <w:highlight w:val="none"/>
        </w:rPr>
      </w:pPr>
      <w:r>
        <w:rPr>
          <w:rFonts w:hint="eastAsia" w:cs="方正仿宋_GBK"/>
          <w:color w:val="000000"/>
          <w:highlight w:val="none"/>
        </w:rPr>
        <w:t>诊断机构扩大到</w:t>
      </w:r>
      <w:r>
        <w:rPr>
          <w:rFonts w:hint="eastAsia"/>
          <w:color w:val="000000"/>
          <w:szCs w:val="32"/>
          <w:highlight w:val="none"/>
        </w:rPr>
        <w:t>我市一、二、三级医保定点医疗机构，取得执业医师资格的医生作为诊断医师。江津区内镇（街）卫生院（社区卫生服务中心）及在其级别以上的医保定点医疗机构均可诊断。</w:t>
      </w:r>
    </w:p>
    <w:p>
      <w:pPr>
        <w:snapToGrid w:val="0"/>
        <w:spacing w:line="620" w:lineRule="exact"/>
        <w:ind w:firstLine="640" w:firstLineChars="200"/>
        <w:rPr>
          <w:rFonts w:ascii="方正楷体_GBK" w:eastAsia="方正楷体_GBK"/>
          <w:color w:val="000000"/>
          <w:szCs w:val="32"/>
          <w:highlight w:val="none"/>
        </w:rPr>
      </w:pPr>
      <w:r>
        <w:rPr>
          <w:rFonts w:hint="eastAsia" w:ascii="方正楷体_GBK" w:eastAsia="方正楷体_GBK"/>
          <w:color w:val="000000"/>
          <w:szCs w:val="32"/>
          <w:highlight w:val="none"/>
        </w:rPr>
        <w:t>（二）诊断确定</w:t>
      </w:r>
    </w:p>
    <w:p>
      <w:pPr>
        <w:snapToGrid w:val="0"/>
        <w:spacing w:line="620" w:lineRule="exact"/>
        <w:ind w:firstLine="640" w:firstLineChars="200"/>
        <w:rPr>
          <w:color w:val="000000"/>
          <w:szCs w:val="32"/>
          <w:highlight w:val="none"/>
        </w:rPr>
      </w:pPr>
      <w:r>
        <w:rPr>
          <w:rFonts w:hint="eastAsia"/>
          <w:color w:val="000000"/>
          <w:szCs w:val="32"/>
          <w:highlight w:val="none"/>
        </w:rPr>
        <w:t>职工医保和居民医保参保人在医疗机构申报或在就医过程中符合“两病”诊断标准的，可申请“两病”门诊用药保障待遇，由就诊医疗机构在医保信息系统为其办理“两病”门诊用药保障待遇后获得门诊用药资格。</w:t>
      </w:r>
    </w:p>
    <w:p>
      <w:pPr>
        <w:spacing w:line="560" w:lineRule="exact"/>
        <w:ind w:firstLine="640" w:firstLineChars="200"/>
        <w:rPr>
          <w:color w:val="000000"/>
          <w:szCs w:val="32"/>
          <w:highlight w:val="none"/>
        </w:rPr>
      </w:pPr>
      <w:r>
        <w:rPr>
          <w:rFonts w:hint="eastAsia"/>
          <w:color w:val="000000"/>
          <w:szCs w:val="32"/>
          <w:highlight w:val="none"/>
        </w:rPr>
        <w:t>其他：</w:t>
      </w:r>
    </w:p>
    <w:p>
      <w:pPr>
        <w:spacing w:line="560" w:lineRule="exact"/>
        <w:ind w:firstLine="640" w:firstLineChars="200"/>
        <w:rPr>
          <w:color w:val="000000"/>
          <w:szCs w:val="32"/>
          <w:highlight w:val="none"/>
        </w:rPr>
      </w:pPr>
      <w:r>
        <w:rPr>
          <w:rFonts w:hint="eastAsia"/>
          <w:color w:val="000000"/>
          <w:szCs w:val="32"/>
          <w:highlight w:val="none"/>
        </w:rPr>
        <w:t>1.居民医保</w:t>
      </w:r>
    </w:p>
    <w:p>
      <w:pPr>
        <w:spacing w:line="560" w:lineRule="exact"/>
        <w:ind w:firstLine="640" w:firstLineChars="200"/>
        <w:rPr>
          <w:rFonts w:cs="方正仿宋_GBK"/>
          <w:color w:val="000000"/>
          <w:highlight w:val="none"/>
        </w:rPr>
      </w:pPr>
      <w:r>
        <w:rPr>
          <w:rFonts w:hint="eastAsia" w:cs="方正仿宋_GBK"/>
          <w:color w:val="000000"/>
          <w:highlight w:val="none"/>
        </w:rPr>
        <w:t>已经获得我市原城乡居民“两病”门诊用药保障资格或居民医保高血压、糖尿病特病资格的患者自动成为我市“两病”用药保障对象；已经在卫生健康部门实行规范化管理的城乡居民“两病”参保人自动成为我市“两病”用药保障对象。</w:t>
      </w:r>
    </w:p>
    <w:p>
      <w:pPr>
        <w:snapToGrid w:val="0"/>
        <w:spacing w:line="620" w:lineRule="exact"/>
        <w:ind w:firstLine="640" w:firstLineChars="200"/>
        <w:rPr>
          <w:rFonts w:ascii="宋体" w:hAnsi="宋体"/>
          <w:color w:val="000000"/>
          <w:szCs w:val="32"/>
          <w:highlight w:val="none"/>
        </w:rPr>
      </w:pPr>
      <w:r>
        <w:rPr>
          <w:rFonts w:hint="eastAsia" w:ascii="宋体" w:hAnsi="宋体"/>
          <w:color w:val="000000"/>
          <w:szCs w:val="32"/>
          <w:highlight w:val="none"/>
        </w:rPr>
        <w:t>2.职工医保</w:t>
      </w:r>
    </w:p>
    <w:p>
      <w:pPr>
        <w:snapToGrid w:val="0"/>
        <w:spacing w:line="620" w:lineRule="exact"/>
        <w:ind w:firstLine="640" w:firstLineChars="200"/>
        <w:rPr>
          <w:color w:val="000000"/>
          <w:szCs w:val="32"/>
          <w:highlight w:val="none"/>
        </w:rPr>
      </w:pPr>
      <w:r>
        <w:rPr>
          <w:rFonts w:hint="eastAsia"/>
          <w:color w:val="000000"/>
          <w:szCs w:val="32"/>
          <w:highlight w:val="none"/>
        </w:rPr>
        <w:t>已经享受我市职工医保高血压、糖尿病门诊特殊疾病待遇的患者可自愿申请成为我市“两病”门诊用药保障对象；未享受门诊特殊疾病待遇但已经在卫生健康部门实行规范化管理的职工医保“两病”参保人可在对其进行规范化管理的医疗机构申请成为我市“两病”门诊用药保障对象。</w:t>
      </w:r>
    </w:p>
    <w:p>
      <w:pPr>
        <w:snapToGrid w:val="0"/>
        <w:spacing w:line="620" w:lineRule="exact"/>
        <w:ind w:firstLine="640" w:firstLineChars="200"/>
        <w:rPr>
          <w:rFonts w:ascii="宋体" w:hAnsi="宋体"/>
          <w:color w:val="000000"/>
          <w:szCs w:val="32"/>
          <w:highlight w:val="none"/>
        </w:rPr>
      </w:pPr>
      <w:r>
        <w:rPr>
          <w:rFonts w:hint="eastAsia"/>
          <w:color w:val="000000"/>
          <w:szCs w:val="32"/>
          <w:highlight w:val="none"/>
        </w:rPr>
        <w:t>3.我市城乡居民基本医疗保险“两病”门诊用药保障与我市职工医保“两病”门诊用药保障实行互认，转换参保险种时无需重复检查。</w:t>
      </w:r>
      <w:r>
        <w:rPr>
          <w:rFonts w:hint="eastAsia" w:cs="方正仿宋_GBK"/>
          <w:color w:val="000000"/>
          <w:highlight w:val="none"/>
        </w:rPr>
        <w:t>两病”患者原则上</w:t>
      </w:r>
      <w:r>
        <w:rPr>
          <w:rFonts w:hint="eastAsia"/>
          <w:color w:val="000000"/>
          <w:highlight w:val="none"/>
        </w:rPr>
        <w:t>不单独办理“两病”就医</w:t>
      </w:r>
      <w:r>
        <w:rPr>
          <w:color w:val="000000"/>
          <w:highlight w:val="none"/>
        </w:rPr>
        <w:t>凭</w:t>
      </w:r>
      <w:r>
        <w:rPr>
          <w:rFonts w:hint="eastAsia"/>
          <w:color w:val="000000"/>
          <w:highlight w:val="none"/>
        </w:rPr>
        <w:t>证，</w:t>
      </w:r>
      <w:r>
        <w:rPr>
          <w:rFonts w:hint="eastAsia" w:cs="方正仿宋_GBK"/>
          <w:color w:val="000000"/>
          <w:highlight w:val="none"/>
        </w:rPr>
        <w:t>直接凭社会保障卡或电子医保凭证就医。对确有必要办理“两病”就医</w:t>
      </w:r>
      <w:r>
        <w:rPr>
          <w:rFonts w:cs="方正仿宋_GBK"/>
          <w:color w:val="000000"/>
          <w:highlight w:val="none"/>
        </w:rPr>
        <w:t>凭</w:t>
      </w:r>
      <w:r>
        <w:rPr>
          <w:rFonts w:hint="eastAsia" w:cs="方正仿宋_GBK"/>
          <w:color w:val="000000"/>
          <w:highlight w:val="none"/>
        </w:rPr>
        <w:t>证的，也可由诊断机构为其办理“两病”就医凭证。</w:t>
      </w:r>
    </w:p>
    <w:p>
      <w:pPr>
        <w:spacing w:line="579" w:lineRule="exact"/>
        <w:ind w:firstLine="640" w:firstLineChars="200"/>
        <w:rPr>
          <w:rFonts w:ascii="方正黑体_GBK" w:eastAsia="方正黑体_GBK"/>
          <w:color w:val="000000"/>
          <w:szCs w:val="32"/>
          <w:highlight w:val="none"/>
        </w:rPr>
      </w:pPr>
      <w:r>
        <w:rPr>
          <w:rFonts w:hint="eastAsia" w:ascii="方正黑体_GBK" w:eastAsia="方正黑体_GBK"/>
          <w:color w:val="000000"/>
          <w:szCs w:val="32"/>
          <w:highlight w:val="none"/>
        </w:rPr>
        <w:t>三、“两病”门诊用药保障</w:t>
      </w:r>
    </w:p>
    <w:p>
      <w:pPr>
        <w:spacing w:line="579" w:lineRule="exact"/>
        <w:ind w:firstLine="640" w:firstLineChars="200"/>
        <w:textAlignment w:val="baseline"/>
        <w:rPr>
          <w:rFonts w:ascii="宋体" w:hAnsi="宋体" w:cs="方正仿宋_GBK"/>
          <w:color w:val="000000"/>
          <w:szCs w:val="32"/>
          <w:highlight w:val="none"/>
        </w:rPr>
      </w:pPr>
      <w:r>
        <w:rPr>
          <w:rFonts w:hint="eastAsia" w:ascii="宋体" w:hAnsi="宋体" w:cs="方正仿宋_GBK"/>
          <w:color w:val="000000"/>
          <w:szCs w:val="32"/>
          <w:highlight w:val="none"/>
        </w:rPr>
        <w:t>“两病”门诊用药</w:t>
      </w:r>
      <w:r>
        <w:rPr>
          <w:rFonts w:ascii="宋体" w:hAnsi="宋体" w:cs="方正仿宋_GBK"/>
          <w:color w:val="000000"/>
          <w:szCs w:val="32"/>
          <w:highlight w:val="none"/>
        </w:rPr>
        <w:t>通过按项目付费和按人头付费两种方式予以保障。</w:t>
      </w:r>
      <w:r>
        <w:rPr>
          <w:rFonts w:hint="eastAsia" w:ascii="宋体" w:hAnsi="宋体" w:cs="方正仿宋_GBK"/>
          <w:color w:val="000000"/>
          <w:szCs w:val="32"/>
          <w:highlight w:val="none"/>
        </w:rPr>
        <w:t>付费</w:t>
      </w:r>
      <w:r>
        <w:rPr>
          <w:rFonts w:ascii="宋体" w:hAnsi="宋体" w:cs="方正仿宋_GBK"/>
          <w:color w:val="000000"/>
          <w:szCs w:val="32"/>
          <w:highlight w:val="none"/>
        </w:rPr>
        <w:t>方式原则上一年只能变更</w:t>
      </w:r>
      <w:r>
        <w:rPr>
          <w:rFonts w:hint="eastAsia" w:ascii="宋体" w:hAnsi="宋体" w:cs="方正仿宋_GBK"/>
          <w:color w:val="000000"/>
          <w:szCs w:val="32"/>
          <w:highlight w:val="none"/>
        </w:rPr>
        <w:t>一次</w:t>
      </w:r>
      <w:r>
        <w:rPr>
          <w:rFonts w:ascii="宋体" w:hAnsi="宋体" w:cs="方正仿宋_GBK"/>
          <w:color w:val="000000"/>
          <w:szCs w:val="32"/>
          <w:highlight w:val="none"/>
        </w:rPr>
        <w:t>，变更后次年生效。</w:t>
      </w:r>
    </w:p>
    <w:p>
      <w:pPr>
        <w:pStyle w:val="5"/>
        <w:spacing w:line="579" w:lineRule="exact"/>
        <w:textAlignment w:val="baseline"/>
        <w:rPr>
          <w:rFonts w:ascii="方正楷体_GBK" w:eastAsia="方正楷体_GBK" w:cs="方正仿宋_GBK"/>
          <w:color w:val="000000"/>
          <w:szCs w:val="32"/>
          <w:highlight w:val="none"/>
        </w:rPr>
      </w:pPr>
      <w:r>
        <w:rPr>
          <w:rFonts w:hint="eastAsia" w:ascii="方正楷体_GBK" w:eastAsia="方正楷体_GBK" w:cs="方正仿宋_GBK"/>
          <w:color w:val="000000"/>
          <w:szCs w:val="32"/>
          <w:highlight w:val="none"/>
        </w:rPr>
        <w:t>（一）按项目付费</w:t>
      </w:r>
    </w:p>
    <w:p>
      <w:pPr>
        <w:widowControl/>
        <w:shd w:val="clear" w:color="auto" w:fill="FFFFFF"/>
        <w:spacing w:after="240" w:line="600" w:lineRule="atLeast"/>
        <w:ind w:firstLine="482"/>
        <w:rPr>
          <w:rFonts w:ascii="宋体" w:hAnsi="宋体" w:cs="方正仿宋_GBK"/>
          <w:color w:val="000000"/>
          <w:szCs w:val="32"/>
          <w:highlight w:val="none"/>
        </w:rPr>
      </w:pPr>
      <w:r>
        <w:rPr>
          <w:rFonts w:hint="eastAsia" w:ascii="宋体" w:hAnsi="宋体" w:eastAsia="方正楷体_GBK" w:cs="方正楷体_GBK"/>
          <w:color w:val="000000"/>
          <w:szCs w:val="32"/>
          <w:highlight w:val="none"/>
        </w:rPr>
        <w:t>“</w:t>
      </w:r>
      <w:r>
        <w:rPr>
          <w:rFonts w:hint="eastAsia" w:ascii="宋体" w:hAnsi="宋体" w:cs="方正仿宋_GBK"/>
          <w:color w:val="000000"/>
          <w:szCs w:val="32"/>
          <w:highlight w:val="none"/>
        </w:rPr>
        <w:t>两病”患者在全市所有医保定点医疗机构或</w:t>
      </w:r>
      <w:r>
        <w:rPr>
          <w:rFonts w:hint="eastAsia" w:ascii="方正仿宋_GBK" w:cs="宋体"/>
          <w:color w:val="000000"/>
          <w:kern w:val="0"/>
          <w:szCs w:val="32"/>
          <w:highlight w:val="none"/>
        </w:rPr>
        <w:t>能稳定供应集中带量采购药品且已联通医保“两病”管理平台的定点零售药店</w:t>
      </w:r>
      <w:r>
        <w:rPr>
          <w:rFonts w:hint="eastAsia" w:ascii="宋体" w:hAnsi="宋体" w:cs="方正仿宋_GBK"/>
          <w:color w:val="000000"/>
          <w:szCs w:val="32"/>
          <w:highlight w:val="none"/>
        </w:rPr>
        <w:t>按规定进行报销。</w:t>
      </w:r>
    </w:p>
    <w:tbl>
      <w:tblPr>
        <w:tblStyle w:val="3"/>
        <w:tblW w:w="893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
        <w:gridCol w:w="709"/>
        <w:gridCol w:w="1134"/>
        <w:gridCol w:w="709"/>
        <w:gridCol w:w="729"/>
        <w:gridCol w:w="660"/>
        <w:gridCol w:w="660"/>
        <w:gridCol w:w="795"/>
        <w:gridCol w:w="690"/>
        <w:gridCol w:w="2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134" w:type="dxa"/>
            <w:gridSpan w:val="2"/>
            <w:vMerge w:val="restart"/>
            <w:vAlign w:val="center"/>
          </w:tcPr>
          <w:p>
            <w:pPr>
              <w:keepNext w:val="0"/>
              <w:keepLines w:val="0"/>
              <w:suppressLineNumbers w:val="0"/>
              <w:spacing w:before="0" w:beforeAutospacing="0" w:after="0" w:afterAutospacing="0" w:line="300"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default" w:ascii="宋体" w:hAnsi="宋体" w:cs="方正仿宋_GBK"/>
                <w:color w:val="000000"/>
                <w:spacing w:val="-20"/>
                <w:sz w:val="24"/>
                <w:szCs w:val="24"/>
                <w:highlight w:val="none"/>
              </w:rPr>
              <w:t>报销</w:t>
            </w:r>
          </w:p>
          <w:p>
            <w:pPr>
              <w:keepNext w:val="0"/>
              <w:keepLines w:val="0"/>
              <w:suppressLineNumbers w:val="0"/>
              <w:spacing w:before="0" w:beforeAutospacing="0" w:after="0" w:afterAutospacing="0" w:line="300"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default" w:ascii="宋体" w:hAnsi="宋体" w:cs="方正仿宋_GBK"/>
                <w:color w:val="000000"/>
                <w:spacing w:val="-20"/>
                <w:sz w:val="24"/>
                <w:szCs w:val="24"/>
                <w:highlight w:val="none"/>
              </w:rPr>
              <w:t>险种</w:t>
            </w:r>
          </w:p>
        </w:tc>
        <w:tc>
          <w:tcPr>
            <w:tcW w:w="1134" w:type="dxa"/>
            <w:vMerge w:val="restart"/>
            <w:vAlign w:val="center"/>
          </w:tcPr>
          <w:p>
            <w:pPr>
              <w:keepNext w:val="0"/>
              <w:keepLines w:val="0"/>
              <w:suppressLineNumbers w:val="0"/>
              <w:spacing w:before="0" w:beforeAutospacing="0" w:after="0" w:afterAutospacing="0" w:line="300"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药品类别</w:t>
            </w:r>
          </w:p>
        </w:tc>
        <w:tc>
          <w:tcPr>
            <w:tcW w:w="1438" w:type="dxa"/>
            <w:gridSpan w:val="2"/>
            <w:vAlign w:val="center"/>
          </w:tcPr>
          <w:p>
            <w:pPr>
              <w:keepNext w:val="0"/>
              <w:keepLines w:val="0"/>
              <w:suppressLineNumbers w:val="0"/>
              <w:spacing w:before="0" w:beforeAutospacing="0" w:after="0" w:afterAutospacing="0"/>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一级医院</w:t>
            </w:r>
          </w:p>
        </w:tc>
        <w:tc>
          <w:tcPr>
            <w:tcW w:w="1320" w:type="dxa"/>
            <w:gridSpan w:val="2"/>
          </w:tcPr>
          <w:p>
            <w:pPr>
              <w:keepNext w:val="0"/>
              <w:keepLines w:val="0"/>
              <w:suppressLineNumbers w:val="0"/>
              <w:spacing w:before="0" w:beforeAutospacing="0" w:after="0" w:afterAutospacing="0"/>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二级医院</w:t>
            </w:r>
          </w:p>
        </w:tc>
        <w:tc>
          <w:tcPr>
            <w:tcW w:w="1485" w:type="dxa"/>
            <w:gridSpan w:val="2"/>
          </w:tcPr>
          <w:p>
            <w:pPr>
              <w:keepNext w:val="0"/>
              <w:keepLines w:val="0"/>
              <w:suppressLineNumbers w:val="0"/>
              <w:spacing w:before="0" w:beforeAutospacing="0" w:after="0" w:afterAutospacing="0"/>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三级医院</w:t>
            </w:r>
          </w:p>
        </w:tc>
        <w:tc>
          <w:tcPr>
            <w:tcW w:w="2419" w:type="dxa"/>
            <w:vMerge w:val="restart"/>
            <w:vAlign w:val="center"/>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报销限额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34" w:type="dxa"/>
            <w:gridSpan w:val="2"/>
            <w:vMerge w:val="continue"/>
          </w:tcPr>
          <w:p>
            <w:pPr>
              <w:keepNext w:val="0"/>
              <w:keepLines w:val="0"/>
              <w:suppressLineNumbers w:val="0"/>
              <w:spacing w:before="0" w:beforeAutospacing="0" w:after="0" w:afterAutospacing="0"/>
              <w:ind w:left="0" w:right="0"/>
              <w:rPr>
                <w:rFonts w:hint="default"/>
                <w:szCs w:val="20"/>
                <w:highlight w:val="none"/>
              </w:rPr>
            </w:pPr>
          </w:p>
        </w:tc>
        <w:tc>
          <w:tcPr>
            <w:tcW w:w="1134" w:type="dxa"/>
            <w:vMerge w:val="continue"/>
            <w:vAlign w:val="center"/>
          </w:tcPr>
          <w:p>
            <w:pPr>
              <w:keepNext w:val="0"/>
              <w:keepLines w:val="0"/>
              <w:suppressLineNumbers w:val="0"/>
              <w:spacing w:before="0" w:beforeAutospacing="0" w:after="0" w:afterAutospacing="0"/>
              <w:ind w:left="0" w:right="0"/>
              <w:rPr>
                <w:rFonts w:hint="default"/>
                <w:szCs w:val="20"/>
                <w:highlight w:val="none"/>
              </w:rPr>
            </w:pPr>
          </w:p>
        </w:tc>
        <w:tc>
          <w:tcPr>
            <w:tcW w:w="709" w:type="dxa"/>
            <w:vAlign w:val="center"/>
          </w:tcPr>
          <w:p>
            <w:pPr>
              <w:keepNext w:val="0"/>
              <w:keepLines w:val="0"/>
              <w:suppressLineNumbers w:val="0"/>
              <w:spacing w:before="0" w:beforeAutospacing="0" w:after="0" w:afterAutospacing="0"/>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起付线</w:t>
            </w:r>
          </w:p>
        </w:tc>
        <w:tc>
          <w:tcPr>
            <w:tcW w:w="729" w:type="dxa"/>
            <w:vAlign w:val="center"/>
          </w:tcPr>
          <w:p>
            <w:pPr>
              <w:keepNext w:val="0"/>
              <w:keepLines w:val="0"/>
              <w:suppressLineNumbers w:val="0"/>
              <w:spacing w:before="0" w:beforeAutospacing="0" w:after="0" w:afterAutospacing="0" w:line="300"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报销比例</w:t>
            </w:r>
          </w:p>
        </w:tc>
        <w:tc>
          <w:tcPr>
            <w:tcW w:w="660" w:type="dxa"/>
            <w:vAlign w:val="center"/>
          </w:tcPr>
          <w:p>
            <w:pPr>
              <w:keepNext w:val="0"/>
              <w:keepLines w:val="0"/>
              <w:suppressLineNumbers w:val="0"/>
              <w:spacing w:before="0" w:beforeAutospacing="0" w:after="0" w:afterAutospacing="0" w:line="300"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起付线</w:t>
            </w:r>
          </w:p>
        </w:tc>
        <w:tc>
          <w:tcPr>
            <w:tcW w:w="660" w:type="dxa"/>
            <w:vAlign w:val="center"/>
          </w:tcPr>
          <w:p>
            <w:pPr>
              <w:keepNext w:val="0"/>
              <w:keepLines w:val="0"/>
              <w:suppressLineNumbers w:val="0"/>
              <w:spacing w:before="0" w:beforeAutospacing="0" w:after="0" w:afterAutospacing="0" w:line="300"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报销比例</w:t>
            </w:r>
          </w:p>
        </w:tc>
        <w:tc>
          <w:tcPr>
            <w:tcW w:w="795" w:type="dxa"/>
            <w:vAlign w:val="center"/>
          </w:tcPr>
          <w:p>
            <w:pPr>
              <w:keepNext w:val="0"/>
              <w:keepLines w:val="0"/>
              <w:suppressLineNumbers w:val="0"/>
              <w:spacing w:before="0" w:beforeAutospacing="0" w:after="0" w:afterAutospacing="0" w:line="300"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起付线</w:t>
            </w:r>
          </w:p>
        </w:tc>
        <w:tc>
          <w:tcPr>
            <w:tcW w:w="690" w:type="dxa"/>
            <w:vAlign w:val="center"/>
          </w:tcPr>
          <w:p>
            <w:pPr>
              <w:keepNext w:val="0"/>
              <w:keepLines w:val="0"/>
              <w:suppressLineNumbers w:val="0"/>
              <w:spacing w:before="0" w:beforeAutospacing="0" w:after="0" w:afterAutospacing="0" w:line="300"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报销比例</w:t>
            </w:r>
          </w:p>
        </w:tc>
        <w:tc>
          <w:tcPr>
            <w:tcW w:w="2419" w:type="dxa"/>
            <w:vMerge w:val="continue"/>
            <w:vAlign w:val="center"/>
          </w:tcPr>
          <w:p>
            <w:pPr>
              <w:keepNext w:val="0"/>
              <w:keepLines w:val="0"/>
              <w:suppressLineNumbers w:val="0"/>
              <w:spacing w:before="0" w:beforeAutospacing="0" w:after="0" w:afterAutospacing="0"/>
              <w:ind w:left="0" w:right="0"/>
              <w:rPr>
                <w:rFonts w:hint="default"/>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 w:type="dxa"/>
            <w:vMerge w:val="restart"/>
            <w:vAlign w:val="center"/>
          </w:tcPr>
          <w:p>
            <w:pPr>
              <w:keepNext w:val="0"/>
              <w:keepLines w:val="0"/>
              <w:suppressLineNumbers w:val="0"/>
              <w:spacing w:before="0" w:beforeAutospacing="0" w:after="0" w:afterAutospacing="0"/>
              <w:ind w:left="-96" w:leftChars="-30" w:right="-96" w:rightChars="-30"/>
              <w:jc w:val="center"/>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居民</w:t>
            </w:r>
          </w:p>
          <w:p>
            <w:pPr>
              <w:keepNext w:val="0"/>
              <w:keepLines w:val="0"/>
              <w:suppressLineNumbers w:val="0"/>
              <w:spacing w:before="0" w:beforeAutospacing="0" w:after="0" w:afterAutospacing="0"/>
              <w:ind w:left="-96" w:leftChars="-30" w:right="-96" w:rightChars="-30"/>
              <w:jc w:val="center"/>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医保</w:t>
            </w:r>
          </w:p>
        </w:tc>
        <w:tc>
          <w:tcPr>
            <w:tcW w:w="709" w:type="dxa"/>
            <w:vMerge w:val="restart"/>
            <w:vAlign w:val="center"/>
          </w:tcPr>
          <w:p>
            <w:pPr>
              <w:keepNext w:val="0"/>
              <w:keepLines w:val="0"/>
              <w:suppressLineNumbers w:val="0"/>
              <w:spacing w:before="0" w:beforeAutospacing="0" w:after="0" w:afterAutospacing="0" w:line="300" w:lineRule="exact"/>
              <w:ind w:left="-96" w:leftChars="-30" w:right="-64" w:rightChars="-20"/>
              <w:jc w:val="center"/>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一类管理对象</w:t>
            </w:r>
          </w:p>
        </w:tc>
        <w:tc>
          <w:tcPr>
            <w:tcW w:w="1134" w:type="dxa"/>
            <w:vAlign w:val="center"/>
          </w:tcPr>
          <w:p>
            <w:pPr>
              <w:keepNext w:val="0"/>
              <w:keepLines w:val="0"/>
              <w:suppressLineNumbers w:val="0"/>
              <w:spacing w:before="0" w:beforeAutospacing="0" w:after="0" w:afterAutospacing="0" w:line="300"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集采药品</w:t>
            </w:r>
          </w:p>
        </w:tc>
        <w:tc>
          <w:tcPr>
            <w:tcW w:w="709" w:type="dxa"/>
            <w:vAlign w:val="center"/>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0</w:t>
            </w:r>
          </w:p>
        </w:tc>
        <w:tc>
          <w:tcPr>
            <w:tcW w:w="729" w:type="dxa"/>
            <w:vAlign w:val="center"/>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100%</w:t>
            </w:r>
          </w:p>
        </w:tc>
        <w:tc>
          <w:tcPr>
            <w:tcW w:w="660" w:type="dxa"/>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0</w:t>
            </w:r>
          </w:p>
        </w:tc>
        <w:tc>
          <w:tcPr>
            <w:tcW w:w="660" w:type="dxa"/>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100%</w:t>
            </w:r>
          </w:p>
        </w:tc>
        <w:tc>
          <w:tcPr>
            <w:tcW w:w="795" w:type="dxa"/>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方正仿宋_GBK" w:cs="方正仿宋_GBK"/>
                <w:color w:val="000000"/>
                <w:spacing w:val="-20"/>
                <w:sz w:val="24"/>
                <w:szCs w:val="24"/>
                <w:highlight w:val="none"/>
              </w:rPr>
              <w:t>—</w:t>
            </w:r>
          </w:p>
        </w:tc>
        <w:tc>
          <w:tcPr>
            <w:tcW w:w="690" w:type="dxa"/>
            <w:vAlign w:val="center"/>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方正仿宋_GBK" w:cs="方正仿宋_GBK"/>
                <w:color w:val="000000"/>
                <w:spacing w:val="-20"/>
                <w:sz w:val="24"/>
                <w:szCs w:val="24"/>
                <w:highlight w:val="none"/>
              </w:rPr>
              <w:t>—</w:t>
            </w:r>
          </w:p>
        </w:tc>
        <w:tc>
          <w:tcPr>
            <w:tcW w:w="2419" w:type="dxa"/>
            <w:vMerge w:val="restart"/>
            <w:vAlign w:val="center"/>
          </w:tcPr>
          <w:p>
            <w:pPr>
              <w:keepNext w:val="0"/>
              <w:keepLines w:val="0"/>
              <w:suppressLineNumbers w:val="0"/>
              <w:spacing w:before="0" w:beforeAutospacing="0" w:after="0" w:afterAutospacing="0" w:line="300" w:lineRule="exact"/>
              <w:ind w:left="0" w:right="0"/>
              <w:jc w:val="left"/>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一类对象：</w:t>
            </w:r>
            <w:r>
              <w:rPr>
                <w:rFonts w:hint="default" w:ascii="宋体" w:hAnsi="宋体" w:cs="方正仿宋_GBK"/>
                <w:color w:val="000000"/>
                <w:spacing w:val="-20"/>
                <w:sz w:val="24"/>
                <w:szCs w:val="24"/>
                <w:highlight w:val="none"/>
              </w:rPr>
              <w:t>500</w:t>
            </w:r>
            <w:r>
              <w:rPr>
                <w:rFonts w:hint="eastAsia" w:ascii="宋体" w:hAnsi="宋体" w:cs="方正仿宋_GBK"/>
                <w:color w:val="000000"/>
                <w:spacing w:val="-20"/>
                <w:sz w:val="24"/>
                <w:szCs w:val="24"/>
                <w:highlight w:val="none"/>
              </w:rPr>
              <w:t>元</w:t>
            </w:r>
            <w:r>
              <w:rPr>
                <w:rFonts w:hint="default" w:ascii="宋体" w:hAnsi="宋体" w:cs="方正仿宋_GBK"/>
                <w:color w:val="000000"/>
                <w:spacing w:val="-20"/>
                <w:sz w:val="24"/>
                <w:szCs w:val="24"/>
                <w:highlight w:val="none"/>
              </w:rPr>
              <w:t>/</w:t>
            </w:r>
            <w:r>
              <w:rPr>
                <w:rFonts w:hint="eastAsia" w:ascii="宋体" w:hAnsi="宋体" w:cs="方正仿宋_GBK"/>
                <w:color w:val="000000"/>
                <w:spacing w:val="-20"/>
                <w:sz w:val="24"/>
                <w:szCs w:val="24"/>
                <w:highlight w:val="none"/>
              </w:rPr>
              <w:t>人·年；</w:t>
            </w:r>
          </w:p>
          <w:p>
            <w:pPr>
              <w:keepNext w:val="0"/>
              <w:keepLines w:val="0"/>
              <w:suppressLineNumbers w:val="0"/>
              <w:spacing w:before="0" w:beforeAutospacing="0" w:after="0" w:afterAutospacing="0" w:line="300" w:lineRule="exact"/>
              <w:ind w:left="0" w:right="0"/>
              <w:jc w:val="left"/>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二类对象：100</w:t>
            </w:r>
            <w:r>
              <w:rPr>
                <w:rFonts w:hint="default" w:ascii="宋体" w:hAnsi="宋体" w:cs="方正仿宋_GBK"/>
                <w:color w:val="000000"/>
                <w:spacing w:val="-20"/>
                <w:sz w:val="24"/>
                <w:szCs w:val="24"/>
                <w:highlight w:val="none"/>
              </w:rPr>
              <w:t>0</w:t>
            </w:r>
            <w:r>
              <w:rPr>
                <w:rFonts w:hint="eastAsia" w:ascii="宋体" w:hAnsi="宋体" w:cs="方正仿宋_GBK"/>
                <w:color w:val="000000"/>
                <w:spacing w:val="-20"/>
                <w:sz w:val="24"/>
                <w:szCs w:val="24"/>
                <w:highlight w:val="none"/>
              </w:rPr>
              <w:t>元</w:t>
            </w:r>
            <w:r>
              <w:rPr>
                <w:rFonts w:hint="default" w:ascii="宋体" w:hAnsi="宋体" w:cs="方正仿宋_GBK"/>
                <w:color w:val="000000"/>
                <w:spacing w:val="-20"/>
                <w:sz w:val="24"/>
                <w:szCs w:val="24"/>
                <w:highlight w:val="none"/>
              </w:rPr>
              <w:t>/</w:t>
            </w:r>
            <w:r>
              <w:rPr>
                <w:rFonts w:hint="eastAsia" w:ascii="宋体" w:hAnsi="宋体" w:cs="方正仿宋_GBK"/>
                <w:color w:val="000000"/>
                <w:spacing w:val="-20"/>
                <w:sz w:val="24"/>
                <w:szCs w:val="24"/>
                <w:highlight w:val="none"/>
              </w:rPr>
              <w:t>人·年；</w:t>
            </w:r>
          </w:p>
          <w:p>
            <w:pPr>
              <w:keepNext w:val="0"/>
              <w:keepLines w:val="0"/>
              <w:suppressLineNumbers w:val="0"/>
              <w:spacing w:before="0" w:beforeAutospacing="0" w:after="0" w:afterAutospacing="0" w:line="300" w:lineRule="exact"/>
              <w:ind w:left="0" w:right="0"/>
              <w:jc w:val="left"/>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同时患两种慢性病的：1500元</w:t>
            </w:r>
            <w:r>
              <w:rPr>
                <w:rFonts w:hint="default" w:ascii="宋体" w:hAnsi="宋体" w:cs="方正仿宋_GBK"/>
                <w:color w:val="000000"/>
                <w:spacing w:val="-20"/>
                <w:sz w:val="24"/>
                <w:szCs w:val="24"/>
                <w:highlight w:val="none"/>
              </w:rPr>
              <w:t>/</w:t>
            </w:r>
            <w:r>
              <w:rPr>
                <w:rFonts w:hint="eastAsia" w:ascii="宋体" w:hAnsi="宋体" w:cs="方正仿宋_GBK"/>
                <w:color w:val="000000"/>
                <w:spacing w:val="-20"/>
                <w:sz w:val="24"/>
                <w:szCs w:val="24"/>
                <w:highlight w:val="none"/>
              </w:rPr>
              <w:t>人·年；</w:t>
            </w:r>
          </w:p>
          <w:p>
            <w:pPr>
              <w:keepNext w:val="0"/>
              <w:keepLines w:val="0"/>
              <w:suppressLineNumbers w:val="0"/>
              <w:spacing w:before="0" w:beforeAutospacing="0" w:after="0" w:afterAutospacing="0" w:line="300" w:lineRule="exact"/>
              <w:ind w:left="0" w:right="0"/>
              <w:jc w:val="left"/>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每增加一个慢性病报销限额增加200元。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 w:type="dxa"/>
            <w:vMerge w:val="continue"/>
            <w:vAlign w:val="center"/>
          </w:tcPr>
          <w:p>
            <w:pPr>
              <w:keepNext w:val="0"/>
              <w:keepLines w:val="0"/>
              <w:suppressLineNumbers w:val="0"/>
              <w:spacing w:before="0" w:beforeAutospacing="0" w:after="0" w:afterAutospacing="0"/>
              <w:ind w:left="0" w:right="0"/>
              <w:rPr>
                <w:rFonts w:hint="default"/>
                <w:szCs w:val="20"/>
                <w:highlight w:val="none"/>
              </w:rPr>
            </w:pPr>
          </w:p>
        </w:tc>
        <w:tc>
          <w:tcPr>
            <w:tcW w:w="709" w:type="dxa"/>
            <w:vMerge w:val="continue"/>
            <w:vAlign w:val="center"/>
          </w:tcPr>
          <w:p>
            <w:pPr>
              <w:keepNext w:val="0"/>
              <w:keepLines w:val="0"/>
              <w:suppressLineNumbers w:val="0"/>
              <w:spacing w:before="0" w:beforeAutospacing="0" w:after="0" w:afterAutospacing="0"/>
              <w:ind w:left="0" w:right="0"/>
              <w:rPr>
                <w:rFonts w:hint="default"/>
                <w:szCs w:val="20"/>
                <w:highlight w:val="none"/>
              </w:rPr>
            </w:pPr>
          </w:p>
        </w:tc>
        <w:tc>
          <w:tcPr>
            <w:tcW w:w="1134" w:type="dxa"/>
            <w:vAlign w:val="center"/>
          </w:tcPr>
          <w:p>
            <w:pPr>
              <w:keepNext w:val="0"/>
              <w:keepLines w:val="0"/>
              <w:suppressLineNumbers w:val="0"/>
              <w:spacing w:before="0" w:beforeAutospacing="0" w:after="0" w:afterAutospacing="0" w:line="300"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非集采药品</w:t>
            </w:r>
          </w:p>
        </w:tc>
        <w:tc>
          <w:tcPr>
            <w:tcW w:w="709" w:type="dxa"/>
            <w:vAlign w:val="center"/>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0</w:t>
            </w:r>
          </w:p>
        </w:tc>
        <w:tc>
          <w:tcPr>
            <w:tcW w:w="729" w:type="dxa"/>
            <w:vAlign w:val="center"/>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60%</w:t>
            </w:r>
          </w:p>
        </w:tc>
        <w:tc>
          <w:tcPr>
            <w:tcW w:w="660" w:type="dxa"/>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0</w:t>
            </w:r>
          </w:p>
        </w:tc>
        <w:tc>
          <w:tcPr>
            <w:tcW w:w="660" w:type="dxa"/>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60%</w:t>
            </w:r>
          </w:p>
        </w:tc>
        <w:tc>
          <w:tcPr>
            <w:tcW w:w="795" w:type="dxa"/>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方正仿宋_GBK" w:cs="方正仿宋_GBK"/>
                <w:color w:val="000000"/>
                <w:spacing w:val="-20"/>
                <w:sz w:val="24"/>
                <w:szCs w:val="24"/>
                <w:highlight w:val="none"/>
              </w:rPr>
              <w:t>—</w:t>
            </w:r>
          </w:p>
        </w:tc>
        <w:tc>
          <w:tcPr>
            <w:tcW w:w="690" w:type="dxa"/>
            <w:vAlign w:val="center"/>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方正仿宋_GBK" w:cs="方正仿宋_GBK"/>
                <w:color w:val="000000"/>
                <w:spacing w:val="-20"/>
                <w:sz w:val="24"/>
                <w:szCs w:val="24"/>
                <w:highlight w:val="none"/>
              </w:rPr>
              <w:t>—</w:t>
            </w:r>
          </w:p>
        </w:tc>
        <w:tc>
          <w:tcPr>
            <w:tcW w:w="2419" w:type="dxa"/>
            <w:vMerge w:val="continue"/>
            <w:vAlign w:val="center"/>
          </w:tcPr>
          <w:p>
            <w:pPr>
              <w:keepNext w:val="0"/>
              <w:keepLines w:val="0"/>
              <w:suppressLineNumbers w:val="0"/>
              <w:spacing w:before="0" w:beforeAutospacing="0" w:after="0" w:afterAutospacing="0"/>
              <w:ind w:left="0" w:right="0"/>
              <w:rPr>
                <w:rFonts w:hint="default"/>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 w:type="dxa"/>
            <w:vMerge w:val="continue"/>
            <w:vAlign w:val="center"/>
          </w:tcPr>
          <w:p>
            <w:pPr>
              <w:keepNext w:val="0"/>
              <w:keepLines w:val="0"/>
              <w:suppressLineNumbers w:val="0"/>
              <w:spacing w:before="0" w:beforeAutospacing="0" w:after="0" w:afterAutospacing="0"/>
              <w:ind w:left="0" w:right="0"/>
              <w:rPr>
                <w:rFonts w:hint="default"/>
                <w:szCs w:val="20"/>
                <w:highlight w:val="none"/>
              </w:rPr>
            </w:pPr>
          </w:p>
        </w:tc>
        <w:tc>
          <w:tcPr>
            <w:tcW w:w="709" w:type="dxa"/>
            <w:vMerge w:val="restart"/>
            <w:vAlign w:val="center"/>
          </w:tcPr>
          <w:p>
            <w:pPr>
              <w:keepNext w:val="0"/>
              <w:keepLines w:val="0"/>
              <w:suppressLineNumbers w:val="0"/>
              <w:spacing w:before="0" w:beforeAutospacing="0" w:after="0" w:afterAutospacing="0" w:line="300" w:lineRule="exact"/>
              <w:ind w:left="-96" w:leftChars="-30" w:right="-64" w:rightChars="-20"/>
              <w:jc w:val="left"/>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二类管理对象</w:t>
            </w:r>
          </w:p>
        </w:tc>
        <w:tc>
          <w:tcPr>
            <w:tcW w:w="1134" w:type="dxa"/>
            <w:vAlign w:val="center"/>
          </w:tcPr>
          <w:p>
            <w:pPr>
              <w:keepNext w:val="0"/>
              <w:keepLines w:val="0"/>
              <w:suppressLineNumbers w:val="0"/>
              <w:spacing w:before="0" w:beforeAutospacing="0" w:after="0" w:afterAutospacing="0" w:line="300"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集采药品</w:t>
            </w:r>
          </w:p>
        </w:tc>
        <w:tc>
          <w:tcPr>
            <w:tcW w:w="709" w:type="dxa"/>
            <w:vAlign w:val="center"/>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0</w:t>
            </w:r>
          </w:p>
        </w:tc>
        <w:tc>
          <w:tcPr>
            <w:tcW w:w="729" w:type="dxa"/>
            <w:vAlign w:val="center"/>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100%</w:t>
            </w:r>
          </w:p>
        </w:tc>
        <w:tc>
          <w:tcPr>
            <w:tcW w:w="660" w:type="dxa"/>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0</w:t>
            </w:r>
          </w:p>
        </w:tc>
        <w:tc>
          <w:tcPr>
            <w:tcW w:w="660" w:type="dxa"/>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100%</w:t>
            </w:r>
          </w:p>
        </w:tc>
        <w:tc>
          <w:tcPr>
            <w:tcW w:w="795" w:type="dxa"/>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0</w:t>
            </w:r>
          </w:p>
        </w:tc>
        <w:tc>
          <w:tcPr>
            <w:tcW w:w="690" w:type="dxa"/>
            <w:vAlign w:val="center"/>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40%</w:t>
            </w:r>
          </w:p>
        </w:tc>
        <w:tc>
          <w:tcPr>
            <w:tcW w:w="2419" w:type="dxa"/>
            <w:vMerge w:val="continue"/>
            <w:vAlign w:val="center"/>
          </w:tcPr>
          <w:p>
            <w:pPr>
              <w:keepNext w:val="0"/>
              <w:keepLines w:val="0"/>
              <w:suppressLineNumbers w:val="0"/>
              <w:spacing w:before="0" w:beforeAutospacing="0" w:after="0" w:afterAutospacing="0"/>
              <w:ind w:left="0" w:right="0"/>
              <w:rPr>
                <w:rFonts w:hint="default"/>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 w:type="dxa"/>
            <w:vMerge w:val="continue"/>
            <w:vAlign w:val="center"/>
          </w:tcPr>
          <w:p>
            <w:pPr>
              <w:keepNext w:val="0"/>
              <w:keepLines w:val="0"/>
              <w:suppressLineNumbers w:val="0"/>
              <w:spacing w:before="0" w:beforeAutospacing="0" w:after="0" w:afterAutospacing="0"/>
              <w:ind w:left="0" w:right="0"/>
              <w:rPr>
                <w:rFonts w:hint="default"/>
                <w:szCs w:val="20"/>
                <w:highlight w:val="none"/>
              </w:rPr>
            </w:pPr>
          </w:p>
        </w:tc>
        <w:tc>
          <w:tcPr>
            <w:tcW w:w="709" w:type="dxa"/>
            <w:vMerge w:val="continue"/>
            <w:vAlign w:val="center"/>
          </w:tcPr>
          <w:p>
            <w:pPr>
              <w:keepNext w:val="0"/>
              <w:keepLines w:val="0"/>
              <w:suppressLineNumbers w:val="0"/>
              <w:spacing w:before="0" w:beforeAutospacing="0" w:after="0" w:afterAutospacing="0"/>
              <w:ind w:left="0" w:right="0"/>
              <w:rPr>
                <w:rFonts w:hint="default"/>
                <w:szCs w:val="20"/>
                <w:highlight w:val="none"/>
              </w:rPr>
            </w:pPr>
          </w:p>
        </w:tc>
        <w:tc>
          <w:tcPr>
            <w:tcW w:w="1134" w:type="dxa"/>
            <w:vAlign w:val="center"/>
          </w:tcPr>
          <w:p>
            <w:pPr>
              <w:keepNext w:val="0"/>
              <w:keepLines w:val="0"/>
              <w:suppressLineNumbers w:val="0"/>
              <w:spacing w:before="0" w:beforeAutospacing="0" w:after="0" w:afterAutospacing="0" w:line="300"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非集采药品</w:t>
            </w:r>
          </w:p>
        </w:tc>
        <w:tc>
          <w:tcPr>
            <w:tcW w:w="709" w:type="dxa"/>
            <w:vAlign w:val="center"/>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0</w:t>
            </w:r>
          </w:p>
        </w:tc>
        <w:tc>
          <w:tcPr>
            <w:tcW w:w="729" w:type="dxa"/>
            <w:vAlign w:val="center"/>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80%</w:t>
            </w:r>
          </w:p>
        </w:tc>
        <w:tc>
          <w:tcPr>
            <w:tcW w:w="660" w:type="dxa"/>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0</w:t>
            </w:r>
          </w:p>
        </w:tc>
        <w:tc>
          <w:tcPr>
            <w:tcW w:w="660" w:type="dxa"/>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60%</w:t>
            </w:r>
          </w:p>
        </w:tc>
        <w:tc>
          <w:tcPr>
            <w:tcW w:w="795" w:type="dxa"/>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0</w:t>
            </w:r>
          </w:p>
        </w:tc>
        <w:tc>
          <w:tcPr>
            <w:tcW w:w="690" w:type="dxa"/>
            <w:vAlign w:val="center"/>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40%</w:t>
            </w:r>
          </w:p>
        </w:tc>
        <w:tc>
          <w:tcPr>
            <w:tcW w:w="2419" w:type="dxa"/>
            <w:vMerge w:val="continue"/>
            <w:vAlign w:val="center"/>
          </w:tcPr>
          <w:p>
            <w:pPr>
              <w:keepNext w:val="0"/>
              <w:keepLines w:val="0"/>
              <w:suppressLineNumbers w:val="0"/>
              <w:spacing w:before="0" w:beforeAutospacing="0" w:after="0" w:afterAutospacing="0"/>
              <w:ind w:left="0" w:right="0"/>
              <w:rPr>
                <w:rFonts w:hint="default"/>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trPr>
        <w:tc>
          <w:tcPr>
            <w:tcW w:w="1134" w:type="dxa"/>
            <w:gridSpan w:val="2"/>
            <w:vMerge w:val="restart"/>
            <w:vAlign w:val="center"/>
          </w:tcPr>
          <w:p>
            <w:pPr>
              <w:keepNext w:val="0"/>
              <w:keepLines w:val="0"/>
              <w:suppressLineNumbers w:val="0"/>
              <w:spacing w:before="0" w:beforeAutospacing="0" w:after="0" w:afterAutospacing="0" w:line="300"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职工医保（高血压、糖尿病）</w:t>
            </w:r>
          </w:p>
        </w:tc>
        <w:tc>
          <w:tcPr>
            <w:tcW w:w="1134" w:type="dxa"/>
            <w:vAlign w:val="center"/>
          </w:tcPr>
          <w:p>
            <w:pPr>
              <w:keepNext w:val="0"/>
              <w:keepLines w:val="0"/>
              <w:suppressLineNumbers w:val="0"/>
              <w:spacing w:before="0" w:beforeAutospacing="0" w:after="0" w:afterAutospacing="0" w:line="300"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集采药品</w:t>
            </w:r>
          </w:p>
        </w:tc>
        <w:tc>
          <w:tcPr>
            <w:tcW w:w="709" w:type="dxa"/>
            <w:vAlign w:val="center"/>
          </w:tcPr>
          <w:p>
            <w:pPr>
              <w:keepNext w:val="0"/>
              <w:keepLines w:val="0"/>
              <w:suppressLineNumbers w:val="0"/>
              <w:spacing w:before="0" w:beforeAutospacing="0" w:after="0" w:afterAutospacing="0" w:line="300"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0</w:t>
            </w:r>
          </w:p>
        </w:tc>
        <w:tc>
          <w:tcPr>
            <w:tcW w:w="729" w:type="dxa"/>
            <w:vAlign w:val="center"/>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100%</w:t>
            </w:r>
          </w:p>
        </w:tc>
        <w:tc>
          <w:tcPr>
            <w:tcW w:w="660" w:type="dxa"/>
            <w:vAlign w:val="center"/>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0</w:t>
            </w:r>
          </w:p>
        </w:tc>
        <w:tc>
          <w:tcPr>
            <w:tcW w:w="660" w:type="dxa"/>
            <w:vAlign w:val="center"/>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100%</w:t>
            </w:r>
          </w:p>
        </w:tc>
        <w:tc>
          <w:tcPr>
            <w:tcW w:w="795" w:type="dxa"/>
            <w:vAlign w:val="center"/>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880元</w:t>
            </w:r>
          </w:p>
        </w:tc>
        <w:tc>
          <w:tcPr>
            <w:tcW w:w="690" w:type="dxa"/>
            <w:vAlign w:val="center"/>
          </w:tcPr>
          <w:p>
            <w:pPr>
              <w:keepNext w:val="0"/>
              <w:keepLines w:val="0"/>
              <w:suppressLineNumbers w:val="0"/>
              <w:spacing w:before="0" w:beforeAutospacing="0" w:after="0" w:afterAutospacing="0" w:line="579" w:lineRule="exact"/>
              <w:ind w:left="-96" w:leftChars="-30" w:right="-96" w:rightChars="-30"/>
              <w:jc w:val="center"/>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80%</w:t>
            </w:r>
          </w:p>
        </w:tc>
        <w:tc>
          <w:tcPr>
            <w:tcW w:w="2419" w:type="dxa"/>
            <w:vMerge w:val="restart"/>
            <w:vAlign w:val="center"/>
          </w:tcPr>
          <w:p>
            <w:pPr>
              <w:keepNext w:val="0"/>
              <w:keepLines w:val="0"/>
              <w:suppressLineNumbers w:val="0"/>
              <w:spacing w:before="0" w:beforeAutospacing="0" w:after="0" w:afterAutospacing="0" w:line="300" w:lineRule="exact"/>
              <w:ind w:left="0" w:right="0"/>
              <w:jc w:val="left"/>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单位和个人二档</w:t>
            </w:r>
            <w:r>
              <w:rPr>
                <w:rFonts w:hint="default" w:ascii="宋体" w:hAnsi="宋体" w:cs="方正仿宋_GBK"/>
                <w:color w:val="000000"/>
                <w:spacing w:val="-20"/>
                <w:sz w:val="24"/>
                <w:szCs w:val="24"/>
                <w:highlight w:val="none"/>
              </w:rPr>
              <w:t>：</w:t>
            </w:r>
            <w:r>
              <w:rPr>
                <w:rFonts w:hint="eastAsia" w:ascii="宋体" w:hAnsi="宋体" w:cs="方正仿宋_GBK"/>
                <w:color w:val="000000"/>
                <w:spacing w:val="-20"/>
                <w:sz w:val="24"/>
                <w:szCs w:val="24"/>
                <w:highlight w:val="none"/>
              </w:rPr>
              <w:t>140</w:t>
            </w:r>
            <w:r>
              <w:rPr>
                <w:rFonts w:hint="default" w:ascii="宋体" w:hAnsi="宋体" w:cs="方正仿宋_GBK"/>
                <w:color w:val="000000"/>
                <w:spacing w:val="-20"/>
                <w:sz w:val="24"/>
                <w:szCs w:val="24"/>
                <w:highlight w:val="none"/>
              </w:rPr>
              <w:t>0</w:t>
            </w:r>
            <w:r>
              <w:rPr>
                <w:rFonts w:hint="eastAsia" w:ascii="宋体" w:hAnsi="宋体" w:cs="方正仿宋_GBK"/>
                <w:color w:val="000000"/>
                <w:spacing w:val="-20"/>
                <w:sz w:val="24"/>
                <w:szCs w:val="24"/>
                <w:highlight w:val="none"/>
              </w:rPr>
              <w:t>元</w:t>
            </w:r>
            <w:r>
              <w:rPr>
                <w:rFonts w:hint="default" w:ascii="宋体" w:hAnsi="宋体" w:cs="方正仿宋_GBK"/>
                <w:color w:val="000000"/>
                <w:spacing w:val="-20"/>
                <w:sz w:val="24"/>
                <w:szCs w:val="24"/>
                <w:highlight w:val="none"/>
              </w:rPr>
              <w:t>/</w:t>
            </w:r>
            <w:r>
              <w:rPr>
                <w:rFonts w:hint="eastAsia" w:ascii="宋体" w:hAnsi="宋体" w:cs="方正仿宋_GBK"/>
                <w:color w:val="000000"/>
                <w:spacing w:val="-20"/>
                <w:sz w:val="24"/>
                <w:szCs w:val="24"/>
                <w:highlight w:val="none"/>
              </w:rPr>
              <w:t>人·年，同时患两种报销限额2800元</w:t>
            </w:r>
            <w:r>
              <w:rPr>
                <w:rFonts w:hint="default" w:ascii="宋体" w:hAnsi="宋体" w:cs="方正仿宋_GBK"/>
                <w:color w:val="000000"/>
                <w:spacing w:val="-20"/>
                <w:sz w:val="24"/>
                <w:szCs w:val="24"/>
                <w:highlight w:val="none"/>
              </w:rPr>
              <w:t>/</w:t>
            </w:r>
            <w:r>
              <w:rPr>
                <w:rFonts w:hint="eastAsia" w:ascii="宋体" w:hAnsi="宋体" w:cs="方正仿宋_GBK"/>
                <w:color w:val="000000"/>
                <w:spacing w:val="-20"/>
                <w:sz w:val="24"/>
                <w:szCs w:val="24"/>
                <w:highlight w:val="none"/>
              </w:rPr>
              <w:t>人·年；</w:t>
            </w:r>
          </w:p>
          <w:p>
            <w:pPr>
              <w:keepNext w:val="0"/>
              <w:keepLines w:val="0"/>
              <w:suppressLineNumbers w:val="0"/>
              <w:spacing w:before="0" w:beforeAutospacing="0" w:after="0" w:afterAutospacing="0" w:line="300" w:lineRule="exact"/>
              <w:ind w:left="0" w:right="0"/>
              <w:jc w:val="left"/>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个人一档：1000元</w:t>
            </w:r>
            <w:r>
              <w:rPr>
                <w:rFonts w:hint="default" w:ascii="宋体" w:hAnsi="宋体" w:cs="方正仿宋_GBK"/>
                <w:color w:val="000000"/>
                <w:spacing w:val="-20"/>
                <w:sz w:val="24"/>
                <w:szCs w:val="24"/>
                <w:highlight w:val="none"/>
              </w:rPr>
              <w:t>/</w:t>
            </w:r>
            <w:r>
              <w:rPr>
                <w:rFonts w:hint="eastAsia" w:ascii="宋体" w:hAnsi="宋体" w:cs="方正仿宋_GBK"/>
                <w:color w:val="000000"/>
                <w:spacing w:val="-20"/>
                <w:sz w:val="24"/>
                <w:szCs w:val="24"/>
                <w:highlight w:val="none"/>
              </w:rPr>
              <w:t>人·年，同时患两种的报销限额200</w:t>
            </w:r>
            <w:r>
              <w:rPr>
                <w:rFonts w:hint="default" w:ascii="宋体" w:hAnsi="宋体" w:cs="方正仿宋_GBK"/>
                <w:color w:val="000000"/>
                <w:spacing w:val="-20"/>
                <w:sz w:val="24"/>
                <w:szCs w:val="24"/>
                <w:highlight w:val="none"/>
              </w:rPr>
              <w:t>0</w:t>
            </w:r>
            <w:r>
              <w:rPr>
                <w:rFonts w:hint="eastAsia" w:ascii="宋体" w:hAnsi="宋体" w:cs="方正仿宋_GBK"/>
                <w:color w:val="000000"/>
                <w:spacing w:val="-20"/>
                <w:sz w:val="24"/>
                <w:szCs w:val="24"/>
                <w:highlight w:val="none"/>
              </w:rPr>
              <w:t>元</w:t>
            </w:r>
            <w:r>
              <w:rPr>
                <w:rFonts w:hint="default" w:ascii="宋体" w:hAnsi="宋体" w:cs="方正仿宋_GBK"/>
                <w:color w:val="000000"/>
                <w:spacing w:val="-20"/>
                <w:sz w:val="24"/>
                <w:szCs w:val="24"/>
                <w:highlight w:val="none"/>
              </w:rPr>
              <w:t>/</w:t>
            </w:r>
            <w:r>
              <w:rPr>
                <w:rFonts w:hint="eastAsia" w:ascii="宋体" w:hAnsi="宋体" w:cs="方正仿宋_GBK"/>
                <w:color w:val="000000"/>
                <w:spacing w:val="-20"/>
                <w:sz w:val="24"/>
                <w:szCs w:val="24"/>
                <w:highlight w:val="none"/>
              </w:rPr>
              <w:t>人·年。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1134" w:type="dxa"/>
            <w:gridSpan w:val="2"/>
            <w:vMerge w:val="continue"/>
          </w:tcPr>
          <w:p>
            <w:pPr>
              <w:keepNext w:val="0"/>
              <w:keepLines w:val="0"/>
              <w:suppressLineNumbers w:val="0"/>
              <w:spacing w:before="0" w:beforeAutospacing="0" w:after="0" w:afterAutospacing="0"/>
              <w:ind w:left="0" w:right="0"/>
              <w:rPr>
                <w:rFonts w:hint="default"/>
                <w:szCs w:val="20"/>
                <w:highlight w:val="none"/>
              </w:rPr>
            </w:pPr>
          </w:p>
        </w:tc>
        <w:tc>
          <w:tcPr>
            <w:tcW w:w="1134" w:type="dxa"/>
            <w:vAlign w:val="center"/>
          </w:tcPr>
          <w:p>
            <w:pPr>
              <w:keepNext w:val="0"/>
              <w:keepLines w:val="0"/>
              <w:suppressLineNumbers w:val="0"/>
              <w:spacing w:before="0" w:beforeAutospacing="0" w:after="0" w:afterAutospacing="0" w:line="300" w:lineRule="exact"/>
              <w:ind w:left="0" w:right="0"/>
              <w:textAlignment w:val="baseline"/>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非集采药品</w:t>
            </w:r>
          </w:p>
        </w:tc>
        <w:tc>
          <w:tcPr>
            <w:tcW w:w="709" w:type="dxa"/>
            <w:vAlign w:val="center"/>
          </w:tcPr>
          <w:p>
            <w:pPr>
              <w:keepNext w:val="0"/>
              <w:keepLines w:val="0"/>
              <w:suppressLineNumbers w:val="0"/>
              <w:spacing w:before="0" w:beforeAutospacing="0" w:after="0" w:afterAutospacing="0"/>
              <w:ind w:left="0" w:right="0"/>
              <w:jc w:val="center"/>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0</w:t>
            </w:r>
          </w:p>
        </w:tc>
        <w:tc>
          <w:tcPr>
            <w:tcW w:w="729" w:type="dxa"/>
            <w:vAlign w:val="center"/>
          </w:tcPr>
          <w:p>
            <w:pPr>
              <w:keepNext w:val="0"/>
              <w:keepLines w:val="0"/>
              <w:suppressLineNumbers w:val="0"/>
              <w:spacing w:before="0" w:beforeAutospacing="0" w:after="0" w:afterAutospacing="0"/>
              <w:ind w:left="0" w:right="0"/>
              <w:jc w:val="both"/>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80%</w:t>
            </w:r>
          </w:p>
        </w:tc>
        <w:tc>
          <w:tcPr>
            <w:tcW w:w="660" w:type="dxa"/>
            <w:vAlign w:val="center"/>
          </w:tcPr>
          <w:p>
            <w:pPr>
              <w:keepNext w:val="0"/>
              <w:keepLines w:val="0"/>
              <w:suppressLineNumbers w:val="0"/>
              <w:spacing w:before="0" w:beforeAutospacing="0" w:after="0" w:afterAutospacing="0"/>
              <w:ind w:left="0" w:right="0"/>
              <w:jc w:val="center"/>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0</w:t>
            </w:r>
          </w:p>
        </w:tc>
        <w:tc>
          <w:tcPr>
            <w:tcW w:w="660" w:type="dxa"/>
            <w:vAlign w:val="center"/>
          </w:tcPr>
          <w:p>
            <w:pPr>
              <w:keepNext w:val="0"/>
              <w:keepLines w:val="0"/>
              <w:suppressLineNumbers w:val="0"/>
              <w:spacing w:before="0" w:beforeAutospacing="0" w:after="0" w:afterAutospacing="0"/>
              <w:ind w:left="0" w:right="0"/>
              <w:jc w:val="center"/>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80%</w:t>
            </w:r>
          </w:p>
        </w:tc>
        <w:tc>
          <w:tcPr>
            <w:tcW w:w="795" w:type="dxa"/>
            <w:vAlign w:val="center"/>
          </w:tcPr>
          <w:p>
            <w:pPr>
              <w:keepNext w:val="0"/>
              <w:keepLines w:val="0"/>
              <w:suppressLineNumbers w:val="0"/>
              <w:spacing w:before="0" w:beforeAutospacing="0" w:after="0" w:afterAutospacing="0"/>
              <w:ind w:left="0" w:right="0"/>
              <w:jc w:val="center"/>
              <w:rPr>
                <w:rFonts w:hint="default" w:ascii="宋体" w:hAnsi="宋体" w:cs="方正仿宋_GBK"/>
                <w:color w:val="000000"/>
                <w:spacing w:val="-20"/>
                <w:sz w:val="24"/>
                <w:szCs w:val="24"/>
                <w:highlight w:val="none"/>
              </w:rPr>
            </w:pPr>
            <w:r>
              <w:rPr>
                <w:rFonts w:hint="eastAsia" w:ascii="宋体" w:hAnsi="宋体" w:cs="方正仿宋_GBK"/>
                <w:color w:val="000000"/>
                <w:spacing w:val="-20"/>
                <w:sz w:val="24"/>
                <w:szCs w:val="24"/>
                <w:highlight w:val="none"/>
              </w:rPr>
              <w:t>880元</w:t>
            </w:r>
          </w:p>
        </w:tc>
        <w:tc>
          <w:tcPr>
            <w:tcW w:w="690" w:type="dxa"/>
            <w:vAlign w:val="center"/>
          </w:tcPr>
          <w:p>
            <w:pPr>
              <w:keepNext w:val="0"/>
              <w:keepLines w:val="0"/>
              <w:suppressLineNumbers w:val="0"/>
              <w:spacing w:before="0" w:beforeAutospacing="0" w:after="0" w:afterAutospacing="0"/>
              <w:ind w:left="0" w:right="0"/>
              <w:jc w:val="center"/>
              <w:rPr>
                <w:rFonts w:hint="default"/>
                <w:color w:val="000000"/>
                <w:sz w:val="24"/>
                <w:szCs w:val="24"/>
                <w:highlight w:val="none"/>
              </w:rPr>
            </w:pPr>
            <w:r>
              <w:rPr>
                <w:rFonts w:hint="eastAsia" w:ascii="宋体" w:hAnsi="宋体" w:cs="方正仿宋_GBK"/>
                <w:color w:val="000000"/>
                <w:spacing w:val="-20"/>
                <w:sz w:val="24"/>
                <w:szCs w:val="24"/>
                <w:highlight w:val="none"/>
              </w:rPr>
              <w:t>80%</w:t>
            </w:r>
          </w:p>
        </w:tc>
        <w:tc>
          <w:tcPr>
            <w:tcW w:w="2419" w:type="dxa"/>
            <w:vMerge w:val="continue"/>
            <w:vAlign w:val="center"/>
          </w:tcPr>
          <w:p>
            <w:pPr>
              <w:keepNext w:val="0"/>
              <w:keepLines w:val="0"/>
              <w:suppressLineNumbers w:val="0"/>
              <w:spacing w:before="0" w:beforeAutospacing="0" w:after="0" w:afterAutospacing="0"/>
              <w:ind w:left="0" w:right="0"/>
              <w:rPr>
                <w:rFonts w:hint="default"/>
                <w:szCs w:val="20"/>
                <w:highlight w:val="none"/>
              </w:rPr>
            </w:pPr>
          </w:p>
        </w:tc>
      </w:tr>
    </w:tbl>
    <w:p>
      <w:pPr>
        <w:pStyle w:val="5"/>
        <w:spacing w:line="579" w:lineRule="exact"/>
        <w:textAlignment w:val="baseline"/>
        <w:rPr>
          <w:rFonts w:ascii="方正楷体_GBK" w:eastAsia="方正楷体_GBK" w:cs="方正仿宋_GBK"/>
          <w:color w:val="000000"/>
          <w:szCs w:val="32"/>
          <w:highlight w:val="none"/>
        </w:rPr>
      </w:pPr>
      <w:r>
        <w:rPr>
          <w:rFonts w:hint="eastAsia" w:ascii="方正楷体_GBK" w:eastAsia="方正楷体_GBK" w:cs="方正仿宋_GBK"/>
          <w:color w:val="000000"/>
          <w:szCs w:val="32"/>
          <w:highlight w:val="none"/>
        </w:rPr>
        <w:t>（二）按人头付费</w:t>
      </w:r>
    </w:p>
    <w:p>
      <w:pPr>
        <w:spacing w:line="579" w:lineRule="exact"/>
        <w:ind w:firstLine="640" w:firstLineChars="200"/>
        <w:textAlignment w:val="baseline"/>
        <w:rPr>
          <w:rFonts w:ascii="宋体" w:hAnsi="宋体" w:cs="方正仿宋_GBK"/>
          <w:color w:val="000000"/>
          <w:szCs w:val="32"/>
          <w:highlight w:val="none"/>
        </w:rPr>
      </w:pPr>
      <w:r>
        <w:rPr>
          <w:rFonts w:hint="eastAsia" w:ascii="宋体" w:hAnsi="宋体" w:cs="方正仿宋_GBK"/>
          <w:color w:val="000000"/>
          <w:szCs w:val="32"/>
          <w:highlight w:val="none"/>
        </w:rPr>
        <w:t>“两病”参保患者自愿选择居住地或工作地一个镇卫生院或一个社区卫生服务中心作为本人“两病”门诊定点治疗机构。</w:t>
      </w:r>
    </w:p>
    <w:p>
      <w:pPr>
        <w:spacing w:line="579" w:lineRule="exact"/>
        <w:ind w:firstLine="640" w:firstLineChars="200"/>
        <w:textAlignment w:val="baseline"/>
        <w:rPr>
          <w:rFonts w:ascii="宋体" w:hAnsi="宋体" w:cs="方正仿宋_GBK"/>
          <w:color w:val="000000"/>
          <w:szCs w:val="32"/>
          <w:highlight w:val="none"/>
        </w:rPr>
      </w:pPr>
      <w:r>
        <w:rPr>
          <w:rFonts w:hint="eastAsia" w:ascii="宋体" w:hAnsi="宋体" w:cs="方正仿宋_GBK"/>
          <w:color w:val="000000"/>
          <w:szCs w:val="32"/>
          <w:highlight w:val="none"/>
        </w:rPr>
        <w:t>患者诊治“两病”时除一般诊疗费外，个人不承担费用，</w:t>
      </w:r>
      <w:r>
        <w:rPr>
          <w:rFonts w:hint="eastAsia"/>
          <w:color w:val="000000"/>
          <w:szCs w:val="32"/>
          <w:highlight w:val="none"/>
        </w:rPr>
        <w:t>费用由医保经办机构与定点治疗机构分别按高血压30元/人·月、糖尿病70元/人·月的人头标准按月结算、年终考核清算。</w:t>
      </w:r>
    </w:p>
    <w:p>
      <w:pPr>
        <w:spacing w:line="520" w:lineRule="exact"/>
        <w:ind w:firstLine="640" w:firstLineChars="200"/>
        <w:textAlignment w:val="baseline"/>
        <w:rPr>
          <w:rFonts w:ascii="宋体" w:hAnsi="宋体" w:cs="Segoe UI"/>
          <w:color w:val="000000"/>
          <w:kern w:val="0"/>
          <w:szCs w:val="32"/>
          <w:highlight w:val="none"/>
        </w:rPr>
      </w:pPr>
      <w:r>
        <w:rPr>
          <w:rFonts w:hint="eastAsia" w:ascii="宋体" w:hAnsi="宋体" w:cs="Segoe UI"/>
          <w:color w:val="000000"/>
          <w:kern w:val="0"/>
          <w:szCs w:val="32"/>
          <w:highlight w:val="none"/>
        </w:rPr>
        <w:t>咨询电话：023-47566105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Segoe UI">
    <w:altName w:val="Noto Naskh Arabic"/>
    <w:panose1 w:val="020B0502040204020203"/>
    <w:charset w:val="00"/>
    <w:family w:val="swiss"/>
    <w:pitch w:val="default"/>
    <w:sig w:usb0="00000000" w:usb1="00000000" w:usb2="00000029" w:usb3="00000000" w:csb0="200001DF" w:csb1="20000000"/>
  </w:font>
  <w:font w:name="Noto Naskh Arabic">
    <w:panose1 w:val="020B0502040504020204"/>
    <w:charset w:val="00"/>
    <w:family w:val="auto"/>
    <w:pitch w:val="default"/>
    <w:sig w:usb0="80002003" w:usb1="80002000" w:usb2="00000008" w:usb3="00000000" w:csb0="00000041" w:csb1="0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AFD931B"/>
    <w:rsid w:val="DAFD9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列出段落1"/>
    <w:qFormat/>
    <w:uiPriority w:val="0"/>
    <w:pPr>
      <w:widowControl w:val="0"/>
      <w:ind w:firstLine="200" w:firstLineChars="200"/>
      <w:jc w:val="both"/>
    </w:pPr>
    <w:rPr>
      <w:rFonts w:ascii="Times New Roman" w:hAnsi="Times New Roman" w:eastAsia="方正仿宋_GBK"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2024-01-29T17:59:00Z</dcterms:created>
  <dc:creator>医保局</dc:creator>
  <cp:lastModifiedBy>医保局</cp:lastModifiedBy>
  <dcterms:modified xsi:type="dcterms:W3CDTF">2024-01-29T18:00:42Z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