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D1" w:rsidRDefault="00790B08">
      <w:pPr>
        <w:widowControl w:val="0"/>
        <w:snapToGrid w:val="0"/>
        <w:spacing w:line="579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重庆市江津区教育委员会</w:t>
      </w:r>
    </w:p>
    <w:p w:rsidR="00C174D1" w:rsidRDefault="00790B08">
      <w:pPr>
        <w:widowControl w:val="0"/>
        <w:snapToGrid w:val="0"/>
        <w:spacing w:line="579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关于同意设立重庆市江津区</w:t>
      </w:r>
      <w:r>
        <w:rPr>
          <w:rFonts w:ascii="宋体" w:eastAsia="方正小标宋_GBK" w:hAnsi="宋体"/>
          <w:bCs/>
          <w:sz w:val="44"/>
          <w:szCs w:val="44"/>
          <w:lang w:eastAsia="zh-CN"/>
        </w:rPr>
        <w:t>巴蜀长江著</w:t>
      </w:r>
    </w:p>
    <w:p w:rsidR="00C174D1" w:rsidRDefault="00790B08">
      <w:pPr>
        <w:widowControl w:val="0"/>
        <w:snapToGrid w:val="0"/>
        <w:spacing w:line="579" w:lineRule="exact"/>
        <w:jc w:val="center"/>
        <w:rPr>
          <w:rFonts w:ascii="宋体" w:eastAsia="方正小标宋_GBK" w:hAnsi="宋体"/>
          <w:bCs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sz w:val="44"/>
          <w:szCs w:val="44"/>
          <w:lang w:eastAsia="zh-CN"/>
        </w:rPr>
        <w:t>幼儿园的批复</w:t>
      </w:r>
    </w:p>
    <w:p w:rsidR="00C174D1" w:rsidRDefault="00C174D1">
      <w:pPr>
        <w:widowControl w:val="0"/>
        <w:snapToGrid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C174D1" w:rsidRDefault="00790B08">
      <w:pPr>
        <w:widowControl w:val="0"/>
        <w:snapToGrid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甘雨鑫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你呈请设立“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重庆市江津区巴蜀长江著幼儿园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”的申请收悉。本着支持民办园规范化、集团化、特色化发展的原则，根据《中华人民共和国民办教育促进法》和《重庆市非营利性民办学校监督管理实施细则》（渝教民发〔</w:t>
      </w:r>
      <w:r>
        <w:rPr>
          <w:rFonts w:ascii="宋体" w:hint="eastAsia"/>
          <w:color w:val="000000"/>
          <w:sz w:val="32"/>
          <w:szCs w:val="32"/>
          <w:lang w:eastAsia="zh-CN"/>
        </w:rPr>
        <w:t>2018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〕</w:t>
      </w:r>
      <w:r>
        <w:rPr>
          <w:rFonts w:ascii="宋体" w:hint="eastAsia"/>
          <w:color w:val="000000"/>
          <w:sz w:val="32"/>
          <w:szCs w:val="32"/>
          <w:lang w:eastAsia="zh-CN"/>
        </w:rPr>
        <w:t>4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号）相关规定，经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圣泉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街道办事处同意，我委通过资料审查、实地查勘等流程，依据办园实际情况，同意设立，具体信息如下：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一、办学机构名称：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巴蜀长江著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幼儿园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二、办学地址：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江津区鼎山街道办事处江州大道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768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号附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号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三、办学性质：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民办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黑体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四、举办者：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甘雨鑫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五、校长：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甘雨鑫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六、办学类型：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非营利性幼儿园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七、办学内容：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全日制学前教育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八、办学规模：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12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个班，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360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人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黑体_GBK" w:hAnsi="宋体" w:hint="eastAsia"/>
          <w:color w:val="000000"/>
          <w:sz w:val="32"/>
          <w:szCs w:val="32"/>
          <w:lang w:eastAsia="zh-CN"/>
        </w:rPr>
        <w:t>九、民教许可证编码：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教民</w:t>
      </w:r>
      <w:r>
        <w:rPr>
          <w:rFonts w:ascii="宋体" w:hint="eastAsia"/>
          <w:color w:val="000000"/>
          <w:sz w:val="32"/>
          <w:szCs w:val="32"/>
          <w:lang w:eastAsia="zh-CN"/>
        </w:rPr>
        <w:t>25001166000</w:t>
      </w:r>
      <w:r>
        <w:rPr>
          <w:rFonts w:ascii="宋体"/>
          <w:color w:val="000000"/>
          <w:sz w:val="32"/>
          <w:szCs w:val="32"/>
          <w:lang w:eastAsia="zh-CN"/>
        </w:rPr>
        <w:t>097</w:t>
      </w:r>
      <w:r>
        <w:rPr>
          <w:rFonts w:ascii="宋体" w:hint="eastAsia"/>
          <w:color w:val="000000"/>
          <w:sz w:val="32"/>
          <w:szCs w:val="32"/>
          <w:lang w:eastAsia="zh-CN"/>
        </w:rPr>
        <w:t>8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希你在取得办学许可证后到登记机关进行登记注册，并认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lastRenderedPageBreak/>
        <w:t>真按照《中华人民共和国民办教育促进法》和《重庆市非营利性民办学校监督管理实施细则》规定，依法依规办学。</w:t>
      </w:r>
    </w:p>
    <w:p w:rsidR="00C174D1" w:rsidRDefault="00790B08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特此批复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。</w:t>
      </w:r>
    </w:p>
    <w:p w:rsidR="00C174D1" w:rsidRDefault="00C174D1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C174D1" w:rsidRDefault="00C174D1">
      <w:pPr>
        <w:widowControl w:val="0"/>
        <w:snapToGrid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C174D1" w:rsidRDefault="00790B08">
      <w:pPr>
        <w:widowControl w:val="0"/>
        <w:snapToGrid w:val="0"/>
        <w:spacing w:line="579" w:lineRule="exact"/>
        <w:ind w:firstLineChars="1550" w:firstLine="496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C174D1" w:rsidRDefault="00790B08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7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15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C174D1" w:rsidRDefault="00C174D1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C174D1" w:rsidRDefault="00C174D1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C174D1" w:rsidRDefault="00C174D1">
      <w:pPr>
        <w:widowControl w:val="0"/>
        <w:spacing w:line="6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sectPr w:rsidR="00C174D1" w:rsidSect="00C174D1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08" w:rsidRDefault="00790B08" w:rsidP="00C174D1">
      <w:r>
        <w:separator/>
      </w:r>
    </w:p>
  </w:endnote>
  <w:endnote w:type="continuationSeparator" w:id="1">
    <w:p w:rsidR="00790B08" w:rsidRDefault="00790B08" w:rsidP="00C1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1" w:rsidRDefault="00C174D1">
    <w:pPr>
      <w:pStyle w:val="a3"/>
    </w:pPr>
    <w:r>
      <w:pict>
        <v:rect id="文本框 1 1" o:spid="_x0000_s2049" style="position:absolute;margin-left:9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C174D1" w:rsidRDefault="00790B08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C174D1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174D1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D45B2C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C174D1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08" w:rsidRDefault="00790B08" w:rsidP="00C174D1">
      <w:r>
        <w:separator/>
      </w:r>
    </w:p>
  </w:footnote>
  <w:footnote w:type="continuationSeparator" w:id="1">
    <w:p w:rsidR="00790B08" w:rsidRDefault="00790B08" w:rsidP="00C17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C174D1"/>
    <w:rsid w:val="00790B08"/>
    <w:rsid w:val="00C174D1"/>
    <w:rsid w:val="00D45B2C"/>
    <w:rsid w:val="179D5A1C"/>
    <w:rsid w:val="38196A86"/>
    <w:rsid w:val="5314011E"/>
    <w:rsid w:val="6FC6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174D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174D1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C174D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C174D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C174D1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D4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5B2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123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2024-07-15T01:21:00Z</cp:lastPrinted>
  <dcterms:created xsi:type="dcterms:W3CDTF">2024-07-12T02:09:00Z</dcterms:created>
  <dcterms:modified xsi:type="dcterms:W3CDTF">2024-07-29T03:41:00Z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3A84A8CE1C684CD8868A43327C2CD8A3_12</vt:lpwstr>
  </property>
</Properties>
</file>