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Pr>
    </w:p>
    <w:p>
      <w:pPr>
        <w:pStyle w:val="21"/>
      </w:pPr>
    </w:p>
    <w:p>
      <w:pPr>
        <w:pStyle w:val="21"/>
      </w:pPr>
      <w:r>
        <w:rPr>
          <w:rFonts w:hint="eastAsia"/>
        </w:rPr>
        <w:t>关于重庆市江津区2023年预算执行情况和</w:t>
      </w:r>
    </w:p>
    <w:p>
      <w:pPr>
        <w:pStyle w:val="21"/>
      </w:pPr>
      <w:r>
        <w:rPr>
          <w:rFonts w:hint="eastAsia"/>
        </w:rPr>
        <w:t>2024年预算草案的报告</w:t>
      </w:r>
    </w:p>
    <w:p>
      <w:pPr>
        <w:ind w:firstLine="640"/>
        <w:jc w:val="center"/>
      </w:pPr>
      <w:r>
        <w:t>——在</w:t>
      </w:r>
      <w:r>
        <w:rPr>
          <w:rFonts w:hint="eastAsia"/>
        </w:rPr>
        <w:t>江津区</w:t>
      </w:r>
      <w:r>
        <w:t>第十</w:t>
      </w:r>
      <w:r>
        <w:rPr>
          <w:rFonts w:hint="eastAsia"/>
        </w:rPr>
        <w:t>八</w:t>
      </w:r>
      <w:r>
        <w:t>届人民代表大会第</w:t>
      </w:r>
      <w:r>
        <w:rPr>
          <w:rFonts w:hint="eastAsia"/>
        </w:rPr>
        <w:t>四</w:t>
      </w:r>
      <w:r>
        <w:t>次会议上</w:t>
      </w:r>
    </w:p>
    <w:p>
      <w:pPr>
        <w:ind w:firstLine="0" w:firstLineChars="0"/>
      </w:pPr>
    </w:p>
    <w:p>
      <w:pPr>
        <w:pStyle w:val="28"/>
      </w:pPr>
      <w:r>
        <w:rPr>
          <w:rFonts w:hint="eastAsia"/>
        </w:rPr>
        <w:t>各位代表：</w:t>
      </w:r>
    </w:p>
    <w:p>
      <w:pPr>
        <w:ind w:firstLine="640"/>
      </w:pPr>
      <w:r>
        <w:rPr>
          <w:rFonts w:hint="eastAsia"/>
        </w:rPr>
        <w:t>受区人民政府委托，现将重庆市江津区2023年预算执行情况和2024年预算草案提请大会审查，并请各位政协委员和其他列席人员提出意见。</w:t>
      </w:r>
    </w:p>
    <w:p>
      <w:pPr>
        <w:pStyle w:val="3"/>
        <w:ind w:firstLine="640"/>
      </w:pPr>
      <w:r>
        <w:rPr>
          <w:rFonts w:hint="eastAsia"/>
        </w:rPr>
        <w:t>一、2023年预算执行情况</w:t>
      </w:r>
    </w:p>
    <w:p>
      <w:pPr>
        <w:ind w:firstLine="640"/>
      </w:pPr>
      <w:r>
        <w:rPr>
          <w:rFonts w:hint="eastAsia"/>
        </w:rPr>
        <w:t>2023年是全面贯彻落实党的二十大精神的开局之年，是全面建设社会主义现代化新江津的起步之年，也是三年新冠疫情防控转段后经济恢复发展的一年。全区财政以深入开展学习贯彻习近平新时代中国特色社会主义思想主题教育为先导，在区委区政府坚强领导和区人大监督指导下，坚决贯彻落实市委六届二次、三次全会精神和区委第十五届四次、五次全会精神，坚持稳中求进工作总基调，完整、准确、全面贯彻新发展理念，突出稳进增效、除险清患、改革求变、惠民有感工作导向，加力提效实施积极的财政政策，强化预算执行管理，积极防范化解政府债务风险，切实兜牢“三保”底线，严肃财经纪律，有力促进全区经济回升向好，为我区“五地一城”建设提供了</w:t>
      </w:r>
      <w:r>
        <w:rPr>
          <w:rFonts w:hint="default"/>
        </w:rPr>
        <w:t>必要的</w:t>
      </w:r>
      <w:r>
        <w:rPr>
          <w:rFonts w:hint="eastAsia"/>
        </w:rPr>
        <w:t>财</w:t>
      </w:r>
      <w:r>
        <w:rPr>
          <w:rFonts w:hint="default"/>
        </w:rPr>
        <w:t>力</w:t>
      </w:r>
      <w:r>
        <w:rPr>
          <w:rFonts w:hint="eastAsia"/>
        </w:rPr>
        <w:t>支撑。</w:t>
      </w:r>
    </w:p>
    <w:p>
      <w:pPr>
        <w:pStyle w:val="4"/>
        <w:ind w:firstLine="640"/>
      </w:pPr>
      <w:r>
        <w:rPr>
          <w:rFonts w:hint="eastAsia"/>
        </w:rPr>
        <w:t>（一）全区预算执行情况。</w:t>
      </w:r>
    </w:p>
    <w:p>
      <w:pPr>
        <w:pStyle w:val="5"/>
        <w:ind w:firstLine="640"/>
      </w:pPr>
      <w:r>
        <w:t xml:space="preserve">1. </w:t>
      </w:r>
      <w:r>
        <w:rPr>
          <w:rFonts w:hint="eastAsia"/>
        </w:rPr>
        <w:t>全区一般公共预算。</w:t>
      </w:r>
    </w:p>
    <w:p>
      <w:pPr>
        <w:ind w:firstLine="640"/>
      </w:pPr>
      <w:r>
        <w:t>全区一般公共预算收入67.96亿元，</w:t>
      </w:r>
      <w:r>
        <w:rPr>
          <w:rFonts w:hint="eastAsia"/>
        </w:rPr>
        <w:t>为</w:t>
      </w:r>
      <w:r>
        <w:t>预算的100.2%</w:t>
      </w:r>
      <w:r>
        <w:rPr>
          <w:rFonts w:hint="eastAsia"/>
          <w:lang w:eastAsia="zh-CN"/>
        </w:rPr>
        <w:t>，</w:t>
      </w:r>
      <w:r>
        <w:t>增长0.5%</w:t>
      </w:r>
      <w:r>
        <w:rPr>
          <w:rFonts w:hint="eastAsia"/>
          <w:lang w:eastAsia="zh-CN"/>
        </w:rPr>
        <w:t>。</w:t>
      </w:r>
      <w:r>
        <w:t>其中，税收收入 38.53亿元，增长13.3%，非税收入29.4</w:t>
      </w:r>
      <w:r>
        <w:rPr>
          <w:rFonts w:hint="eastAsia"/>
          <w:lang w:val="en-US" w:eastAsia="zh-CN"/>
        </w:rPr>
        <w:t>3</w:t>
      </w:r>
      <w:r>
        <w:t>亿元，下降12.5%</w:t>
      </w:r>
      <w:r>
        <w:rPr>
          <w:rFonts w:hint="eastAsia"/>
        </w:rPr>
        <w:t>，主要是</w:t>
      </w:r>
      <w:r>
        <w:rPr>
          <w:rFonts w:hint="eastAsia"/>
          <w:lang w:eastAsia="zh-CN"/>
        </w:rPr>
        <w:t>一次性入库收入下降</w:t>
      </w:r>
      <w:r>
        <w:rPr>
          <w:rFonts w:hint="eastAsia"/>
        </w:rPr>
        <w:t>。</w:t>
      </w:r>
      <w:r>
        <w:t>加上上级补助</w:t>
      </w:r>
      <w:r>
        <w:rPr>
          <w:rFonts w:hint="eastAsia"/>
          <w:lang w:eastAsia="zh-CN"/>
        </w:rPr>
        <w:t>收入</w:t>
      </w:r>
      <w:r>
        <w:rPr>
          <w:rFonts w:hint="eastAsia"/>
        </w:rPr>
        <w:t>49.63</w:t>
      </w:r>
      <w:r>
        <w:t>亿元、政府一般债券</w:t>
      </w:r>
      <w:r>
        <w:rPr>
          <w:rFonts w:hint="eastAsia"/>
        </w:rPr>
        <w:t>转贷</w:t>
      </w:r>
      <w:r>
        <w:t>收入42.86亿元，以及动用预算稳定调节基金10.11亿元、调入资金7.15亿元、上年结转10.08亿元后，收入</w:t>
      </w:r>
      <w:r>
        <w:rPr>
          <w:rFonts w:hint="eastAsia"/>
        </w:rPr>
        <w:t>总量为187.79</w:t>
      </w:r>
      <w:r>
        <w:t>亿元。</w:t>
      </w:r>
    </w:p>
    <w:p>
      <w:pPr>
        <w:ind w:firstLine="640"/>
        <w:rPr>
          <w:rFonts w:ascii="Times New Roman" w:hAnsi="Times New Roman" w:cs="Times New Roman"/>
          <w:spacing w:val="-4"/>
          <w:szCs w:val="20"/>
        </w:rPr>
      </w:pPr>
      <w:r>
        <w:t>全区一般公共预算支出120.68亿元，增长4%。加上上解上级</w:t>
      </w:r>
      <w:r>
        <w:rPr>
          <w:rFonts w:hint="eastAsia"/>
          <w:lang w:eastAsia="zh-CN"/>
        </w:rPr>
        <w:t>支出</w:t>
      </w:r>
      <w:r>
        <w:t>6.17亿元、</w:t>
      </w:r>
      <w:r>
        <w:rPr>
          <w:rFonts w:hint="eastAsia"/>
          <w:lang w:eastAsia="zh-CN"/>
        </w:rPr>
        <w:t>政府</w:t>
      </w:r>
      <w:r>
        <w:t>一般债务还本支出40.5亿元，以及安排预算稳定调节基金</w:t>
      </w:r>
      <w:r>
        <w:rPr>
          <w:rFonts w:hint="eastAsia"/>
          <w:lang w:eastAsia="zh-CN"/>
        </w:rPr>
        <w:t>、</w:t>
      </w:r>
      <w:r>
        <w:t>结转下年等</w:t>
      </w:r>
      <w:r>
        <w:rPr>
          <w:rFonts w:hint="eastAsia"/>
        </w:rPr>
        <w:t>20.44</w:t>
      </w:r>
      <w:r>
        <w:t>亿元后，支出总量为18</w:t>
      </w:r>
      <w:r>
        <w:rPr>
          <w:rFonts w:hint="eastAsia"/>
        </w:rPr>
        <w:t>7.79</w:t>
      </w:r>
      <w:r>
        <w:t>亿元。收支平衡</w:t>
      </w:r>
      <w:r>
        <w:rPr>
          <w:rFonts w:hint="eastAsia"/>
        </w:rPr>
        <w:t>。</w:t>
      </w:r>
    </w:p>
    <w:p>
      <w:pPr>
        <w:pStyle w:val="5"/>
        <w:numPr>
          <w:ilvl w:val="0"/>
          <w:numId w:val="1"/>
        </w:numPr>
        <w:ind w:firstLine="640"/>
      </w:pPr>
      <w:r>
        <w:rPr>
          <w:rFonts w:hint="eastAsia"/>
        </w:rPr>
        <w:t>全区</w:t>
      </w:r>
      <w:r>
        <w:t>政府性基金预算</w:t>
      </w:r>
      <w:r>
        <w:rPr>
          <w:rFonts w:hint="eastAsia"/>
        </w:rPr>
        <w:t>。</w:t>
      </w:r>
    </w:p>
    <w:p>
      <w:pPr>
        <w:ind w:firstLine="640"/>
      </w:pPr>
      <w:r>
        <w:t>全区政府性基金预算收入 35.12亿元，</w:t>
      </w:r>
      <w:r>
        <w:rPr>
          <w:rFonts w:hint="eastAsia"/>
        </w:rPr>
        <w:t>为预算的90.6%</w:t>
      </w:r>
      <w:r>
        <w:rPr>
          <w:rFonts w:hint="eastAsia"/>
          <w:lang w:eastAsia="zh-CN"/>
        </w:rPr>
        <w:t>，</w:t>
      </w:r>
      <w:r>
        <w:t>下降30.2%</w:t>
      </w:r>
      <w:r>
        <w:rPr>
          <w:rFonts w:hint="eastAsia"/>
          <w:lang w:eastAsia="zh-CN"/>
        </w:rPr>
        <w:t>。</w:t>
      </w:r>
      <w:r>
        <w:t>其中</w:t>
      </w:r>
      <w:r>
        <w:rPr>
          <w:rFonts w:hint="eastAsia"/>
        </w:rPr>
        <w:t>，</w:t>
      </w:r>
      <w:r>
        <w:t>土地使用权出让收入30.78亿元，下降32.</w:t>
      </w:r>
      <w:r>
        <w:rPr>
          <w:rFonts w:hint="eastAsia"/>
          <w:lang w:val="en-US" w:eastAsia="zh-CN"/>
        </w:rPr>
        <w:t>4</w:t>
      </w:r>
      <w:r>
        <w:t>%</w:t>
      </w:r>
      <w:r>
        <w:rPr>
          <w:rFonts w:hint="eastAsia"/>
        </w:rPr>
        <w:t>，</w:t>
      </w:r>
      <w:r>
        <w:t>主要是房地产市场深度</w:t>
      </w:r>
      <w:r>
        <w:rPr>
          <w:rFonts w:hint="eastAsia"/>
        </w:rPr>
        <w:t>调整</w:t>
      </w:r>
      <w:r>
        <w:t>，土地出让</w:t>
      </w:r>
      <w:r>
        <w:rPr>
          <w:rFonts w:hint="eastAsia"/>
          <w:lang w:eastAsia="zh-CN"/>
        </w:rPr>
        <w:t>收入减少</w:t>
      </w:r>
      <w:r>
        <w:t>。加上上级补助</w:t>
      </w:r>
      <w:r>
        <w:rPr>
          <w:rFonts w:hint="eastAsia"/>
          <w:lang w:eastAsia="zh-CN"/>
        </w:rPr>
        <w:t>收入</w:t>
      </w:r>
      <w:r>
        <w:t>3.66亿元、政府专项债券</w:t>
      </w:r>
      <w:r>
        <w:rPr>
          <w:rFonts w:hint="eastAsia"/>
        </w:rPr>
        <w:t>转贷</w:t>
      </w:r>
      <w:r>
        <w:t>收入36.15亿元，以及上年结转等2.46亿元后，收入总量为77.39亿元。</w:t>
      </w:r>
    </w:p>
    <w:p>
      <w:pPr>
        <w:ind w:firstLine="640"/>
      </w:pPr>
      <w:r>
        <w:t>全区政府性基金预算支出41.04亿元。加上</w:t>
      </w:r>
      <w:r>
        <w:rPr>
          <w:rFonts w:hint="eastAsia"/>
          <w:lang w:eastAsia="zh-CN"/>
        </w:rPr>
        <w:t>政府</w:t>
      </w:r>
      <w:r>
        <w:t>专项债务还本支出24.15亿元，以及上解上级</w:t>
      </w:r>
      <w:r>
        <w:rPr>
          <w:rFonts w:hint="eastAsia"/>
        </w:rPr>
        <w:t>支出1.98亿元，</w:t>
      </w:r>
      <w:r>
        <w:t>调出资金</w:t>
      </w:r>
      <w:r>
        <w:rPr>
          <w:rFonts w:hint="eastAsia"/>
        </w:rPr>
        <w:t>6.99亿元，</w:t>
      </w:r>
      <w:r>
        <w:t>结转下年</w:t>
      </w:r>
      <w:r>
        <w:rPr>
          <w:rFonts w:hint="eastAsia"/>
        </w:rPr>
        <w:t>3.23</w:t>
      </w:r>
      <w:r>
        <w:t>亿元后，支出总量为77.39亿元。收支平衡</w:t>
      </w:r>
      <w:r>
        <w:rPr>
          <w:rFonts w:hint="eastAsia"/>
        </w:rPr>
        <w:t>。</w:t>
      </w:r>
    </w:p>
    <w:p>
      <w:pPr>
        <w:pStyle w:val="5"/>
        <w:numPr>
          <w:ilvl w:val="0"/>
          <w:numId w:val="1"/>
        </w:numPr>
        <w:ind w:firstLine="640"/>
      </w:pPr>
      <w:r>
        <w:rPr>
          <w:rFonts w:hint="eastAsia"/>
        </w:rPr>
        <w:t>全区</w:t>
      </w:r>
      <w:r>
        <w:t>国有资本经营预算</w:t>
      </w:r>
      <w:r>
        <w:rPr>
          <w:rFonts w:hint="eastAsia"/>
        </w:rPr>
        <w:t>。</w:t>
      </w:r>
    </w:p>
    <w:p>
      <w:pPr>
        <w:ind w:firstLine="640"/>
      </w:pPr>
      <w:r>
        <w:t>全区国有资本经营预算收入1,564万元，为预算的104.3%</w:t>
      </w:r>
      <w:r>
        <w:rPr>
          <w:rFonts w:hint="eastAsia"/>
          <w:lang w:eastAsia="zh-CN"/>
        </w:rPr>
        <w:t>，</w:t>
      </w:r>
      <w:r>
        <w:t>下降71.2%</w:t>
      </w:r>
      <w:r>
        <w:rPr>
          <w:rFonts w:hint="eastAsia"/>
        </w:rPr>
        <w:t>，</w:t>
      </w:r>
      <w:r>
        <w:rPr>
          <w:rFonts w:hint="eastAsia"/>
          <w:color w:val="auto"/>
        </w:rPr>
        <w:t>主要是</w:t>
      </w:r>
      <w:r>
        <w:rPr>
          <w:rFonts w:hint="eastAsia"/>
          <w:color w:val="auto"/>
          <w:lang w:eastAsia="zh-CN"/>
        </w:rPr>
        <w:t>上年</w:t>
      </w:r>
      <w:r>
        <w:rPr>
          <w:rFonts w:hint="eastAsia"/>
          <w:color w:val="auto"/>
        </w:rPr>
        <w:t>江津自来水公司</w:t>
      </w:r>
      <w:r>
        <w:rPr>
          <w:rFonts w:hint="default"/>
          <w:color w:val="auto"/>
        </w:rPr>
        <w:t>一次性缴入</w:t>
      </w:r>
      <w:r>
        <w:rPr>
          <w:rFonts w:hint="eastAsia"/>
          <w:color w:val="auto"/>
          <w:lang w:eastAsia="zh-CN"/>
        </w:rPr>
        <w:t>资产</w:t>
      </w:r>
      <w:r>
        <w:rPr>
          <w:rFonts w:hint="default"/>
          <w:color w:val="auto"/>
          <w:lang w:eastAsia="zh-CN"/>
        </w:rPr>
        <w:t>处置清算</w:t>
      </w:r>
      <w:r>
        <w:rPr>
          <w:rFonts w:hint="eastAsia"/>
          <w:color w:val="auto"/>
          <w:lang w:eastAsia="zh-CN"/>
        </w:rPr>
        <w:t>收入，</w:t>
      </w:r>
      <w:r>
        <w:rPr>
          <w:rFonts w:hint="eastAsia"/>
          <w:color w:val="auto"/>
          <w:lang w:val="en-US" w:eastAsia="zh-CN"/>
        </w:rPr>
        <w:t>垫高基数。</w:t>
      </w:r>
      <w:r>
        <w:t>加上上年结转25万元后，收入总量为1,589万元。</w:t>
      </w:r>
    </w:p>
    <w:p>
      <w:pPr>
        <w:ind w:firstLine="640"/>
      </w:pPr>
      <w:r>
        <w:t>全区国有资本经营预算调出资金1,525万元、结转下年64万元，支出总量为1,589万元。收支平衡</w:t>
      </w:r>
      <w:r>
        <w:rPr>
          <w:rFonts w:hint="eastAsia"/>
        </w:rPr>
        <w:t>。</w:t>
      </w:r>
    </w:p>
    <w:p>
      <w:pPr>
        <w:pStyle w:val="4"/>
        <w:ind w:firstLine="640"/>
      </w:pPr>
      <w:r>
        <w:rPr>
          <w:rFonts w:hint="eastAsia"/>
        </w:rPr>
        <w:t>（二）区级预算执行情况。</w:t>
      </w:r>
    </w:p>
    <w:p>
      <w:pPr>
        <w:pStyle w:val="5"/>
        <w:ind w:firstLine="640"/>
      </w:pPr>
      <w:r>
        <w:t>1.</w:t>
      </w:r>
      <w:r>
        <w:rPr>
          <w:rFonts w:hint="eastAsia"/>
        </w:rPr>
        <w:t>区级</w:t>
      </w:r>
      <w:r>
        <w:t>一般公共预算</w:t>
      </w:r>
      <w:r>
        <w:rPr>
          <w:rFonts w:hint="eastAsia"/>
        </w:rPr>
        <w:t>。</w:t>
      </w:r>
    </w:p>
    <w:p>
      <w:pPr>
        <w:ind w:firstLine="640"/>
      </w:pPr>
      <w:r>
        <w:rPr>
          <w:rFonts w:hint="eastAsia"/>
        </w:rPr>
        <w:t>区级一般公共预算收入66.92亿元，为预算的100.03%</w:t>
      </w:r>
      <w:r>
        <w:rPr>
          <w:rFonts w:hint="eastAsia"/>
          <w:lang w:eastAsia="zh-CN"/>
        </w:rPr>
        <w:t>，</w:t>
      </w:r>
      <w:r>
        <w:rPr>
          <w:rFonts w:hint="eastAsia"/>
        </w:rPr>
        <w:t>增长0.3%。其中，税收收入37.71亿元；非税收入29.21亿元。加上上级补助</w:t>
      </w:r>
      <w:r>
        <w:rPr>
          <w:rFonts w:hint="eastAsia"/>
          <w:lang w:eastAsia="zh-CN"/>
        </w:rPr>
        <w:t>收入</w:t>
      </w:r>
      <w:r>
        <w:rPr>
          <w:rFonts w:hint="eastAsia"/>
        </w:rPr>
        <w:t>49.63亿元、政府一般债券转贷收入42.86亿元、动用预算稳定调节基金10.11亿元、调入资金7.15亿元，以及下级上解收入、上年结转等9.81亿元后，收入总量为186.48亿元。</w:t>
      </w:r>
    </w:p>
    <w:p>
      <w:pPr>
        <w:ind w:firstLine="640"/>
      </w:pPr>
      <w:r>
        <w:rPr>
          <w:rFonts w:hint="eastAsia"/>
        </w:rPr>
        <w:t>区级一般公共预算支出109.58亿元，完成预算的84.9%</w:t>
      </w:r>
      <w:r>
        <w:rPr>
          <w:rFonts w:hint="eastAsia"/>
          <w:lang w:eastAsia="zh-CN"/>
        </w:rPr>
        <w:t>，</w:t>
      </w:r>
      <w:r>
        <w:rPr>
          <w:rFonts w:hint="eastAsia"/>
        </w:rPr>
        <w:t>增长2.6%。加上补助镇级</w:t>
      </w:r>
      <w:r>
        <w:rPr>
          <w:rFonts w:hint="eastAsia"/>
          <w:lang w:eastAsia="zh-CN"/>
        </w:rPr>
        <w:t>支出</w:t>
      </w:r>
      <w:r>
        <w:rPr>
          <w:rFonts w:hint="eastAsia"/>
        </w:rPr>
        <w:t>10.6亿元、政府一般债务还本支出40.5亿元、安排预算稳定调节基金8.57亿元，以及上解上级</w:t>
      </w:r>
      <w:r>
        <w:rPr>
          <w:rFonts w:hint="eastAsia"/>
          <w:lang w:eastAsia="zh-CN"/>
        </w:rPr>
        <w:t>支出</w:t>
      </w:r>
      <w:r>
        <w:rPr>
          <w:rFonts w:hint="eastAsia"/>
        </w:rPr>
        <w:t>、结转下年等17.23亿元后，支出总量为186.48亿元</w:t>
      </w:r>
      <w:r>
        <w:t>。</w:t>
      </w:r>
    </w:p>
    <w:p>
      <w:pPr>
        <w:ind w:firstLine="640"/>
      </w:pPr>
      <w:r>
        <w:t>（1）区级重点支出执行情况为：一般公共服务支出5.59亿元，增长0.7%</w:t>
      </w:r>
      <w:r>
        <w:rPr>
          <w:rFonts w:hint="eastAsia"/>
        </w:rPr>
        <w:t>；</w:t>
      </w:r>
      <w:r>
        <w:t>公共安全支出4.26亿元，下降0.3%</w:t>
      </w:r>
      <w:r>
        <w:rPr>
          <w:rFonts w:hint="eastAsia"/>
        </w:rPr>
        <w:t>；</w:t>
      </w:r>
      <w:r>
        <w:t>教育支出25.88亿元，增长2.7%</w:t>
      </w:r>
      <w:r>
        <w:rPr>
          <w:rFonts w:hint="eastAsia"/>
        </w:rPr>
        <w:t>；</w:t>
      </w:r>
      <w:r>
        <w:t>科学技术支出1.51亿元，增长0.2%</w:t>
      </w:r>
      <w:r>
        <w:rPr>
          <w:rFonts w:hint="eastAsia"/>
        </w:rPr>
        <w:t>；</w:t>
      </w:r>
      <w:r>
        <w:t>文化旅游体育与传媒支出1.48亿元，下降8.4%</w:t>
      </w:r>
      <w:r>
        <w:rPr>
          <w:rFonts w:hint="eastAsia"/>
        </w:rPr>
        <w:t>；</w:t>
      </w:r>
      <w:r>
        <w:t>社会保障和就业支出18.71亿元，增长5.7%</w:t>
      </w:r>
      <w:r>
        <w:rPr>
          <w:rFonts w:hint="eastAsia"/>
        </w:rPr>
        <w:t>；</w:t>
      </w:r>
      <w:r>
        <w:t>卫生健康支出13.79亿元，增长1.4%</w:t>
      </w:r>
      <w:r>
        <w:rPr>
          <w:rFonts w:hint="eastAsia"/>
        </w:rPr>
        <w:t>；</w:t>
      </w:r>
      <w:r>
        <w:t>节能环保支出1.98亿元，增长11.3%</w:t>
      </w:r>
      <w:r>
        <w:rPr>
          <w:rFonts w:hint="eastAsia"/>
        </w:rPr>
        <w:t>；</w:t>
      </w:r>
      <w:r>
        <w:t>城乡社区支出13.09亿元，增长6.5%</w:t>
      </w:r>
      <w:r>
        <w:rPr>
          <w:rFonts w:hint="eastAsia"/>
        </w:rPr>
        <w:t>；</w:t>
      </w:r>
      <w:r>
        <w:t>农林水支出10.47亿元，下降6.3%</w:t>
      </w:r>
      <w:r>
        <w:rPr>
          <w:rFonts w:hint="eastAsia"/>
          <w:lang w:eastAsia="zh-CN"/>
        </w:rPr>
        <w:t>；</w:t>
      </w:r>
      <w:r>
        <w:t>交通运输支出3.75亿元，增长13.6%</w:t>
      </w:r>
      <w:r>
        <w:rPr>
          <w:rFonts w:hint="eastAsia"/>
          <w:lang w:eastAsia="zh-CN"/>
        </w:rPr>
        <w:t>；</w:t>
      </w:r>
      <w:r>
        <w:t>产业发展支出2.04亿元（资源勘探工业信息、商业服务业、金融、粮油物资储备四个科目之和，下同），增长4.5%</w:t>
      </w:r>
      <w:r>
        <w:rPr>
          <w:rFonts w:hint="eastAsia"/>
          <w:lang w:eastAsia="zh-CN"/>
        </w:rPr>
        <w:t>；</w:t>
      </w:r>
      <w:r>
        <w:t>住房保障支出3.06亿元，增长35.4%</w:t>
      </w:r>
      <w:r>
        <w:rPr>
          <w:rFonts w:hint="eastAsia"/>
          <w:lang w:eastAsia="zh-CN"/>
        </w:rPr>
        <w:t>；</w:t>
      </w:r>
      <w:r>
        <w:t>灾害防治及应急管理支出0.71亿元，下降15.7%。</w:t>
      </w:r>
    </w:p>
    <w:p>
      <w:pPr>
        <w:ind w:firstLine="640"/>
        <w:rPr>
          <w:highlight w:val="none"/>
        </w:rPr>
      </w:pPr>
      <w:r>
        <w:rPr>
          <w:rFonts w:hint="eastAsia"/>
          <w:highlight w:val="none"/>
        </w:rPr>
        <w:t>区级一般公共预算支出执行数与预算数相差较大，主要是：零结转统筹收回各部门预算资金</w:t>
      </w:r>
      <w:r>
        <w:rPr>
          <w:rFonts w:hint="eastAsia"/>
          <w:highlight w:val="none"/>
          <w:lang w:val="en-US" w:eastAsia="zh-CN"/>
        </w:rPr>
        <w:t>5.85</w:t>
      </w:r>
      <w:r>
        <w:rPr>
          <w:rFonts w:hint="eastAsia"/>
          <w:highlight w:val="none"/>
        </w:rPr>
        <w:t>亿元</w:t>
      </w:r>
      <w:r>
        <w:rPr>
          <w:rFonts w:hint="eastAsia"/>
          <w:highlight w:val="none"/>
          <w:lang w:eastAsia="zh-CN"/>
        </w:rPr>
        <w:t>和连续两年未用完结转资金2.</w:t>
      </w:r>
      <w:r>
        <w:rPr>
          <w:rFonts w:hint="eastAsia"/>
          <w:highlight w:val="none"/>
          <w:lang w:val="en-US" w:eastAsia="zh-CN"/>
        </w:rPr>
        <w:t>44</w:t>
      </w:r>
      <w:r>
        <w:rPr>
          <w:rFonts w:hint="eastAsia"/>
          <w:highlight w:val="none"/>
          <w:lang w:eastAsia="zh-CN"/>
        </w:rPr>
        <w:t>亿元</w:t>
      </w:r>
      <w:r>
        <w:rPr>
          <w:rFonts w:hint="eastAsia"/>
          <w:highlight w:val="none"/>
        </w:rPr>
        <w:t>，用于补充预算稳定调</w:t>
      </w:r>
      <w:r>
        <w:rPr>
          <w:rFonts w:hint="eastAsia"/>
          <w:highlight w:val="none"/>
          <w:lang w:eastAsia="zh-CN"/>
        </w:rPr>
        <w:t>节</w:t>
      </w:r>
      <w:r>
        <w:rPr>
          <w:rFonts w:hint="eastAsia"/>
          <w:highlight w:val="none"/>
        </w:rPr>
        <w:t>基金；结转长江支流大溪河团结水库生态治理工程、城市燃气管道老化更新改造工程等上级补助资金10.89亿元</w:t>
      </w:r>
      <w:r>
        <w:rPr>
          <w:rFonts w:hint="eastAsia"/>
          <w:highlight w:val="none"/>
          <w:lang w:eastAsia="zh-CN"/>
        </w:rPr>
        <w:t>，</w:t>
      </w:r>
      <w:r>
        <w:rPr>
          <w:rFonts w:hint="default"/>
          <w:highlight w:val="none"/>
          <w:lang w:eastAsia="zh-CN"/>
        </w:rPr>
        <w:t>需结转</w:t>
      </w:r>
      <w:r>
        <w:rPr>
          <w:rFonts w:hint="eastAsia"/>
          <w:highlight w:val="none"/>
        </w:rPr>
        <w:t>下年继续使用。</w:t>
      </w:r>
    </w:p>
    <w:p>
      <w:pPr>
        <w:ind w:firstLine="640"/>
      </w:pPr>
      <w:r>
        <w:t>（2）区级对镇级转移支付预算执行情况为：区级对镇级转移支付</w:t>
      </w:r>
      <w:r>
        <w:rPr>
          <w:rFonts w:hint="eastAsia"/>
        </w:rPr>
        <w:t>10.6</w:t>
      </w:r>
      <w:r>
        <w:t>亿元。其中，一般性转移支付</w:t>
      </w:r>
      <w:r>
        <w:rPr>
          <w:rFonts w:hint="eastAsia"/>
        </w:rPr>
        <w:t>8.</w:t>
      </w:r>
      <w:r>
        <w:rPr>
          <w:rFonts w:hint="eastAsia"/>
          <w:lang w:val="en-US" w:eastAsia="zh-CN"/>
        </w:rPr>
        <w:t>6</w:t>
      </w:r>
      <w:r>
        <w:t>亿元，专项转移支付</w:t>
      </w:r>
      <w:r>
        <w:rPr>
          <w:rFonts w:hint="eastAsia"/>
        </w:rPr>
        <w:t>2</w:t>
      </w:r>
      <w:r>
        <w:t>亿元。</w:t>
      </w:r>
    </w:p>
    <w:p>
      <w:pPr>
        <w:pStyle w:val="5"/>
        <w:ind w:firstLine="640"/>
      </w:pPr>
      <w:r>
        <w:rPr>
          <w:rFonts w:hint="eastAsia"/>
        </w:rPr>
        <w:t>2.区级</w:t>
      </w:r>
      <w:r>
        <w:t>政府性基金预算</w:t>
      </w:r>
      <w:r>
        <w:rPr>
          <w:rFonts w:hint="eastAsia"/>
        </w:rPr>
        <w:t>。</w:t>
      </w:r>
    </w:p>
    <w:p>
      <w:pPr>
        <w:ind w:firstLine="640"/>
      </w:pPr>
      <w:r>
        <w:rPr>
          <w:rFonts w:hint="eastAsia"/>
        </w:rPr>
        <w:t>区级政府性基金预算收入35.12亿元，为预算的90.6%</w:t>
      </w:r>
      <w:r>
        <w:rPr>
          <w:rFonts w:hint="eastAsia"/>
          <w:lang w:eastAsia="zh-CN"/>
        </w:rPr>
        <w:t>，</w:t>
      </w:r>
      <w:r>
        <w:rPr>
          <w:rFonts w:hint="eastAsia"/>
        </w:rPr>
        <w:t>下降30.2%。加上上级补助</w:t>
      </w:r>
      <w:r>
        <w:rPr>
          <w:rFonts w:hint="eastAsia"/>
          <w:lang w:eastAsia="zh-CN"/>
        </w:rPr>
        <w:t>收入</w:t>
      </w:r>
      <w:r>
        <w:rPr>
          <w:rFonts w:hint="eastAsia"/>
        </w:rPr>
        <w:t>3.66亿元，政府专项债券转贷收入36.15亿元，以及下级上解收入、上年结转等2.44亿元后，收入总量为77.37亿元。</w:t>
      </w:r>
    </w:p>
    <w:p>
      <w:pPr>
        <w:ind w:firstLine="640"/>
      </w:pPr>
      <w:r>
        <w:rPr>
          <w:rFonts w:hint="eastAsia"/>
        </w:rPr>
        <w:t>区级政府性基金预算支出40.81亿元，完成预算的85.7%</w:t>
      </w:r>
      <w:r>
        <w:rPr>
          <w:rFonts w:hint="eastAsia"/>
          <w:lang w:eastAsia="zh-CN"/>
        </w:rPr>
        <w:t>，</w:t>
      </w:r>
      <w:r>
        <w:rPr>
          <w:rFonts w:hint="eastAsia"/>
        </w:rPr>
        <w:t>下降30.8%，</w:t>
      </w:r>
      <w:r>
        <w:rPr>
          <w:rFonts w:hint="eastAsia"/>
          <w:lang w:eastAsia="zh-CN"/>
        </w:rPr>
        <w:t>主要是收入减少，支出相应减少</w:t>
      </w:r>
      <w:r>
        <w:rPr>
          <w:rFonts w:hint="eastAsia"/>
        </w:rPr>
        <w:t>。加上上解上级支出1.98亿元，调出资金6.99亿元，政府专项债务还本支出24.15亿元，以及补助镇级支出、结转下年等3.44亿元后，支出总量为77.37亿元</w:t>
      </w:r>
      <w:r>
        <w:t>。</w:t>
      </w:r>
    </w:p>
    <w:p>
      <w:pPr>
        <w:ind w:firstLine="640"/>
      </w:pPr>
      <w:r>
        <w:t>区级政府性基金预算主要支出项目执行情况为：</w:t>
      </w:r>
    </w:p>
    <w:p>
      <w:pPr>
        <w:ind w:firstLine="640"/>
      </w:pPr>
      <w:r>
        <w:t>——城乡社区支出</w:t>
      </w:r>
      <w:r>
        <w:rPr>
          <w:rFonts w:hint="eastAsia"/>
        </w:rPr>
        <w:t>25.65</w:t>
      </w:r>
      <w:r>
        <w:t>亿元，主要是国有土地使用权出让收入</w:t>
      </w:r>
      <w:r>
        <w:rPr>
          <w:rFonts w:hint="eastAsia"/>
        </w:rPr>
        <w:t>、</w:t>
      </w:r>
      <w:r>
        <w:t>国有土地收益基金</w:t>
      </w:r>
      <w:r>
        <w:rPr>
          <w:rFonts w:hint="eastAsia"/>
        </w:rPr>
        <w:t>、城市基础设施配套费等</w:t>
      </w:r>
      <w:r>
        <w:t>安排的征地拆迁补偿等成本支出</w:t>
      </w:r>
      <w:r>
        <w:rPr>
          <w:rFonts w:hint="eastAsia"/>
          <w:lang w:eastAsia="zh-CN"/>
        </w:rPr>
        <w:t>、</w:t>
      </w:r>
      <w:r>
        <w:t>城市基础设施建设支出</w:t>
      </w:r>
      <w:r>
        <w:rPr>
          <w:rFonts w:hint="eastAsia"/>
        </w:rPr>
        <w:t>19.15亿元，国有土地使用权出让收入对应专项债务收入安排的城市建设支出6.5亿元。</w:t>
      </w:r>
    </w:p>
    <w:p>
      <w:pPr>
        <w:ind w:firstLine="640"/>
      </w:pPr>
      <w:r>
        <w:t>——债务付息支出</w:t>
      </w:r>
      <w:r>
        <w:rPr>
          <w:rFonts w:hint="eastAsia"/>
        </w:rPr>
        <w:t>5.59</w:t>
      </w:r>
      <w:r>
        <w:t>亿元，全部用于偿还到期的政府专项债务利息。</w:t>
      </w:r>
    </w:p>
    <w:p>
      <w:pPr>
        <w:ind w:firstLine="640"/>
        <w:rPr>
          <w:highlight w:val="none"/>
        </w:rPr>
      </w:pPr>
      <w:r>
        <w:rPr>
          <w:highlight w:val="none"/>
        </w:rPr>
        <w:t>——其他支出</w:t>
      </w:r>
      <w:r>
        <w:rPr>
          <w:rFonts w:hint="eastAsia"/>
          <w:highlight w:val="none"/>
        </w:rPr>
        <w:t>8.86</w:t>
      </w:r>
      <w:r>
        <w:rPr>
          <w:highlight w:val="none"/>
        </w:rPr>
        <w:t>亿元，其中，专项债券收入安排的支出</w:t>
      </w:r>
      <w:r>
        <w:rPr>
          <w:rFonts w:hint="eastAsia"/>
          <w:highlight w:val="none"/>
        </w:rPr>
        <w:t>8.5</w:t>
      </w:r>
      <w:r>
        <w:rPr>
          <w:highlight w:val="none"/>
        </w:rPr>
        <w:t>亿元</w:t>
      </w:r>
      <w:r>
        <w:rPr>
          <w:rFonts w:hint="eastAsia"/>
          <w:highlight w:val="none"/>
          <w:lang w:eastAsia="zh-CN"/>
        </w:rPr>
        <w:t>，</w:t>
      </w:r>
      <w:r>
        <w:rPr>
          <w:highlight w:val="none"/>
        </w:rPr>
        <w:t>彩票公益金安排的支出0.3</w:t>
      </w:r>
      <w:r>
        <w:rPr>
          <w:rFonts w:hint="eastAsia"/>
          <w:highlight w:val="none"/>
        </w:rPr>
        <w:t>6</w:t>
      </w:r>
      <w:r>
        <w:rPr>
          <w:highlight w:val="none"/>
        </w:rPr>
        <w:t>亿元。</w:t>
      </w:r>
    </w:p>
    <w:p>
      <w:pPr>
        <w:ind w:firstLine="640"/>
        <w:rPr>
          <w:rFonts w:hint="eastAsia" w:eastAsia="方正仿宋_GBK"/>
          <w:highlight w:val="none"/>
          <w:lang w:eastAsia="zh-CN"/>
        </w:rPr>
      </w:pPr>
      <w:r>
        <w:rPr>
          <w:rFonts w:hint="eastAsia"/>
          <w:highlight w:val="none"/>
        </w:rPr>
        <w:t>区级政府性基金预算支出执行数与预算数相差较大</w:t>
      </w:r>
      <w:r>
        <w:rPr>
          <w:rFonts w:hint="eastAsia"/>
          <w:highlight w:val="none"/>
          <w:lang w:eastAsia="zh-CN"/>
        </w:rPr>
        <w:t>，主要</w:t>
      </w:r>
      <w:r>
        <w:rPr>
          <w:highlight w:val="none"/>
        </w:rPr>
        <w:t>是：</w:t>
      </w:r>
      <w:r>
        <w:rPr>
          <w:rFonts w:hint="eastAsia"/>
          <w:highlight w:val="none"/>
          <w:lang w:eastAsia="zh-CN"/>
        </w:rPr>
        <w:t>收入短收减少支出</w:t>
      </w:r>
      <w:r>
        <w:rPr>
          <w:rFonts w:hint="eastAsia"/>
          <w:highlight w:val="none"/>
          <w:lang w:val="en-US" w:eastAsia="zh-CN"/>
        </w:rPr>
        <w:t>4.1亿元</w:t>
      </w:r>
      <w:r>
        <w:rPr>
          <w:rFonts w:hint="eastAsia"/>
          <w:highlight w:val="none"/>
        </w:rPr>
        <w:t>，以及普通国省道干线公路建设、綦江河江津区支坪段库岸安全防护工程项目</w:t>
      </w:r>
      <w:r>
        <w:rPr>
          <w:rFonts w:hint="eastAsia"/>
          <w:highlight w:val="none"/>
          <w:lang w:eastAsia="zh-CN"/>
        </w:rPr>
        <w:t>、移民安置村乡村基础设施建设工程</w:t>
      </w:r>
      <w:r>
        <w:rPr>
          <w:rFonts w:hint="eastAsia"/>
          <w:highlight w:val="none"/>
        </w:rPr>
        <w:t>等上级补助资金2.74亿元</w:t>
      </w:r>
      <w:r>
        <w:rPr>
          <w:rFonts w:hint="eastAsia"/>
          <w:highlight w:val="none"/>
          <w:lang w:eastAsia="zh-CN"/>
        </w:rPr>
        <w:t>未使用完，</w:t>
      </w:r>
      <w:r>
        <w:rPr>
          <w:rFonts w:hint="default"/>
          <w:highlight w:val="none"/>
          <w:lang w:eastAsia="zh-CN"/>
        </w:rPr>
        <w:t>需</w:t>
      </w:r>
      <w:r>
        <w:rPr>
          <w:rFonts w:hint="eastAsia"/>
          <w:highlight w:val="none"/>
          <w:lang w:eastAsia="zh-CN"/>
        </w:rPr>
        <w:t>结转下年继续使用。</w:t>
      </w:r>
    </w:p>
    <w:p>
      <w:pPr>
        <w:pStyle w:val="5"/>
        <w:ind w:firstLine="640"/>
      </w:pPr>
      <w:r>
        <w:t>3.</w:t>
      </w:r>
      <w:r>
        <w:rPr>
          <w:rFonts w:hint="eastAsia"/>
        </w:rPr>
        <w:t>区级</w:t>
      </w:r>
      <w:r>
        <w:t>国有资本经营预算</w:t>
      </w:r>
      <w:r>
        <w:rPr>
          <w:rFonts w:hint="eastAsia"/>
        </w:rPr>
        <w:t>。</w:t>
      </w:r>
    </w:p>
    <w:p>
      <w:pPr>
        <w:ind w:firstLine="640"/>
      </w:pPr>
      <w:r>
        <w:rPr>
          <w:rFonts w:hint="eastAsia"/>
        </w:rPr>
        <w:t>区级国有资本经营预算收入1,564万元，为预算的104.3%</w:t>
      </w:r>
      <w:r>
        <w:rPr>
          <w:rFonts w:hint="eastAsia"/>
          <w:lang w:eastAsia="zh-CN"/>
        </w:rPr>
        <w:t>，</w:t>
      </w:r>
      <w:r>
        <w:rPr>
          <w:rFonts w:hint="eastAsia"/>
        </w:rPr>
        <w:t>下降71.2%。加上上年结转25万元，收入总量为1,589万元。区级国有资本经营预算调出资金1,525万元、结转下年64万元，支出总量为1,589万元</w:t>
      </w:r>
      <w:r>
        <w:t>。</w:t>
      </w:r>
    </w:p>
    <w:p>
      <w:pPr>
        <w:pStyle w:val="4"/>
        <w:ind w:firstLine="640"/>
      </w:pPr>
      <w:r>
        <w:rPr>
          <w:rFonts w:hint="eastAsia"/>
        </w:rPr>
        <w:t>（三）政府债务情况</w:t>
      </w:r>
    </w:p>
    <w:p>
      <w:pPr>
        <w:ind w:firstLine="640"/>
      </w:pPr>
      <w:r>
        <w:rPr>
          <w:rFonts w:hint="eastAsia"/>
        </w:rPr>
        <w:t>2023年，市财政转贷我区政府债券79.01亿元，其中，新增债券10.74亿元，主要用于支持疾病预防控制中心迁建、双福片区中小学建设、</w:t>
      </w:r>
      <w:r>
        <w:rPr>
          <w:rFonts w:hint="eastAsia"/>
          <w:lang w:eastAsia="zh-CN"/>
        </w:rPr>
        <w:t>市郊铁路江跳线过江段</w:t>
      </w:r>
      <w:r>
        <w:rPr>
          <w:rFonts w:hint="eastAsia"/>
        </w:rPr>
        <w:t>、</w:t>
      </w:r>
      <w:r>
        <w:rPr>
          <w:rFonts w:hint="eastAsia"/>
          <w:lang w:eastAsia="zh-CN"/>
        </w:rPr>
        <w:t>区</w:t>
      </w:r>
      <w:r>
        <w:rPr>
          <w:rFonts w:hint="eastAsia"/>
        </w:rPr>
        <w:t>中医院住院综合大楼等19个公益</w:t>
      </w:r>
      <w:r>
        <w:rPr>
          <w:rFonts w:hint="eastAsia"/>
          <w:lang w:eastAsia="zh-CN"/>
        </w:rPr>
        <w:t>性</w:t>
      </w:r>
      <w:r>
        <w:rPr>
          <w:rFonts w:hint="eastAsia"/>
        </w:rPr>
        <w:t>项目建设；再融资债券61.77亿元，主要用于偿还到期存量债务</w:t>
      </w:r>
      <w:r>
        <w:rPr>
          <w:rFonts w:hint="eastAsia"/>
          <w:lang w:eastAsia="zh-CN"/>
        </w:rPr>
        <w:t>；调整结存新增</w:t>
      </w:r>
      <w:bookmarkStart w:id="0" w:name="_GoBack"/>
      <w:bookmarkEnd w:id="0"/>
      <w:r>
        <w:rPr>
          <w:rFonts w:hint="eastAsia"/>
          <w:lang w:eastAsia="zh-CN"/>
        </w:rPr>
        <w:t>专项债券</w:t>
      </w:r>
      <w:r>
        <w:rPr>
          <w:rFonts w:hint="eastAsia"/>
          <w:lang w:val="en-US" w:eastAsia="zh-CN"/>
        </w:rPr>
        <w:t>6.5亿元，用于置换存量隐性债务</w:t>
      </w:r>
      <w:r>
        <w:rPr>
          <w:rFonts w:hint="eastAsia"/>
        </w:rPr>
        <w:t>。</w:t>
      </w:r>
    </w:p>
    <w:p>
      <w:pPr>
        <w:ind w:firstLine="640"/>
      </w:pPr>
      <w:r>
        <w:rPr>
          <w:rFonts w:hint="eastAsia"/>
        </w:rPr>
        <w:t>2023年末，我区政府债务余额309.0</w:t>
      </w:r>
      <w:r>
        <w:rPr>
          <w:rFonts w:hint="eastAsia"/>
          <w:lang w:val="en-US" w:eastAsia="zh-CN"/>
        </w:rPr>
        <w:t>6</w:t>
      </w:r>
      <w:r>
        <w:rPr>
          <w:rFonts w:hint="eastAsia"/>
        </w:rPr>
        <w:t>亿元，其中，一般债务余额128.1</w:t>
      </w:r>
      <w:r>
        <w:rPr>
          <w:rFonts w:hint="eastAsia"/>
          <w:lang w:val="en-US" w:eastAsia="zh-CN"/>
        </w:rPr>
        <w:t>5</w:t>
      </w:r>
      <w:r>
        <w:rPr>
          <w:rFonts w:hint="eastAsia"/>
        </w:rPr>
        <w:t>亿元；专项债务余额180.91亿元。严格控制在核定债务限额内。</w:t>
      </w:r>
    </w:p>
    <w:p>
      <w:pPr>
        <w:pStyle w:val="4"/>
        <w:ind w:firstLine="640"/>
      </w:pPr>
      <w:r>
        <w:rPr>
          <w:rFonts w:hint="eastAsia"/>
        </w:rPr>
        <w:t>（四）社会保险基金预算收支情况</w:t>
      </w:r>
    </w:p>
    <w:p>
      <w:pPr>
        <w:ind w:firstLine="640"/>
        <w:rPr>
          <w:highlight w:val="yellow"/>
        </w:rPr>
      </w:pPr>
      <w:r>
        <w:rPr>
          <w:rFonts w:hint="eastAsia"/>
        </w:rPr>
        <w:t>目前我市社会保险基金实行市级统筹，社会保险基金预算由市级代编，区县不单独编制。2</w:t>
      </w:r>
      <w:r>
        <w:t>0</w:t>
      </w:r>
      <w:r>
        <w:rPr>
          <w:rFonts w:hint="eastAsia"/>
        </w:rPr>
        <w:t>23年市级下达我区社保基金征收计划56.02亿元，我区实际完成58.17亿元，为计划的103.8%。当年全区社会保险基金支出78.01亿元，全年收支缺口由市、区两级财政共同分担。</w:t>
      </w:r>
    </w:p>
    <w:p>
      <w:pPr>
        <w:pStyle w:val="4"/>
        <w:ind w:left="0" w:leftChars="0" w:firstLine="640" w:firstLineChars="200"/>
      </w:pPr>
      <w:r>
        <w:rPr>
          <w:rFonts w:hint="eastAsia"/>
        </w:rPr>
        <w:t>（五）其他需要报告的事项</w:t>
      </w:r>
    </w:p>
    <w:p>
      <w:pPr>
        <w:ind w:firstLine="640"/>
      </w:pPr>
      <w:r>
        <w:rPr>
          <w:rFonts w:hint="eastAsia"/>
        </w:rPr>
        <w:t>1. 预备费。江津区第十八届人民代表大会第三次会议批准区本级预备费2亿元，年度执行中动用1.76亿元，主要用于疫情防控有关物资和医疗设备购置、兑现一线防疫医护人员临时性工作补助、地质灾害治理等方面。</w:t>
      </w:r>
    </w:p>
    <w:p>
      <w:pPr>
        <w:ind w:firstLine="640"/>
      </w:pPr>
      <w:r>
        <w:rPr>
          <w:rFonts w:hint="eastAsia"/>
        </w:rPr>
        <w:t>2. 预决算公开情况。按照《预算法》的规定，政府预决算草案经区人大或区人大常委会批准后，均按规定向社会进行公开。除涉密单位的涉密信息外，经区财政批复的202</w:t>
      </w:r>
      <w:r>
        <w:rPr>
          <w:rFonts w:hint="eastAsia"/>
          <w:lang w:val="en-US" w:eastAsia="zh-CN"/>
        </w:rPr>
        <w:t>2</w:t>
      </w:r>
      <w:r>
        <w:rPr>
          <w:rFonts w:hint="eastAsia"/>
        </w:rPr>
        <w:t>年部门决算及</w:t>
      </w:r>
      <w:r>
        <w:t>202</w:t>
      </w:r>
      <w:r>
        <w:rPr>
          <w:rFonts w:hint="eastAsia"/>
          <w:lang w:val="en-US" w:eastAsia="zh-CN"/>
        </w:rPr>
        <w:t>3</w:t>
      </w:r>
      <w:r>
        <w:rPr>
          <w:rFonts w:hint="eastAsia"/>
        </w:rPr>
        <w:t>年部门预算草案，均在规定时间内按统一格式向社会进行公开。</w:t>
      </w:r>
    </w:p>
    <w:p>
      <w:pPr>
        <w:ind w:firstLine="640"/>
      </w:pPr>
      <w:r>
        <w:rPr>
          <w:rFonts w:hint="eastAsia"/>
        </w:rPr>
        <w:t>3. 区级预算稳定调节基金。2022年末，区级预算稳定调节基金余额10.11亿元，为应对财政收入下降带来的平衡压力，年度执行中全额动用10.11亿元。2023年预算执行中补充预算稳定调节基金8.57亿元，主要是：一般公共预算超收收入0.16万元、零结转收回本级预算资金</w:t>
      </w:r>
      <w:r>
        <w:rPr>
          <w:rFonts w:hint="eastAsia"/>
          <w:lang w:val="en-US" w:eastAsia="zh-CN"/>
        </w:rPr>
        <w:t>5.83</w:t>
      </w:r>
      <w:r>
        <w:rPr>
          <w:rFonts w:hint="eastAsia"/>
        </w:rPr>
        <w:t>亿元以及连续两年未用完结转资金2.5</w:t>
      </w:r>
      <w:r>
        <w:rPr>
          <w:rFonts w:hint="eastAsia"/>
          <w:lang w:val="en-US" w:eastAsia="zh-CN"/>
        </w:rPr>
        <w:t>8</w:t>
      </w:r>
      <w:r>
        <w:rPr>
          <w:rFonts w:hint="eastAsia"/>
        </w:rPr>
        <w:t>亿元，全部纳入以后年度预算统筹安排。</w:t>
      </w:r>
    </w:p>
    <w:p>
      <w:pPr>
        <w:ind w:firstLine="640"/>
        <w:jc w:val="both"/>
        <w:rPr>
          <w:highlight w:val="yellow"/>
        </w:rPr>
      </w:pPr>
      <w:r>
        <w:rPr>
          <w:rFonts w:hint="eastAsia"/>
          <w:highlight w:val="none"/>
        </w:rPr>
        <w:t>4. 存量资金。存量资金年初余额1.44亿元，预算执行中加大各部门历年结余资金的清理收回，收回资金</w:t>
      </w:r>
      <w:r>
        <w:rPr>
          <w:rFonts w:hint="eastAsia"/>
          <w:highlight w:val="none"/>
          <w:lang w:val="en-US" w:eastAsia="zh-CN"/>
        </w:rPr>
        <w:t>1.77</w:t>
      </w:r>
      <w:r>
        <w:rPr>
          <w:rFonts w:hint="eastAsia"/>
          <w:highlight w:val="none"/>
        </w:rPr>
        <w:t>亿元，安排</w:t>
      </w:r>
      <w:r>
        <w:rPr>
          <w:rFonts w:hint="eastAsia"/>
          <w:highlight w:val="none"/>
          <w:lang w:val="en-US" w:eastAsia="zh-CN"/>
        </w:rPr>
        <w:t>2.62</w:t>
      </w:r>
      <w:r>
        <w:rPr>
          <w:rFonts w:hint="eastAsia"/>
          <w:highlight w:val="none"/>
        </w:rPr>
        <w:t>亿元统筹用于</w:t>
      </w:r>
      <w:r>
        <w:rPr>
          <w:rFonts w:hint="eastAsia"/>
          <w:highlight w:val="none"/>
          <w:lang w:eastAsia="zh-CN"/>
        </w:rPr>
        <w:t>兑付江习</w:t>
      </w:r>
      <w:r>
        <w:rPr>
          <w:rFonts w:hint="eastAsia"/>
          <w:highlight w:val="none"/>
        </w:rPr>
        <w:t>高速</w:t>
      </w:r>
      <w:r>
        <w:rPr>
          <w:rFonts w:hint="eastAsia"/>
          <w:highlight w:val="none"/>
          <w:lang w:eastAsia="zh-CN"/>
        </w:rPr>
        <w:t>、江綦高速建设和运营补贴，落实市郊铁路江跳线过江段</w:t>
      </w:r>
      <w:r>
        <w:rPr>
          <w:rFonts w:hint="eastAsia"/>
          <w:highlight w:val="none"/>
        </w:rPr>
        <w:t>项目资本金</w:t>
      </w:r>
      <w:r>
        <w:rPr>
          <w:rFonts w:hint="eastAsia"/>
          <w:highlight w:val="none"/>
          <w:lang w:eastAsia="zh-CN"/>
        </w:rPr>
        <w:t>以及支持实施</w:t>
      </w:r>
      <w:r>
        <w:rPr>
          <w:rFonts w:hint="eastAsia"/>
          <w:highlight w:val="none"/>
        </w:rPr>
        <w:t>双福新区生态补给水工程</w:t>
      </w:r>
      <w:r>
        <w:rPr>
          <w:rFonts w:hint="eastAsia"/>
          <w:highlight w:val="none"/>
          <w:lang w:eastAsia="zh-CN"/>
        </w:rPr>
        <w:t>等项目。</w:t>
      </w:r>
      <w:r>
        <w:rPr>
          <w:rFonts w:hint="eastAsia"/>
          <w:highlight w:val="none"/>
        </w:rPr>
        <w:t>存量资金年末余额0.59亿元。</w:t>
      </w:r>
    </w:p>
    <w:p>
      <w:pPr>
        <w:pStyle w:val="3"/>
        <w:ind w:firstLine="640"/>
      </w:pPr>
      <w:r>
        <w:rPr>
          <w:rFonts w:hint="eastAsia"/>
        </w:rPr>
        <w:t>二、贯彻落实人大决议</w:t>
      </w:r>
      <w:r>
        <w:rPr>
          <w:rFonts w:hint="default"/>
        </w:rPr>
        <w:t>和</w:t>
      </w:r>
      <w:r>
        <w:rPr>
          <w:rFonts w:hint="eastAsia"/>
        </w:rPr>
        <w:t>财政工作情况</w:t>
      </w:r>
    </w:p>
    <w:p>
      <w:pPr>
        <w:pStyle w:val="4"/>
        <w:bidi w:val="0"/>
        <w:rPr>
          <w:rFonts w:hint="default"/>
        </w:rPr>
      </w:pPr>
      <w:r>
        <w:rPr>
          <w:rFonts w:hint="eastAsia"/>
        </w:rPr>
        <w:t>（一）</w:t>
      </w:r>
      <w:r>
        <w:rPr>
          <w:rFonts w:hint="default"/>
        </w:rPr>
        <w:t>主要政策落实及重点工作开展情况。</w:t>
      </w:r>
    </w:p>
    <w:p>
      <w:pPr>
        <w:widowControl/>
        <w:ind w:firstLine="640"/>
        <w:rPr>
          <w:rFonts w:cs="方正仿宋_GBK"/>
          <w:bCs/>
          <w:kern w:val="0"/>
        </w:rPr>
      </w:pPr>
      <w:r>
        <w:rPr>
          <w:rFonts w:hint="default" w:ascii="方正楷体_GBK" w:hAnsi="方正楷体_GBK" w:eastAsia="方正楷体_GBK" w:cs="方正楷体_GBK"/>
        </w:rPr>
        <w:t>一是</w:t>
      </w:r>
      <w:r>
        <w:rPr>
          <w:rFonts w:hint="eastAsia" w:ascii="方正楷体_GBK" w:hAnsi="方正楷体_GBK" w:eastAsia="方正楷体_GBK" w:cs="方正楷体_GBK"/>
        </w:rPr>
        <w:t>突出稳进增效，做好理财有方文章，坚定不移稳经济促发展。</w:t>
      </w:r>
      <w:r>
        <w:rPr>
          <w:rFonts w:hint="eastAsia" w:cs="方正仿宋_GBK"/>
          <w:bCs/>
          <w:kern w:val="0"/>
        </w:rPr>
        <w:t>坚持把高质量发展作为首要任务，充分发挥财政逆周期调节</w:t>
      </w:r>
      <w:r>
        <w:rPr>
          <w:rFonts w:cs="方正仿宋_GBK"/>
          <w:bCs/>
          <w:kern w:val="0"/>
        </w:rPr>
        <w:t>作用</w:t>
      </w:r>
      <w:r>
        <w:rPr>
          <w:rFonts w:hint="eastAsia" w:cs="方正仿宋_GBK"/>
          <w:bCs/>
          <w:kern w:val="0"/>
        </w:rPr>
        <w:t>，聚焦重大战略、重大决策、重点领域、重大项目，加强财政政策与</w:t>
      </w:r>
      <w:r>
        <w:rPr>
          <w:rFonts w:cs="方正仿宋_GBK"/>
          <w:bCs/>
          <w:kern w:val="0"/>
        </w:rPr>
        <w:t>金融、就业、产业、科技、社会政策协调配合,</w:t>
      </w:r>
      <w:r>
        <w:rPr>
          <w:rFonts w:hint="eastAsia" w:cs="方正仿宋_GBK"/>
          <w:bCs/>
          <w:kern w:val="0"/>
        </w:rPr>
        <w:t>推动经济企稳回升。</w:t>
      </w:r>
      <w:r>
        <w:rPr>
          <w:rFonts w:hint="eastAsia" w:ascii="方正黑体_GBK" w:hAnsi="方正黑体_GBK" w:eastAsia="方正黑体_GBK" w:cs="方正黑体_GBK"/>
          <w:bCs/>
          <w:kern w:val="0"/>
        </w:rPr>
        <w:t>支持</w:t>
      </w:r>
      <w:r>
        <w:rPr>
          <w:rFonts w:hint="eastAsia" w:ascii="方正黑体_GBK" w:hAnsi="方正黑体_GBK" w:eastAsia="方正黑体_GBK" w:cs="方正黑体_GBK"/>
          <w:bCs/>
          <w:kern w:val="0"/>
          <w:lang w:eastAsia="zh-CN"/>
        </w:rPr>
        <w:t>成渝地区</w:t>
      </w:r>
      <w:r>
        <w:rPr>
          <w:rFonts w:hint="eastAsia" w:ascii="方正黑体_GBK" w:hAnsi="方正黑体_GBK" w:eastAsia="方正黑体_GBK" w:cs="方正黑体_GBK"/>
          <w:bCs/>
          <w:kern w:val="0"/>
        </w:rPr>
        <w:t>双城经济圈建设跑出新速度。</w:t>
      </w:r>
      <w:r>
        <w:rPr>
          <w:rFonts w:hint="eastAsia" w:cs="方正仿宋_GBK"/>
          <w:bCs/>
          <w:kern w:val="0"/>
        </w:rPr>
        <w:t>紧扣“先行区”目标，投入5亿元，</w:t>
      </w:r>
      <w:r>
        <w:rPr>
          <w:rFonts w:hint="eastAsia" w:cs="方正仿宋_GBK"/>
          <w:bCs/>
          <w:kern w:val="0"/>
          <w:lang w:eastAsia="zh-CN"/>
        </w:rPr>
        <w:t>加快</w:t>
      </w:r>
      <w:r>
        <w:rPr>
          <w:rFonts w:hint="eastAsia" w:cs="方正仿宋_GBK"/>
          <w:bCs/>
          <w:kern w:val="0"/>
        </w:rPr>
        <w:t>基础设施互联互通，</w:t>
      </w:r>
      <w:r>
        <w:rPr>
          <w:rFonts w:hint="eastAsia" w:cs="方正仿宋_GBK"/>
          <w:bCs/>
          <w:kern w:val="0"/>
          <w:lang w:eastAsia="zh-CN"/>
        </w:rPr>
        <w:t>推进</w:t>
      </w:r>
      <w:r>
        <w:rPr>
          <w:rFonts w:hint="eastAsia" w:cs="方正仿宋_GBK"/>
          <w:bCs/>
          <w:kern w:val="0"/>
        </w:rPr>
        <w:t>江泸北线高速江津段、合璧津高速龙华-油溪段建成通车；</w:t>
      </w:r>
      <w:r>
        <w:rPr>
          <w:rFonts w:hint="eastAsia" w:cs="方正仿宋_GBK"/>
          <w:bCs/>
          <w:kern w:val="0"/>
          <w:lang w:eastAsia="zh-CN"/>
        </w:rPr>
        <w:t>支持</w:t>
      </w:r>
      <w:r>
        <w:rPr>
          <w:rFonts w:hint="eastAsia" w:cs="方正仿宋_GBK"/>
          <w:bCs/>
          <w:kern w:val="0"/>
        </w:rPr>
        <w:t>产业发展协同协作，</w:t>
      </w:r>
      <w:r>
        <w:rPr>
          <w:rFonts w:hint="eastAsia" w:cs="方正仿宋_GBK"/>
          <w:bCs/>
          <w:kern w:val="0"/>
          <w:lang w:eastAsia="zh-CN"/>
        </w:rPr>
        <w:t>成功举办</w:t>
      </w:r>
      <w:r>
        <w:rPr>
          <w:rFonts w:hint="eastAsia" w:cs="方正仿宋_GBK"/>
          <w:bCs/>
          <w:kern w:val="0"/>
        </w:rPr>
        <w:t>川渝国企江津行、成渝地区双城经济圈首届“专精特新”创新赋能大赛、首届巴蜀非遗酿造技艺旅游创新发展大会</w:t>
      </w:r>
      <w:r>
        <w:rPr>
          <w:rFonts w:hint="eastAsia" w:cs="方正仿宋_GBK"/>
          <w:bCs/>
          <w:kern w:val="0"/>
          <w:lang w:eastAsia="zh-CN"/>
        </w:rPr>
        <w:t>，</w:t>
      </w:r>
      <w:r>
        <w:rPr>
          <w:rFonts w:hint="eastAsia" w:cs="方正仿宋_GBK"/>
          <w:bCs/>
          <w:kern w:val="0"/>
        </w:rPr>
        <w:t>支持成立成渝地区双城经济圈民宿产业联盟、泸永江融合发展示范区技术经纪人创新联盟；推进公共服务共建共享，支持联合组建泸永江眩晕专科联盟、医保基金监管专家库、税费争议调解中心等多个协同联建机构。</w:t>
      </w:r>
      <w:r>
        <w:rPr>
          <w:rFonts w:hint="eastAsia" w:ascii="方正黑体_GBK" w:hAnsi="方正黑体_GBK" w:eastAsia="方正黑体_GBK" w:cs="方正黑体_GBK"/>
          <w:bCs/>
          <w:kern w:val="0"/>
        </w:rPr>
        <w:t>支持西部陆海新通道重庆主枢纽建设取得新进展。</w:t>
      </w:r>
      <w:r>
        <w:rPr>
          <w:rFonts w:hint="eastAsia" w:cs="方正仿宋_GBK"/>
          <w:bCs/>
          <w:kern w:val="0"/>
        </w:rPr>
        <w:t>锚定“主枢纽”定位，投入4亿元，做大做强西部陆海新通道江津班列品牌，全年开行</w:t>
      </w:r>
      <w:r>
        <w:rPr>
          <w:rFonts w:hint="eastAsia" w:cs="Times New Roman"/>
          <w:color w:val="000000"/>
          <w:shd w:val="clear" w:color="auto" w:fill="FFFFFF"/>
        </w:rPr>
        <w:t>1207列</w:t>
      </w:r>
      <w:r>
        <w:rPr>
          <w:rFonts w:hint="eastAsia" w:cs="方正仿宋_GBK"/>
          <w:bCs/>
          <w:kern w:val="0"/>
        </w:rPr>
        <w:t>，</w:t>
      </w:r>
      <w:r>
        <w:rPr>
          <w:rFonts w:cs="方正仿宋_GBK"/>
          <w:bCs/>
          <w:kern w:val="0"/>
        </w:rPr>
        <w:t>连续3年</w:t>
      </w:r>
      <w:r>
        <w:rPr>
          <w:rFonts w:hint="eastAsia" w:cs="方正仿宋_GBK"/>
          <w:bCs/>
          <w:kern w:val="0"/>
        </w:rPr>
        <w:t>实现</w:t>
      </w:r>
      <w:r>
        <w:rPr>
          <w:rFonts w:cs="方正仿宋_GBK"/>
          <w:bCs/>
          <w:kern w:val="0"/>
        </w:rPr>
        <w:t>货量、货值翻番</w:t>
      </w:r>
      <w:r>
        <w:rPr>
          <w:rFonts w:hint="eastAsia" w:cs="方正仿宋_GBK"/>
          <w:bCs/>
          <w:kern w:val="0"/>
        </w:rPr>
        <w:t>；</w:t>
      </w:r>
      <w:r>
        <w:rPr>
          <w:rFonts w:cs="方正仿宋_GBK"/>
          <w:bCs/>
          <w:kern w:val="0"/>
        </w:rPr>
        <w:t>建成投用小南垭海关监管作业场所、珞璜港进境粮食中转码头</w:t>
      </w:r>
      <w:r>
        <w:rPr>
          <w:rFonts w:hint="eastAsia" w:cs="方正仿宋_GBK"/>
          <w:bCs/>
          <w:kern w:val="0"/>
        </w:rPr>
        <w:t>，大力提升企业物流贸易便利化水平；支持江津综保区冷链产业园、保税仓库（二期）入围首批国家综合货运枢纽补链强链重点项目；加快推动中新枢纽港产业园规划建设。</w:t>
      </w:r>
      <w:r>
        <w:rPr>
          <w:rFonts w:hint="eastAsia" w:ascii="方正黑体_GBK" w:hAnsi="方正黑体_GBK" w:eastAsia="方正黑体_GBK" w:cs="方正黑体_GBK"/>
          <w:bCs/>
          <w:kern w:val="0"/>
        </w:rPr>
        <w:t>支持推进渝西地区一体化高质量发展实现新突破。</w:t>
      </w:r>
      <w:r>
        <w:rPr>
          <w:rFonts w:hint="eastAsia" w:cs="方正仿宋_GBK"/>
          <w:bCs/>
          <w:kern w:val="0"/>
        </w:rPr>
        <w:t>突出“排头兵”站位，统筹4.8亿元，推进建设永津高速、渝赤叙高速、合璧津高速江津段等骨干交通，加快构建现代综合交通体系；推进</w:t>
      </w:r>
      <w:r>
        <w:rPr>
          <w:rFonts w:cs="方正仿宋_GBK"/>
          <w:bCs/>
          <w:kern w:val="0"/>
        </w:rPr>
        <w:t>团结湖数字经济产业园</w:t>
      </w:r>
      <w:r>
        <w:rPr>
          <w:rFonts w:hint="eastAsia" w:cs="方正仿宋_GBK"/>
          <w:bCs/>
          <w:kern w:val="0"/>
        </w:rPr>
        <w:t>、</w:t>
      </w:r>
      <w:r>
        <w:rPr>
          <w:rFonts w:cs="方正仿宋_GBK"/>
          <w:bCs/>
          <w:kern w:val="0"/>
        </w:rPr>
        <w:t>环</w:t>
      </w:r>
      <w:r>
        <w:rPr>
          <w:rFonts w:hint="eastAsia" w:cs="方正仿宋_GBK"/>
          <w:bCs/>
          <w:kern w:val="0"/>
          <w:lang w:eastAsia="zh-CN"/>
        </w:rPr>
        <w:t>重庆</w:t>
      </w:r>
      <w:r>
        <w:rPr>
          <w:rFonts w:cs="方正仿宋_GBK"/>
          <w:bCs/>
          <w:kern w:val="0"/>
        </w:rPr>
        <w:t>交通大学创新生态圈</w:t>
      </w:r>
      <w:r>
        <w:rPr>
          <w:rFonts w:hint="eastAsia" w:cs="方正仿宋_GBK"/>
          <w:bCs/>
          <w:kern w:val="0"/>
        </w:rPr>
        <w:t>建设，支持建成市级以上创新平台17</w:t>
      </w:r>
      <w:r>
        <w:rPr>
          <w:rFonts w:hint="eastAsia" w:cs="方正仿宋_GBK"/>
          <w:bCs/>
          <w:kern w:val="0"/>
          <w:lang w:eastAsia="zh-CN"/>
        </w:rPr>
        <w:t>个</w:t>
      </w:r>
      <w:r>
        <w:rPr>
          <w:rFonts w:hint="eastAsia" w:cs="方正仿宋_GBK"/>
          <w:bCs/>
          <w:kern w:val="0"/>
        </w:rPr>
        <w:t>。</w:t>
      </w:r>
      <w:r>
        <w:rPr>
          <w:rFonts w:hint="eastAsia" w:ascii="方正黑体_GBK" w:hAnsi="方正黑体_GBK" w:eastAsia="方正黑体_GBK" w:cs="方正黑体_GBK"/>
          <w:bCs/>
          <w:kern w:val="0"/>
        </w:rPr>
        <w:t>支持推动经济企稳恢复提振。</w:t>
      </w:r>
      <w:r>
        <w:rPr>
          <w:rFonts w:hint="eastAsia" w:cs="方正仿宋_GBK"/>
          <w:bCs/>
          <w:kern w:val="0"/>
        </w:rPr>
        <w:t>切实发挥政府投资扩内需、补短板、惠民生、增动能作用，</w:t>
      </w:r>
      <w:r>
        <w:rPr>
          <w:rFonts w:hint="eastAsia" w:cs="方正仿宋_GBK"/>
          <w:bCs/>
          <w:color w:val="auto"/>
          <w:kern w:val="0"/>
          <w:lang w:eastAsia="zh-CN"/>
        </w:rPr>
        <w:t>投入</w:t>
      </w:r>
      <w:r>
        <w:rPr>
          <w:rFonts w:hint="eastAsia" w:cs="方正仿宋_GBK"/>
          <w:bCs/>
          <w:color w:val="auto"/>
          <w:kern w:val="0"/>
          <w:lang w:val="en-US" w:eastAsia="zh-CN"/>
        </w:rPr>
        <w:t>26</w:t>
      </w:r>
      <w:r>
        <w:rPr>
          <w:rFonts w:hint="eastAsia" w:cs="方正仿宋_GBK"/>
          <w:bCs/>
          <w:color w:val="auto"/>
          <w:kern w:val="0"/>
        </w:rPr>
        <w:t>亿元，</w:t>
      </w:r>
      <w:r>
        <w:rPr>
          <w:rFonts w:hint="eastAsia" w:cs="方正仿宋_GBK"/>
          <w:bCs/>
          <w:kern w:val="0"/>
        </w:rPr>
        <w:t>支持西部（重庆）科学城江津园区A区基础设施综合提升、双福新区智能产业园综合体、区疾控中心迁建工程等87个政府投资项目建设。支持实施提振消费攻坚行动，打造鼎山“莲花市集”、金科美邻汇“邻里市集”等</w:t>
      </w:r>
      <w:r>
        <w:rPr>
          <w:rFonts w:hint="eastAsia"/>
          <w:bCs/>
        </w:rPr>
        <w:t>江津本土市集品牌</w:t>
      </w:r>
      <w:r>
        <w:rPr>
          <w:rFonts w:hint="eastAsia" w:cs="方正仿宋_GBK"/>
          <w:bCs/>
          <w:kern w:val="0"/>
        </w:rPr>
        <w:t>，</w:t>
      </w:r>
      <w:r>
        <w:rPr>
          <w:rFonts w:hint="eastAsia"/>
        </w:rPr>
        <w:t>创建双福夜间经济市级示范区</w:t>
      </w:r>
      <w:r>
        <w:rPr>
          <w:rFonts w:hint="eastAsia" w:cs="方正仿宋_GBK"/>
          <w:bCs/>
          <w:kern w:val="0"/>
        </w:rPr>
        <w:t>，举办富硒美食文化节暨火锅节、川渝龙舟文化节、农产品消费节等</w:t>
      </w:r>
      <w:r>
        <w:rPr>
          <w:rFonts w:hint="eastAsia"/>
        </w:rPr>
        <w:t>促销活动200余</w:t>
      </w:r>
      <w:r>
        <w:rPr>
          <w:rFonts w:hint="eastAsia" w:cs="方正仿宋_GBK"/>
          <w:bCs/>
          <w:kern w:val="0"/>
        </w:rPr>
        <w:t>场次、</w:t>
      </w:r>
      <w:r>
        <w:rPr>
          <w:rFonts w:hint="eastAsia"/>
        </w:rPr>
        <w:t>带动消费超10亿元</w:t>
      </w:r>
      <w:r>
        <w:rPr>
          <w:rFonts w:hint="eastAsia" w:cs="方正仿宋_GBK"/>
          <w:bCs/>
          <w:kern w:val="0"/>
        </w:rPr>
        <w:t>。持续落实推动经济企稳恢复提振36条措施等各类助企惠企政策，全年新增减税降费</w:t>
      </w:r>
      <w:r>
        <w:rPr>
          <w:rFonts w:hint="eastAsia" w:cs="方正仿宋_GBK"/>
        </w:rPr>
        <w:t>15.1</w:t>
      </w:r>
      <w:r>
        <w:rPr>
          <w:rFonts w:cs="方正仿宋_GBK"/>
          <w:bCs/>
          <w:kern w:val="0"/>
        </w:rPr>
        <w:t>亿元。</w:t>
      </w:r>
      <w:r>
        <w:rPr>
          <w:rFonts w:hint="eastAsia" w:cs="方正仿宋_GBK"/>
          <w:bCs/>
          <w:kern w:val="0"/>
        </w:rPr>
        <w:t>统筹设立3000万元风险补偿资金池，推动普惠金融增量、扩面、提效，引导在津银行机构承接支农、支小再贷款等中央金融政策</w:t>
      </w:r>
      <w:r>
        <w:rPr>
          <w:rFonts w:hint="eastAsia" w:cs="方正仿宋_GBK"/>
        </w:rPr>
        <w:t>17</w:t>
      </w:r>
      <w:r>
        <w:rPr>
          <w:rFonts w:cs="方正仿宋_GBK"/>
          <w:bCs/>
          <w:kern w:val="0"/>
        </w:rPr>
        <w:t>亿元，惠及企业</w:t>
      </w:r>
      <w:r>
        <w:rPr>
          <w:rFonts w:hint="eastAsia" w:cs="方正仿宋_GBK"/>
          <w:bCs/>
          <w:kern w:val="0"/>
        </w:rPr>
        <w:t>418</w:t>
      </w:r>
      <w:r>
        <w:rPr>
          <w:rFonts w:cs="方正仿宋_GBK"/>
          <w:bCs/>
          <w:kern w:val="0"/>
        </w:rPr>
        <w:t>户</w:t>
      </w:r>
      <w:r>
        <w:rPr>
          <w:rFonts w:hint="eastAsia" w:cs="方正仿宋_GBK"/>
          <w:bCs/>
          <w:kern w:val="0"/>
        </w:rPr>
        <w:t>。</w:t>
      </w:r>
      <w:r>
        <w:rPr>
          <w:rFonts w:hint="eastAsia" w:ascii="方正黑体_GBK" w:hAnsi="方正黑体_GBK" w:eastAsia="方正黑体_GBK" w:cs="方正黑体_GBK"/>
          <w:bCs/>
          <w:kern w:val="0"/>
        </w:rPr>
        <w:t>支持构建现代化产业体系。</w:t>
      </w:r>
      <w:r>
        <w:rPr>
          <w:rFonts w:hint="eastAsia" w:cs="方正仿宋_GBK"/>
          <w:bCs/>
          <w:kern w:val="0"/>
        </w:rPr>
        <w:t>聚焦融入“33618”现代制造业集群体系，投入3亿元，支持实施存量企业提质增效“五大倍增”行动，推动消费品、装备制造、汽摩、材料等四大传统产业集群转向高端化、智能化、绿色化发展。积极发展智能装备制造、智能网联新能源汽车、光伏、新材料、节能环保等战略性新兴产业。支持发展数字经济，全区新增科技型企业586</w:t>
      </w:r>
      <w:r>
        <w:rPr>
          <w:rFonts w:hint="eastAsia" w:cs="方正仿宋_GBK"/>
          <w:bCs/>
          <w:kern w:val="0"/>
          <w:lang w:eastAsia="zh-CN"/>
        </w:rPr>
        <w:t>户</w:t>
      </w:r>
      <w:r>
        <w:rPr>
          <w:rFonts w:hint="eastAsia" w:cs="方正仿宋_GBK"/>
          <w:bCs/>
          <w:kern w:val="0"/>
        </w:rPr>
        <w:t>、高新技术企业156</w:t>
      </w:r>
      <w:r>
        <w:rPr>
          <w:rFonts w:hint="eastAsia" w:cs="方正仿宋_GBK"/>
          <w:bCs/>
          <w:kern w:val="0"/>
          <w:lang w:eastAsia="zh-CN"/>
        </w:rPr>
        <w:t>户</w:t>
      </w:r>
      <w:r>
        <w:rPr>
          <w:rFonts w:hint="eastAsia" w:cs="方正仿宋_GBK"/>
          <w:bCs/>
          <w:kern w:val="0"/>
        </w:rPr>
        <w:t>，</w:t>
      </w:r>
      <w:r>
        <w:rPr>
          <w:rFonts w:hint="eastAsia" w:cs="方正仿宋_GBK"/>
        </w:rPr>
        <w:t>新增数字化车间和智能工厂</w:t>
      </w:r>
      <w:r>
        <w:rPr>
          <w:rFonts w:hint="eastAsia" w:cs="方正仿宋_GBK"/>
          <w:lang w:val="en-US" w:eastAsia="zh-CN"/>
        </w:rPr>
        <w:t>16</w:t>
      </w:r>
      <w:r>
        <w:rPr>
          <w:rFonts w:hint="eastAsia" w:cs="方正仿宋_GBK"/>
        </w:rPr>
        <w:t>个</w:t>
      </w:r>
      <w:r>
        <w:rPr>
          <w:rFonts w:hint="eastAsia" w:cs="方正仿宋_GBK"/>
          <w:bCs/>
          <w:kern w:val="0"/>
        </w:rPr>
        <w:t>。大力发展冷链物流、智慧物流，培育国际物流、供应链物流等生产性服务业。支持四面山国家级旅游度假区创建</w:t>
      </w:r>
      <w:r>
        <w:rPr>
          <w:rFonts w:hint="eastAsia" w:cs="方正仿宋_GBK"/>
          <w:bCs/>
          <w:kern w:val="0"/>
          <w:lang w:eastAsia="zh-CN"/>
        </w:rPr>
        <w:t>和</w:t>
      </w:r>
      <w:r>
        <w:rPr>
          <w:rFonts w:hint="eastAsia" w:cs="方正仿宋_GBK"/>
          <w:bCs/>
          <w:kern w:val="0"/>
        </w:rPr>
        <w:t>硒玉系列旅游商品开发，加快发展文化旅游业。</w:t>
      </w:r>
      <w:r>
        <w:rPr>
          <w:rFonts w:hint="eastAsia" w:ascii="国标黑体" w:hAnsi="国标黑体" w:eastAsia="国标黑体" w:cs="国标黑体"/>
          <w:bCs/>
          <w:kern w:val="0"/>
        </w:rPr>
        <w:t>支持宜居城市建设。</w:t>
      </w:r>
      <w:r>
        <w:rPr>
          <w:rFonts w:hint="eastAsia" w:cs="方正仿宋_GBK"/>
          <w:bCs/>
          <w:kern w:val="0"/>
        </w:rPr>
        <w:t>投入10亿元，推动城镇老旧小区改造和社区服务提升、</w:t>
      </w:r>
      <w:r>
        <w:rPr>
          <w:rFonts w:cs="方正仿宋_GBK"/>
          <w:bCs/>
          <w:kern w:val="0"/>
        </w:rPr>
        <w:t>际华三五三九文创园、元帅大道中段提档升级、四牌坊-奎星阁-杨嗣桥</w:t>
      </w:r>
      <w:r>
        <w:rPr>
          <w:rFonts w:hint="eastAsia" w:cs="方正仿宋_GBK"/>
          <w:bCs/>
          <w:kern w:val="0"/>
        </w:rPr>
        <w:t>等城市更新工程建设，完成老旧小区改造62.35万平方米、城市棚户区改造0.9万平方米；全面开展城市“体检”，新建燃气管道80公里、污水管网31公里，改造老旧供水管网20余公里；支持实施“全域增绿”行动，推进滨江体育公园等建成开放，新增绿地70万平方米。</w:t>
      </w:r>
      <w:r>
        <w:rPr>
          <w:rFonts w:hint="eastAsia" w:ascii="国标黑体" w:hAnsi="国标黑体" w:eastAsia="国标黑体" w:cs="国标黑体"/>
          <w:bCs/>
          <w:kern w:val="0"/>
        </w:rPr>
        <w:t>支持美丽江津建设。</w:t>
      </w:r>
      <w:r>
        <w:rPr>
          <w:rFonts w:hint="eastAsia" w:cs="方正仿宋_GBK"/>
          <w:bCs/>
          <w:kern w:val="0"/>
        </w:rPr>
        <w:t>投入1亿元，巩固污染防治攻坚战成果，支持打好蓝天、碧水、净土保卫战。推进“无废城市”建设，建成“无废细胞”2个、无废园区1个；支持绿色转型发展，完成冀东水泥、华新地维、杜拉维特等节能降碳改造和玖龙纸业、广州双桥清洁生产改造，不断提升经济社会发展“含绿量”。</w:t>
      </w:r>
    </w:p>
    <w:p>
      <w:pPr>
        <w:adjustRightInd w:val="0"/>
        <w:ind w:firstLine="640"/>
      </w:pPr>
      <w:r>
        <w:rPr>
          <w:rFonts w:hint="default" w:ascii="方正楷体_GBK" w:hAnsi="方正楷体_GBK" w:eastAsia="方正楷体_GBK" w:cs="方正楷体_GBK"/>
        </w:rPr>
        <w:t>二是</w:t>
      </w:r>
      <w:r>
        <w:rPr>
          <w:rFonts w:hint="eastAsia" w:ascii="方正楷体_GBK" w:hAnsi="方正楷体_GBK" w:eastAsia="方正楷体_GBK" w:cs="方正楷体_GBK"/>
        </w:rPr>
        <w:t>突出惠民有感，做实用财有效文章，全心全意保民生增福祉。</w:t>
      </w:r>
      <w:r>
        <w:t>坚持公共财政取之于民、用之于</w:t>
      </w:r>
      <w:r>
        <w:rPr>
          <w:rFonts w:hint="eastAsia"/>
        </w:rPr>
        <w:t>民，</w:t>
      </w:r>
      <w:r>
        <w:t>把实现好维护好发展好最广大人民根本利益作为财政工作的出发点和落脚点</w:t>
      </w:r>
      <w:r>
        <w:rPr>
          <w:rFonts w:hint="eastAsia"/>
        </w:rPr>
        <w:t>，持续加强基础性</w:t>
      </w:r>
      <w:r>
        <w:t>、普惠性、兜底性民生</w:t>
      </w:r>
      <w:r>
        <w:rPr>
          <w:rFonts w:hint="eastAsia"/>
        </w:rPr>
        <w:t>建设</w:t>
      </w:r>
      <w:r>
        <w:t>，</w:t>
      </w:r>
      <w:r>
        <w:rPr>
          <w:rFonts w:hint="eastAsia"/>
        </w:rPr>
        <w:t>用心</w:t>
      </w:r>
      <w:r>
        <w:t>用情用力解决</w:t>
      </w:r>
      <w:r>
        <w:rPr>
          <w:rFonts w:hint="eastAsia"/>
        </w:rPr>
        <w:t>人民</w:t>
      </w:r>
      <w:r>
        <w:t>群众</w:t>
      </w:r>
      <w:r>
        <w:rPr>
          <w:rFonts w:hint="eastAsia"/>
        </w:rPr>
        <w:t>“急难愁盼”</w:t>
      </w:r>
      <w:r>
        <w:t>问题，不断增强人民群众获得感幸福感安全感</w:t>
      </w:r>
      <w:r>
        <w:rPr>
          <w:rFonts w:hint="eastAsia"/>
        </w:rPr>
        <w:t>。</w:t>
      </w:r>
      <w:r>
        <w:rPr>
          <w:rFonts w:hint="eastAsia" w:ascii="方正黑体_GBK" w:hAnsi="方正黑体_GBK" w:eastAsia="方正黑体_GBK" w:cs="方正黑体_GBK"/>
        </w:rPr>
        <w:t>支持落实就业优先政策。</w:t>
      </w:r>
      <w:r>
        <w:rPr>
          <w:rFonts w:hint="eastAsia"/>
        </w:rPr>
        <w:t>安排1亿元，兑现灵活就业社保补贴、一次性吸纳就业补助、创业担保贷款贴息等惠民利民政策，免费开展职业技能培训，开发公益性岗位，帮助</w:t>
      </w:r>
      <w:r>
        <w:rPr>
          <w:rFonts w:ascii="方正仿宋_GBK" w:hAnsi="方正仿宋_GBK" w:cs="方正仿宋_GBK"/>
          <w:sz w:val="31"/>
          <w:szCs w:val="31"/>
          <w:shd w:val="clear" w:color="auto" w:fill="FFFFFF"/>
        </w:rPr>
        <w:t>高校毕业</w:t>
      </w:r>
      <w:r>
        <w:rPr>
          <w:rFonts w:hint="eastAsia" w:ascii="方正仿宋_GBK" w:hAnsi="方正仿宋_GBK" w:cs="方正仿宋_GBK"/>
          <w:sz w:val="31"/>
          <w:szCs w:val="31"/>
          <w:shd w:val="clear" w:color="auto" w:fill="FFFFFF"/>
        </w:rPr>
        <w:t>生、</w:t>
      </w:r>
      <w:r>
        <w:rPr>
          <w:rFonts w:hint="eastAsia"/>
        </w:rPr>
        <w:t>农民工、脱贫人口、退役军人等2.18万名重点群体就业创业，惠及企业5000余家。</w:t>
      </w:r>
      <w:r>
        <w:rPr>
          <w:rFonts w:hint="eastAsia" w:ascii="方正黑体_GBK" w:hAnsi="方正黑体_GBK" w:eastAsia="方正黑体_GBK" w:cs="方正黑体_GBK"/>
        </w:rPr>
        <w:t>支持提高社会保障水平。</w:t>
      </w:r>
      <w:r>
        <w:rPr>
          <w:rFonts w:hint="eastAsia"/>
        </w:rPr>
        <w:t>安排6亿元，按时足额</w:t>
      </w:r>
      <w:r>
        <w:rPr>
          <w:rFonts w:hint="eastAsia"/>
          <w:lang w:eastAsia="zh-CN"/>
        </w:rPr>
        <w:t>发放</w:t>
      </w:r>
      <w:r>
        <w:rPr>
          <w:rFonts w:hint="eastAsia"/>
        </w:rPr>
        <w:t>城乡低保、特困、孤儿、流浪乞讨人员等困难群众基本生活保障。投入2亿元，落实退伍军人生活补助、义务兵优待、军队转业干部安置、农村籍退役士兵老年生活补助等社会保障政策。</w:t>
      </w:r>
      <w:r>
        <w:rPr>
          <w:rFonts w:hint="eastAsia" w:ascii="方正黑体_GBK" w:hAnsi="方正黑体_GBK" w:eastAsia="方正黑体_GBK" w:cs="方正黑体_GBK"/>
        </w:rPr>
        <w:t>支持健康中国江津行动。</w:t>
      </w:r>
      <w:r>
        <w:rPr>
          <w:rFonts w:hint="eastAsia"/>
        </w:rPr>
        <w:t>投入8亿元，支持开展0-6岁儿童、孕产妇、老年人等重点人群健康管理；将乡村医生居民医疗保险、公共卫生服务经费补助标准提高到670元、89元；大力推动区疾控中心迁建、区肿瘤医院等公共卫生项目建设。</w:t>
      </w:r>
      <w:r>
        <w:rPr>
          <w:rFonts w:hint="eastAsia" w:ascii="方正黑体_GBK" w:hAnsi="方正黑体_GBK" w:eastAsia="方正黑体_GBK" w:cs="方正黑体_GBK"/>
        </w:rPr>
        <w:t>支持建设高质量教育体系。</w:t>
      </w:r>
      <w:r>
        <w:rPr>
          <w:rFonts w:hint="eastAsia"/>
        </w:rPr>
        <w:t>坚持加大投入和优化支出并举，办好人民满意的教育</w:t>
      </w:r>
      <w:r>
        <w:rPr>
          <w:rFonts w:hint="eastAsia"/>
          <w:lang w:eastAsia="zh-CN"/>
        </w:rPr>
        <w:t>，</w:t>
      </w:r>
      <w:r>
        <w:rPr>
          <w:rFonts w:hint="eastAsia"/>
        </w:rPr>
        <w:t>统筹安排26亿元，推动朱杨小学迁建工程、先锋小学扩建工程、德感小学改建工程等21个教育基础设施项目建设；支持双福育才和珞璜恒大江津中学2所民办学校顺利完成“民转公”；保障困难学生资助政策实现幼儿园到大学全覆盖，惠及学生2</w:t>
      </w:r>
      <w:r>
        <w:rPr>
          <w:rFonts w:hint="eastAsia"/>
          <w:lang w:val="en-US" w:eastAsia="zh-CN"/>
        </w:rPr>
        <w:t>1</w:t>
      </w:r>
      <w:r>
        <w:rPr>
          <w:rFonts w:hint="eastAsia"/>
        </w:rPr>
        <w:t>万人次，义务教育巩固率达100%。</w:t>
      </w:r>
      <w:r>
        <w:rPr>
          <w:rFonts w:hint="eastAsia" w:ascii="方正黑体_GBK" w:hAnsi="方正黑体_GBK" w:eastAsia="方正黑体_GBK" w:cs="方正黑体_GBK"/>
        </w:rPr>
        <w:t>支持</w:t>
      </w:r>
      <w:r>
        <w:rPr>
          <w:rFonts w:ascii="方正黑体_GBK" w:eastAsia="方正黑体_GBK"/>
        </w:rPr>
        <w:t>文化旅游体育</w:t>
      </w:r>
      <w:r>
        <w:rPr>
          <w:rFonts w:hint="eastAsia" w:ascii="方正黑体_GBK" w:eastAsia="方正黑体_GBK"/>
        </w:rPr>
        <w:t>融合</w:t>
      </w:r>
      <w:r>
        <w:rPr>
          <w:rFonts w:ascii="方正黑体_GBK" w:eastAsia="方正黑体_GBK"/>
        </w:rPr>
        <w:t>发展</w:t>
      </w:r>
      <w:r>
        <w:rPr>
          <w:rFonts w:hint="eastAsia"/>
        </w:rPr>
        <w:t>。健全</w:t>
      </w:r>
      <w:r>
        <w:t>现代公共文化服务体系，</w:t>
      </w:r>
      <w:r>
        <w:rPr>
          <w:rFonts w:hint="eastAsia"/>
        </w:rPr>
        <w:t>投入2亿元，推进文化惠民工程，建成城市书房1个、惠民健身设施8处，城乡公共文化服务新空间37个，举办文旅品牌活动、体育赛事百余场，保障图书馆、科技馆、博物馆、文化服务中心等公共文化场所免费开放。</w:t>
      </w:r>
      <w:r>
        <w:rPr>
          <w:rFonts w:hint="eastAsia" w:ascii="方正黑体_GBK" w:hAnsi="方正黑体_GBK" w:eastAsia="方正黑体_GBK" w:cs="方正黑体_GBK"/>
          <w:bCs/>
          <w:kern w:val="0"/>
        </w:rPr>
        <w:t>支持推进乡村振兴。</w:t>
      </w:r>
      <w:r>
        <w:rPr>
          <w:rFonts w:hint="eastAsia" w:cs="方正仿宋_GBK"/>
          <w:bCs/>
          <w:kern w:val="0"/>
        </w:rPr>
        <w:t>投入6亿元，建成美丽宜居乡村76个、人居环境整治示范院落84个。</w:t>
      </w:r>
      <w:r>
        <w:rPr>
          <w:rFonts w:hint="eastAsia" w:cs="方正仿宋_GBK"/>
        </w:rPr>
        <w:t>建成农村公路108公里、农村入户便道316公里，改造农村危房376户、户厕2578户。支持发展现代生态高效农业，完成高标准农</w:t>
      </w:r>
      <w:r>
        <w:rPr>
          <w:rFonts w:hint="eastAsia" w:cs="方正仿宋_GBK"/>
          <w:bCs/>
          <w:kern w:val="0"/>
        </w:rPr>
        <w:t>田建设10.7万亩，惠及农户32万余户。成功申报2023年</w:t>
      </w:r>
      <w:r>
        <w:rPr>
          <w:rFonts w:hint="eastAsia" w:cs="方正仿宋_GBK"/>
          <w:bCs/>
          <w:kern w:val="0"/>
          <w:lang w:eastAsia="zh-CN"/>
        </w:rPr>
        <w:t>国家</w:t>
      </w:r>
      <w:r>
        <w:rPr>
          <w:rFonts w:hint="eastAsia" w:cs="方正仿宋_GBK"/>
          <w:bCs/>
          <w:kern w:val="0"/>
        </w:rPr>
        <w:t>传统村落集中连片保护利用示范</w:t>
      </w:r>
      <w:r>
        <w:rPr>
          <w:rFonts w:hint="eastAsia" w:cs="方正仿宋_GBK"/>
          <w:bCs/>
          <w:kern w:val="0"/>
          <w:lang w:eastAsia="zh-CN"/>
        </w:rPr>
        <w:t>区</w:t>
      </w:r>
      <w:r>
        <w:rPr>
          <w:rFonts w:hint="eastAsia" w:cs="方正仿宋_GBK"/>
          <w:bCs/>
          <w:kern w:val="0"/>
        </w:rPr>
        <w:t>，争取传统村落保护专项资金0.6亿元，惠及行政村落18个。</w:t>
      </w:r>
    </w:p>
    <w:p>
      <w:pPr>
        <w:adjustRightInd w:val="0"/>
        <w:ind w:firstLine="640"/>
        <w:rPr>
          <w:rFonts w:ascii="方正仿宋_GBK" w:hAnsi="方正仿宋_GBK" w:cs="方正仿宋_GBK"/>
        </w:rPr>
      </w:pPr>
      <w:r>
        <w:rPr>
          <w:rFonts w:hint="default" w:ascii="方正楷体_GBK" w:hAnsi="方正楷体_GBK" w:eastAsia="方正楷体_GBK" w:cs="方正楷体_GBK"/>
        </w:rPr>
        <w:t>三是</w:t>
      </w:r>
      <w:r>
        <w:rPr>
          <w:rFonts w:hint="eastAsia" w:ascii="方正楷体_GBK" w:hAnsi="方正楷体_GBK" w:eastAsia="方正楷体_GBK" w:cs="方正楷体_GBK"/>
        </w:rPr>
        <w:t>突出改革求变，做优生财有道文章，精打细算增效益强保障。</w:t>
      </w:r>
      <w:r>
        <w:rPr>
          <w:rFonts w:hint="eastAsia"/>
        </w:rPr>
        <w:t>围绕变革型财政建设，准确识变、科学应变、主动求变，全面深化财政管理改革，努力向改革要动力、向管理要效能。</w:t>
      </w:r>
      <w:r>
        <w:rPr>
          <w:rFonts w:hint="eastAsia" w:ascii="方正黑体_GBK" w:hAnsi="方正黑体_GBK" w:eastAsia="方正黑体_GBK" w:cs="方正黑体_GBK"/>
        </w:rPr>
        <w:t>大力节支增效。</w:t>
      </w:r>
      <w:r>
        <w:rPr>
          <w:rFonts w:hint="eastAsia"/>
        </w:rPr>
        <w:t>严格落实政府过“紧日子”要求，严把预算追加、资产配置、政府采购等关口，严控“三公”经费，大力精简会议、差旅、培训等公务活动，全年压减财政一般性支出、非急需非刚性支出0.32亿元，腾退</w:t>
      </w:r>
      <w:r>
        <w:t>财力</w:t>
      </w:r>
      <w:r>
        <w:rPr>
          <w:rFonts w:hint="eastAsia"/>
          <w:lang w:eastAsia="zh-CN"/>
        </w:rPr>
        <w:t>全部</w:t>
      </w:r>
      <w:r>
        <w:rPr>
          <w:rFonts w:hint="eastAsia"/>
        </w:rPr>
        <w:t>用</w:t>
      </w:r>
      <w:r>
        <w:rPr>
          <w:rFonts w:hint="eastAsia"/>
          <w:lang w:eastAsia="zh-CN"/>
        </w:rPr>
        <w:t>在</w:t>
      </w:r>
      <w:r>
        <w:rPr>
          <w:rFonts w:hint="eastAsia"/>
        </w:rPr>
        <w:t>民生急需上和发展紧要处，用政府过“紧日子”换来百姓过“好日子”。</w:t>
      </w:r>
      <w:r>
        <w:rPr>
          <w:rFonts w:hint="eastAsia" w:ascii="方正黑体_GBK" w:hAnsi="方正黑体_GBK" w:eastAsia="方正黑体_GBK" w:cs="方正黑体_GBK"/>
        </w:rPr>
        <w:t>深化绩效改革。</w:t>
      </w:r>
      <w:r>
        <w:rPr>
          <w:rFonts w:hint="eastAsia"/>
        </w:rPr>
        <w:t>聚焦全方位，推进政府收支预算、部门和单位预算收支、项目支出全面纳入绩效管理范围，完成部门整体绩效自评104个，项目绩效自评2335个，绩效评价金额126亿元。聚焦全覆盖，建立一般公共预算绩效管理体系，</w:t>
      </w:r>
      <w:r>
        <w:rPr>
          <w:rFonts w:hint="eastAsia" w:ascii="方正仿宋_GBK" w:hAnsi="Helvetica" w:cs="Times New Roman"/>
        </w:rPr>
        <w:t>加大预算管理与绩效管理融合衔接</w:t>
      </w:r>
      <w:r>
        <w:rPr>
          <w:rFonts w:hint="eastAsia"/>
        </w:rPr>
        <w:t>，大力提升财政政策效能和资金效益。</w:t>
      </w:r>
      <w:r>
        <w:rPr>
          <w:rFonts w:hint="eastAsia" w:ascii="方正仿宋_GBK" w:hAnsi="Helvetica" w:cs="Times New Roman"/>
        </w:rPr>
        <w:t>聚焦全过程，建立“</w:t>
      </w:r>
      <w:r>
        <w:rPr>
          <w:rFonts w:hint="eastAsia"/>
        </w:rPr>
        <w:t>严把政策前端、严管执行中端、严守评价后端</w:t>
      </w:r>
      <w:r>
        <w:rPr>
          <w:rFonts w:hint="eastAsia" w:ascii="方正仿宋_GBK" w:hAnsi="Helvetica" w:cs="Times New Roman"/>
        </w:rPr>
        <w:t>”工作机制</w:t>
      </w:r>
      <w:r>
        <w:rPr>
          <w:rFonts w:hint="eastAsia"/>
        </w:rPr>
        <w:t>，强化绩效评价结果应用，有序推进部门预算安排与项目入库、执行进度、绩效结果、审计意见、资产存量挂钩。</w:t>
      </w:r>
      <w:r>
        <w:rPr>
          <w:rFonts w:hint="eastAsia" w:ascii="方正黑体_GBK" w:hAnsi="方正黑体_GBK" w:eastAsia="方正黑体_GBK" w:cs="方正黑体_GBK"/>
        </w:rPr>
        <w:t>强化财会监督。</w:t>
      </w:r>
      <w:r>
        <w:rPr>
          <w:rFonts w:hint="eastAsia"/>
        </w:rPr>
        <w:t>建立健全财会监督问题清单和闭环管理机制，扎实开展财会监督专项行动，完成5家预算单位会计信息质量专项检查、7家代理记账机构违法违规行为专项整治、指导全区613家预算单位建立健全内控制度。推动财会监督与纪检监察监督、巡视巡察监督等各类监督贯通协调，加快形成违纪违法监督合力。</w:t>
      </w:r>
      <w:r>
        <w:rPr>
          <w:rFonts w:hint="eastAsia" w:ascii="方正黑体_GBK" w:hAnsi="方正黑体_GBK" w:eastAsia="方正黑体_GBK" w:cs="方正黑体_GBK"/>
        </w:rPr>
        <w:t>优化财政体制。</w:t>
      </w:r>
      <w:r>
        <w:rPr>
          <w:rFonts w:hint="eastAsia"/>
        </w:rPr>
        <w:t>完成新一轮财政管理体制调整，加大镇街“三保”支持力度，进一步理顺开发区财政结算关系；有序推动镇级资金区级代管，切实增强财政统筹保障能力。</w:t>
      </w:r>
      <w:r>
        <w:rPr>
          <w:rFonts w:hint="eastAsia" w:ascii="方正黑体_GBK" w:hAnsi="方正仿宋_GBK" w:eastAsia="方正黑体_GBK" w:cs="方正仿宋_GBK"/>
        </w:rPr>
        <w:t>建设数字财政。</w:t>
      </w:r>
      <w:r>
        <w:rPr>
          <w:rFonts w:hint="eastAsia"/>
        </w:rPr>
        <w:t>聚</w:t>
      </w:r>
      <w:r>
        <w:rPr>
          <w:rFonts w:hint="eastAsia" w:ascii="方正仿宋_GBK" w:hAnsi="方正仿宋_GBK" w:cs="方正仿宋_GBK"/>
        </w:rPr>
        <w:t>焦系统集成高效化、预算编制科学化、预算指标控制化、集中支付电子化、会计核算标准化、执行监督透明化，稳步推进</w:t>
      </w:r>
      <w:r>
        <w:rPr>
          <w:rFonts w:ascii="方正仿宋_GBK" w:hAnsi="方正仿宋_GBK" w:cs="方正仿宋_GBK"/>
        </w:rPr>
        <w:t>预算管理一体化建设</w:t>
      </w:r>
      <w:r>
        <w:rPr>
          <w:rFonts w:hint="eastAsia" w:ascii="方正仿宋_GBK" w:hAnsi="方正仿宋_GBK" w:cs="方正仿宋_GBK"/>
        </w:rPr>
        <w:t>，完成</w:t>
      </w:r>
      <w:r>
        <w:rPr>
          <w:rFonts w:hint="eastAsia" w:ascii="方正仿宋_GBK" w:hAnsi="方正仿宋_GBK" w:cs="方正仿宋_GBK"/>
          <w:lang w:val="en-US" w:eastAsia="zh-CN"/>
        </w:rPr>
        <w:t>2</w:t>
      </w:r>
      <w:r>
        <w:rPr>
          <w:rFonts w:hint="eastAsia" w:ascii="方正仿宋_GBK" w:hAnsi="方正仿宋_GBK" w:cs="方正仿宋_GBK"/>
        </w:rPr>
        <w:t>个新增模块贯通运行。依托“财政智管”应用，在非税收缴、政府采购、会计资格考试等涉企涉民服务上提供主动、精准、协同、智慧服务，促进惠企政策精准推送、补贴补助直达快享，让财政数字化成果惠及更多市场主体和人民群众。</w:t>
      </w:r>
    </w:p>
    <w:p>
      <w:pPr>
        <w:adjustRightInd w:val="0"/>
        <w:ind w:firstLine="640"/>
        <w:rPr>
          <w:rFonts w:cs="Times New Roman"/>
        </w:rPr>
      </w:pPr>
      <w:r>
        <w:rPr>
          <w:rFonts w:hint="default" w:ascii="方正楷体_GBK" w:hAnsi="方正楷体_GBK" w:eastAsia="方正楷体_GBK" w:cs="方正楷体_GBK"/>
        </w:rPr>
        <w:t>四是</w:t>
      </w:r>
      <w:r>
        <w:rPr>
          <w:rFonts w:hint="eastAsia" w:ascii="方正楷体_GBK" w:hAnsi="方正楷体_GBK" w:eastAsia="方正楷体_GBK" w:cs="方正楷体_GBK"/>
        </w:rPr>
        <w:t>突出除险清患，做牢管财有力文章，全神贯注防风险护稳定。</w:t>
      </w:r>
      <w:r>
        <w:rPr>
          <w:rFonts w:hint="eastAsia" w:cs="方正仿宋_GBK"/>
        </w:rPr>
        <w:t>统筹发展和安全，充分发挥财政基础性、支撑性、保障性作用，助力高质量发展和高水平安全良性互动，牢牢守住不发生系统性</w:t>
      </w:r>
      <w:r>
        <w:rPr>
          <w:rFonts w:hint="eastAsia" w:cs="方正仿宋_GBK"/>
          <w:lang w:eastAsia="zh-CN"/>
        </w:rPr>
        <w:t>、</w:t>
      </w:r>
      <w:r>
        <w:rPr>
          <w:rFonts w:hint="eastAsia" w:cs="方正仿宋_GBK"/>
        </w:rPr>
        <w:t>区域性风险底线</w:t>
      </w:r>
      <w:r>
        <w:rPr>
          <w:rFonts w:hint="eastAsia" w:ascii="方正仿宋_GBK" w:hAnsi="方正仿宋_GBK" w:cs="方正仿宋_GBK"/>
        </w:rPr>
        <w:t>。</w:t>
      </w:r>
      <w:r>
        <w:rPr>
          <w:rFonts w:hint="eastAsia" w:ascii="方正黑体_GBK" w:hAnsi="方正黑体_GBK" w:eastAsia="方正黑体_GBK" w:cs="方正黑体_GBK"/>
        </w:rPr>
        <w:t>推动财政平稳运行。</w:t>
      </w:r>
      <w:r>
        <w:rPr>
          <w:rFonts w:hint="eastAsia"/>
        </w:rPr>
        <w:t>加强财政运行监测，加大“三本”预算统筹，加密资金调度，加大“三资”盘活力度，增强区级财政保障能力，确保</w:t>
      </w:r>
      <w:r>
        <w:t>教师、医护人员等工资和各类困难群体待遇</w:t>
      </w:r>
      <w:r>
        <w:rPr>
          <w:rFonts w:hint="eastAsia"/>
        </w:rPr>
        <w:t>正常</w:t>
      </w:r>
      <w:r>
        <w:t>发放</w:t>
      </w:r>
      <w:r>
        <w:rPr>
          <w:rFonts w:hint="eastAsia"/>
        </w:rPr>
        <w:t>，坚决兜牢“三保”底线。</w:t>
      </w:r>
      <w:r>
        <w:rPr>
          <w:rFonts w:hint="eastAsia" w:ascii="方正黑体_GBK" w:hAnsi="方正黑体_GBK" w:eastAsia="方正黑体_GBK" w:cs="方正黑体_GBK"/>
          <w:kern w:val="0"/>
        </w:rPr>
        <w:t>防范化解房地产领域风险。</w:t>
      </w:r>
      <w:r>
        <w:rPr>
          <w:rFonts w:hint="eastAsia"/>
        </w:rPr>
        <w:t>坚持“房住不炒”定位，</w:t>
      </w:r>
      <w:r>
        <w:rPr>
          <w:rFonts w:hint="eastAsia" w:cs="方正仿宋_GBK"/>
        </w:rPr>
        <w:t>支持“保交楼”高效推进。用好19亿元“保交楼”专项借款、16亿元配套融资，全年实现21个恒大和类恒大项目交付房屋19681套，10个房地产项目实现交付销号。</w:t>
      </w:r>
      <w:r>
        <w:rPr>
          <w:rFonts w:hint="eastAsia" w:ascii="方正黑体_GBK" w:hAnsi="方正黑体_GBK" w:eastAsia="方正黑体_GBK" w:cs="方正黑体_GBK"/>
        </w:rPr>
        <w:t>防范化解</w:t>
      </w:r>
      <w:r>
        <w:rPr>
          <w:rFonts w:ascii="方正黑体_GBK" w:hAnsi="方正黑体_GBK" w:eastAsia="方正黑体_GBK" w:cs="方正黑体_GBK"/>
        </w:rPr>
        <w:t>地方债务</w:t>
      </w:r>
      <w:r>
        <w:rPr>
          <w:rFonts w:hint="eastAsia" w:ascii="方正黑体_GBK" w:hAnsi="方正黑体_GBK" w:eastAsia="方正黑体_GBK" w:cs="方正黑体_GBK"/>
        </w:rPr>
        <w:t>风险。</w:t>
      </w:r>
      <w:r>
        <w:rPr>
          <w:rFonts w:hint="eastAsia" w:ascii="方正仿宋_GBK" w:hAnsi="方正仿宋_GBK" w:cs="方正仿宋_GBK"/>
        </w:rPr>
        <w:t>坚决扛起防范化解债务风险政治责任，化解隐性债务94亿元，</w:t>
      </w:r>
      <w:r>
        <w:rPr>
          <w:rFonts w:hint="eastAsia" w:cs="方正仿宋_GBK"/>
          <w:kern w:val="0"/>
        </w:rPr>
        <w:t>强化部门</w:t>
      </w:r>
      <w:r>
        <w:rPr>
          <w:rFonts w:hint="eastAsia"/>
        </w:rPr>
        <w:t>信息共享和协同监管，健全完善全口径</w:t>
      </w:r>
      <w:r>
        <w:t>、</w:t>
      </w:r>
      <w:r>
        <w:rPr>
          <w:rFonts w:hint="eastAsia"/>
        </w:rPr>
        <w:t>常态化监测机制，严肃查处违法违规举债融资行为，坚决遏制新增隐性债务；稳妥化解平台债务风险，严格落实“631”工作机制，定期开展监测预警，用足用活金融机构支持化债政策，</w:t>
      </w:r>
      <w:r>
        <w:rPr>
          <w:rFonts w:hint="eastAsia" w:ascii="方正仿宋_GBK" w:hAnsi="方正仿宋_GBK" w:cs="方正仿宋_GBK"/>
        </w:rPr>
        <w:t>确保银行贷款、公开市场债券和非标债务不违约，</w:t>
      </w:r>
      <w:r>
        <w:rPr>
          <w:rFonts w:hint="eastAsia"/>
        </w:rPr>
        <w:t>坚决守住“不爆雷”底线。</w:t>
      </w:r>
      <w:r>
        <w:rPr>
          <w:rFonts w:hint="eastAsia" w:ascii="方正黑体_GBK" w:eastAsia="方正黑体_GBK"/>
        </w:rPr>
        <w:t>维护</w:t>
      </w:r>
      <w:r>
        <w:rPr>
          <w:rFonts w:ascii="方正黑体_GBK" w:eastAsia="方正黑体_GBK"/>
        </w:rPr>
        <w:t>社会安全稳定</w:t>
      </w:r>
      <w:r>
        <w:t>。</w:t>
      </w:r>
      <w:r>
        <w:rPr>
          <w:rFonts w:hint="eastAsia"/>
        </w:rPr>
        <w:t>投入</w:t>
      </w:r>
      <w:r>
        <w:rPr>
          <w:rFonts w:hint="eastAsia" w:cs="Times New Roman"/>
        </w:rPr>
        <w:t>5</w:t>
      </w:r>
      <w:r>
        <w:t>亿元，</w:t>
      </w:r>
      <w:r>
        <w:rPr>
          <w:rFonts w:hint="eastAsia"/>
        </w:rPr>
        <w:t>坚持和发展新时代“枫桥经验”，创新社会治理，大力</w:t>
      </w:r>
      <w:r>
        <w:rPr>
          <w:rFonts w:hint="eastAsia" w:ascii="方正仿宋_GBK" w:hAnsi="方正仿宋_GBK" w:cs="方正仿宋_GBK"/>
        </w:rPr>
        <w:t>提升基层治理法治化水平，</w:t>
      </w:r>
      <w:r>
        <w:rPr>
          <w:rFonts w:hint="eastAsia"/>
        </w:rPr>
        <w:t>推动公安智侦中心、科技孵化中心建设，</w:t>
      </w:r>
      <w:r>
        <w:rPr>
          <w:rFonts w:hint="eastAsia"/>
          <w:lang w:eastAsia="zh-CN"/>
        </w:rPr>
        <w:t>成功</w:t>
      </w:r>
      <w:r>
        <w:rPr>
          <w:rFonts w:hint="eastAsia"/>
        </w:rPr>
        <w:t>创建全国市域社会治理现代化试点</w:t>
      </w:r>
      <w:r>
        <w:rPr>
          <w:rFonts w:hint="eastAsia"/>
          <w:lang w:eastAsia="zh-CN"/>
        </w:rPr>
        <w:t>合格城市</w:t>
      </w:r>
      <w:r>
        <w:rPr>
          <w:rFonts w:hint="eastAsia"/>
        </w:rPr>
        <w:t>。</w:t>
      </w:r>
      <w:r>
        <w:rPr>
          <w:rFonts w:cs="Times New Roman"/>
        </w:rPr>
        <w:t>完善</w:t>
      </w:r>
      <w:r>
        <w:rPr>
          <w:rFonts w:hint="eastAsia" w:cs="Times New Roman"/>
        </w:rPr>
        <w:t>检察</w:t>
      </w:r>
      <w:r>
        <w:rPr>
          <w:rFonts w:cs="Times New Roman"/>
        </w:rPr>
        <w:t>监督、</w:t>
      </w:r>
      <w:r>
        <w:rPr>
          <w:rFonts w:hint="eastAsia" w:cs="Times New Roman"/>
        </w:rPr>
        <w:t>法律</w:t>
      </w:r>
      <w:r>
        <w:rPr>
          <w:rFonts w:cs="Times New Roman"/>
        </w:rPr>
        <w:t>援助、</w:t>
      </w:r>
      <w:r>
        <w:rPr>
          <w:rFonts w:hint="eastAsia" w:cs="Times New Roman"/>
        </w:rPr>
        <w:t>司法</w:t>
      </w:r>
      <w:r>
        <w:rPr>
          <w:rFonts w:cs="Times New Roman"/>
        </w:rPr>
        <w:t>救助</w:t>
      </w:r>
      <w:r>
        <w:rPr>
          <w:rFonts w:hint="eastAsia" w:cs="Times New Roman"/>
        </w:rPr>
        <w:t>等</w:t>
      </w:r>
      <w:r>
        <w:rPr>
          <w:rFonts w:cs="Times New Roman"/>
        </w:rPr>
        <w:t>财政保障机制</w:t>
      </w:r>
      <w:r>
        <w:rPr>
          <w:rFonts w:hint="eastAsia" w:cs="Times New Roman"/>
        </w:rPr>
        <w:t>，</w:t>
      </w:r>
      <w:r>
        <w:rPr>
          <w:rFonts w:hint="eastAsia" w:ascii="方正仿宋_GBK" w:hAnsi="方正仿宋_GBK" w:cs="方正仿宋_GBK"/>
        </w:rPr>
        <w:t>强化城乡网格化服务管理和基层社会治安辅助力量</w:t>
      </w:r>
      <w:r>
        <w:rPr>
          <w:rFonts w:hint="eastAsia"/>
        </w:rPr>
        <w:t>，</w:t>
      </w:r>
      <w:r>
        <w:rPr>
          <w:rFonts w:hint="eastAsia" w:cs="Times New Roman"/>
        </w:rPr>
        <w:t>推进防汛抗旱、地质灾害、森林防火等防灾减灾救灾基础建设。</w:t>
      </w:r>
    </w:p>
    <w:p>
      <w:pPr>
        <w:pStyle w:val="4"/>
        <w:bidi w:val="0"/>
        <w:rPr>
          <w:rFonts w:hint="eastAsia"/>
        </w:rPr>
      </w:pPr>
      <w:r>
        <w:rPr>
          <w:rFonts w:hint="eastAsia"/>
        </w:rPr>
        <w:t>（</w:t>
      </w:r>
      <w:r>
        <w:rPr>
          <w:rFonts w:hint="default"/>
        </w:rPr>
        <w:t>二</w:t>
      </w:r>
      <w:r>
        <w:rPr>
          <w:rFonts w:hint="eastAsia"/>
        </w:rPr>
        <w:t>）落实区人大预算决议和服务代表委员情况。</w:t>
      </w:r>
    </w:p>
    <w:p>
      <w:pPr>
        <w:adjustRightInd w:val="0"/>
        <w:ind w:firstLine="640"/>
      </w:pPr>
      <w:r>
        <w:rPr>
          <w:rFonts w:hint="eastAsia" w:ascii="方正黑体_GBK" w:eastAsia="方正黑体_GBK"/>
        </w:rPr>
        <w:t>一是严格落实人大决议决定</w:t>
      </w:r>
      <w:r>
        <w:rPr>
          <w:rFonts w:hint="eastAsia"/>
        </w:rPr>
        <w:t>。认真执行《预算法》《预算法实施条例》《重庆市预算审查监督条例》等财政法律</w:t>
      </w:r>
      <w:r>
        <w:t>法规</w:t>
      </w:r>
      <w:r>
        <w:rPr>
          <w:rFonts w:hint="eastAsia"/>
        </w:rPr>
        <w:t>。坚持依法理财，自觉按法定权限、法定程序办事，严格执行区十八届人民代表大会第三次会议批准的2023年预算，以及区十八届人大常委会第十四次会议批准的预算调整方案</w:t>
      </w:r>
      <w:r>
        <w:t>，加强预算绩效管理，切实提升财政资金使用效益</w:t>
      </w:r>
      <w:r>
        <w:rPr>
          <w:rFonts w:hint="eastAsia"/>
        </w:rPr>
        <w:t>。</w:t>
      </w:r>
      <w:r>
        <w:rPr>
          <w:rFonts w:hint="eastAsia" w:ascii="方正黑体_GBK" w:eastAsia="方正黑体_GBK"/>
        </w:rPr>
        <w:t>二是自觉接受人大、政协监督</w:t>
      </w:r>
      <w:r>
        <w:rPr>
          <w:rFonts w:hint="eastAsia"/>
        </w:rPr>
        <w:t>。完善工作报告制度，邀请区人大代表、区政协委员参加财政预算公开评审，主动向区人大常委会议、区人大常委会主任会议报告预算执行、预算调整及政府债务管理等事项，回答询问、接受监督、听取意见。运用线上、线下监督平台，加强财政资金使用全过程监督。</w:t>
      </w:r>
      <w:r>
        <w:rPr>
          <w:rFonts w:hint="eastAsia" w:ascii="方正黑体_GBK" w:eastAsia="方正黑体_GBK"/>
        </w:rPr>
        <w:t>三是认真办理代表建议、政协提案</w:t>
      </w:r>
      <w:r>
        <w:rPr>
          <w:rFonts w:hint="eastAsia"/>
        </w:rPr>
        <w:t>。坚持把办理建议提案作为推进财政工作的重要抓手。2023年财政主办代表建议2件，政协提案3件，满意率和时效率均为100%。</w:t>
      </w:r>
    </w:p>
    <w:p>
      <w:pPr>
        <w:adjustRightInd w:val="0"/>
        <w:ind w:firstLine="640"/>
      </w:pPr>
      <w:r>
        <w:rPr>
          <w:rFonts w:hint="eastAsia"/>
        </w:rPr>
        <w:t>这些成绩的取得，是习近平新时代中国特色社会主义思想科学指引的结果，是区委、区政府坚强领导的结果，是全区人民拼搏奋斗的结果，是区人大、区政协以及代表委员监督指导的结果。在看到成绩的同时，我们也清醒认识到，</w:t>
      </w:r>
      <w:r>
        <w:rPr>
          <w:rFonts w:hint="eastAsia" w:ascii="方正黑体_GBK" w:eastAsia="方正黑体_GBK"/>
        </w:rPr>
        <w:t>当前财政工作还面临不少困难和问题，突出表现在：</w:t>
      </w:r>
      <w:r>
        <w:rPr>
          <w:rFonts w:hint="eastAsia" w:ascii="方正仿宋_GBK" w:hAnsi="方正仿宋_GBK" w:cs="方正仿宋_GBK"/>
          <w:kern w:val="0"/>
          <w:lang w:eastAsia="zh-CN"/>
        </w:rPr>
        <w:t>一是</w:t>
      </w:r>
      <w:r>
        <w:rPr>
          <w:rFonts w:hint="eastAsia" w:ascii="方正仿宋_GBK" w:hAnsi="方正仿宋_GBK" w:cs="方正仿宋_GBK"/>
          <w:kern w:val="0"/>
        </w:rPr>
        <w:t>经济全面恢复的基础仍不牢固，对财政收入增长形成制约，财政增收持续乏力，另一方面支持全区经济社会高质量发展，巩固拓展脱贫攻坚成果同乡村振兴有效衔接，以及教育、医疗、养老等民生领域补短板任务还需投入大量资金，财政收支矛盾突出；</w:t>
      </w:r>
      <w:r>
        <w:rPr>
          <w:rFonts w:hint="eastAsia" w:ascii="方正仿宋_GBK" w:hAnsi="方正仿宋_GBK" w:cs="方正仿宋_GBK"/>
          <w:kern w:val="0"/>
          <w:lang w:eastAsia="zh-CN"/>
        </w:rPr>
        <w:t>二是</w:t>
      </w:r>
      <w:r>
        <w:rPr>
          <w:rFonts w:hint="eastAsia"/>
        </w:rPr>
        <w:t>预算管理不够精细精准，一些镇街、部门仍然存在“重投入轻管理”“重支出轻绩效”的惯性思维，一些项目实施前没有进行充分论证，造成</w:t>
      </w:r>
      <w:r>
        <w:rPr>
          <w:rFonts w:hint="default"/>
        </w:rPr>
        <w:t>资金闲置、</w:t>
      </w:r>
      <w:r>
        <w:rPr>
          <w:rFonts w:hint="eastAsia"/>
        </w:rPr>
        <w:t>“钱等项目”；</w:t>
      </w:r>
      <w:r>
        <w:rPr>
          <w:rFonts w:hint="eastAsia"/>
          <w:color w:val="auto"/>
          <w:lang w:eastAsia="zh-CN"/>
        </w:rPr>
        <w:t>三是债务化解任务重、难度大</w:t>
      </w:r>
      <w:r>
        <w:rPr>
          <w:rFonts w:hint="eastAsia"/>
          <w:color w:val="auto"/>
        </w:rPr>
        <w:t>，“三资”盘活存有较大不确定性；</w:t>
      </w:r>
      <w:r>
        <w:rPr>
          <w:rFonts w:hint="eastAsia"/>
        </w:rPr>
        <w:t>我们高度重视这些问题，将继续采取积极有效措施加以改进。</w:t>
      </w:r>
    </w:p>
    <w:p>
      <w:pPr>
        <w:pStyle w:val="3"/>
        <w:ind w:firstLine="640"/>
      </w:pPr>
      <w:r>
        <w:rPr>
          <w:rFonts w:hint="eastAsia"/>
        </w:rPr>
        <w:t>三、2024年预算草案</w:t>
      </w:r>
    </w:p>
    <w:p>
      <w:pPr>
        <w:widowControl/>
        <w:spacing w:line="604" w:lineRule="exact"/>
        <w:ind w:firstLine="640"/>
        <w:rPr>
          <w:shd w:val="clear" w:color="auto" w:fill="FFFFFF"/>
        </w:rPr>
      </w:pPr>
      <w:r>
        <w:rPr>
          <w:rFonts w:hint="eastAsia"/>
          <w:shd w:val="clear" w:color="auto" w:fill="FFFFFF"/>
        </w:rPr>
        <w:t>202</w:t>
      </w:r>
      <w:r>
        <w:rPr>
          <w:shd w:val="clear" w:color="auto" w:fill="FFFFFF"/>
        </w:rPr>
        <w:t>4</w:t>
      </w:r>
      <w:r>
        <w:rPr>
          <w:rFonts w:hint="eastAsia"/>
          <w:shd w:val="clear" w:color="auto" w:fill="FFFFFF"/>
        </w:rPr>
        <w:t>年</w:t>
      </w:r>
      <w:r>
        <w:rPr>
          <w:shd w:val="clear" w:color="auto" w:fill="FFFFFF"/>
        </w:rPr>
        <w:t>是</w:t>
      </w:r>
      <w:r>
        <w:rPr>
          <w:rFonts w:hint="eastAsia"/>
          <w:shd w:val="clear" w:color="auto" w:fill="FFFFFF"/>
        </w:rPr>
        <w:t>中华</w:t>
      </w:r>
      <w:r>
        <w:rPr>
          <w:shd w:val="clear" w:color="auto" w:fill="FFFFFF"/>
        </w:rPr>
        <w:t>人民共和国成立</w:t>
      </w:r>
      <w:r>
        <w:rPr>
          <w:rFonts w:hint="eastAsia"/>
          <w:shd w:val="clear" w:color="auto" w:fill="FFFFFF"/>
        </w:rPr>
        <w:t>75周年</w:t>
      </w:r>
      <w:r>
        <w:rPr>
          <w:shd w:val="clear" w:color="auto" w:fill="FFFFFF"/>
        </w:rPr>
        <w:t>，</w:t>
      </w:r>
      <w:r>
        <w:rPr>
          <w:rFonts w:hint="eastAsia"/>
          <w:shd w:val="clear" w:color="auto" w:fill="FFFFFF"/>
        </w:rPr>
        <w:t>是</w:t>
      </w:r>
      <w:r>
        <w:rPr>
          <w:shd w:val="clear" w:color="auto" w:fill="FFFFFF"/>
        </w:rPr>
        <w:t>实现“十四五”规划目标任务的关键一年，</w:t>
      </w:r>
      <w:r>
        <w:rPr>
          <w:rFonts w:hint="eastAsia"/>
          <w:shd w:val="clear" w:color="auto" w:fill="FFFFFF"/>
        </w:rPr>
        <w:t>也</w:t>
      </w:r>
      <w:r>
        <w:rPr>
          <w:shd w:val="clear" w:color="auto" w:fill="FFFFFF"/>
        </w:rPr>
        <w:t>是现代化新</w:t>
      </w:r>
      <w:r>
        <w:rPr>
          <w:rFonts w:hint="eastAsia"/>
          <w:shd w:val="clear" w:color="auto" w:fill="FFFFFF"/>
        </w:rPr>
        <w:t>江津</w:t>
      </w:r>
      <w:r>
        <w:rPr>
          <w:shd w:val="clear" w:color="auto" w:fill="FFFFFF"/>
        </w:rPr>
        <w:t>建设从全面部署到纵深推进的重要一年</w:t>
      </w:r>
      <w:r>
        <w:rPr>
          <w:rFonts w:hint="eastAsia"/>
          <w:shd w:val="clear" w:color="auto" w:fill="FFFFFF"/>
        </w:rPr>
        <w:t>，全区财政</w:t>
      </w:r>
      <w:r>
        <w:rPr>
          <w:rFonts w:hint="default"/>
          <w:shd w:val="clear" w:color="auto" w:fill="FFFFFF"/>
        </w:rPr>
        <w:t>将深入</w:t>
      </w:r>
      <w:r>
        <w:rPr>
          <w:shd w:val="clear" w:color="auto" w:fill="FFFFFF"/>
        </w:rPr>
        <w:t>贯彻党中央、国务院和市委市政府</w:t>
      </w:r>
      <w:r>
        <w:rPr>
          <w:rFonts w:hint="eastAsia"/>
          <w:shd w:val="clear" w:color="auto" w:fill="FFFFFF"/>
        </w:rPr>
        <w:t>决策</w:t>
      </w:r>
      <w:r>
        <w:rPr>
          <w:shd w:val="clear" w:color="auto" w:fill="FFFFFF"/>
        </w:rPr>
        <w:t>部署，</w:t>
      </w:r>
      <w:r>
        <w:rPr>
          <w:rFonts w:hint="eastAsia"/>
          <w:shd w:val="clear" w:color="auto" w:fill="FFFFFF"/>
        </w:rPr>
        <w:t>认真</w:t>
      </w:r>
      <w:r>
        <w:rPr>
          <w:shd w:val="clear" w:color="auto" w:fill="FFFFFF"/>
        </w:rPr>
        <w:t>落实</w:t>
      </w:r>
      <w:r>
        <w:rPr>
          <w:rFonts w:hint="eastAsia"/>
          <w:shd w:val="clear" w:color="auto" w:fill="FFFFFF"/>
        </w:rPr>
        <w:t>区</w:t>
      </w:r>
      <w:r>
        <w:rPr>
          <w:shd w:val="clear" w:color="auto" w:fill="FFFFFF"/>
        </w:rPr>
        <w:t>人大预算决议，</w:t>
      </w:r>
      <w:r>
        <w:rPr>
          <w:rFonts w:hint="eastAsia"/>
          <w:shd w:val="clear" w:color="auto" w:fill="FFFFFF"/>
        </w:rPr>
        <w:t>科学研判财政</w:t>
      </w:r>
      <w:r>
        <w:rPr>
          <w:shd w:val="clear" w:color="auto" w:fill="FFFFFF"/>
        </w:rPr>
        <w:t>收支形势</w:t>
      </w:r>
      <w:r>
        <w:rPr>
          <w:rFonts w:hint="eastAsia"/>
          <w:shd w:val="clear" w:color="auto" w:fill="FFFFFF"/>
        </w:rPr>
        <w:t>，合理编制财政预算，积极</w:t>
      </w:r>
      <w:r>
        <w:rPr>
          <w:shd w:val="clear" w:color="auto" w:fill="FFFFFF"/>
        </w:rPr>
        <w:t>发挥财政职能作用</w:t>
      </w:r>
      <w:r>
        <w:rPr>
          <w:rFonts w:hint="eastAsia"/>
          <w:shd w:val="clear" w:color="auto" w:fill="FFFFFF"/>
        </w:rPr>
        <w:t>，</w:t>
      </w:r>
      <w:r>
        <w:rPr>
          <w:shd w:val="clear" w:color="auto" w:fill="FFFFFF"/>
        </w:rPr>
        <w:t>推动经济平稳健康发展</w:t>
      </w:r>
      <w:r>
        <w:rPr>
          <w:rFonts w:hint="eastAsia"/>
          <w:shd w:val="clear" w:color="auto" w:fill="FFFFFF"/>
        </w:rPr>
        <w:t>与</w:t>
      </w:r>
      <w:r>
        <w:rPr>
          <w:shd w:val="clear" w:color="auto" w:fill="FFFFFF"/>
        </w:rPr>
        <w:t>社会大局和谐稳定</w:t>
      </w:r>
      <w:r>
        <w:rPr>
          <w:rFonts w:hint="eastAsia"/>
          <w:shd w:val="clear" w:color="auto" w:fill="FFFFFF"/>
        </w:rPr>
        <w:t>。</w:t>
      </w:r>
    </w:p>
    <w:p>
      <w:pPr>
        <w:pStyle w:val="4"/>
        <w:ind w:firstLine="640"/>
      </w:pPr>
      <w:r>
        <w:rPr>
          <w:rFonts w:hint="eastAsia"/>
        </w:rPr>
        <w:t>（一）2024年财政收支形势分析</w:t>
      </w:r>
    </w:p>
    <w:p>
      <w:pPr>
        <w:adjustRightInd w:val="0"/>
        <w:ind w:firstLine="640"/>
      </w:pPr>
      <w:r>
        <w:rPr>
          <w:rFonts w:hint="eastAsia" w:ascii="方正黑体_GBK" w:eastAsia="方正黑体_GBK"/>
        </w:rPr>
        <w:t>经济形势</w:t>
      </w:r>
      <w:r>
        <w:t>：</w:t>
      </w:r>
      <w:r>
        <w:rPr>
          <w:rFonts w:hint="eastAsia"/>
        </w:rPr>
        <w:t>当前和今后一个时期，我区经济高质量发展机遇与挑战并存、机遇大于挑战。成渝地区双城经济圈建设、西部陆海新通道、渝西一体化高质量发展等重大战略深入推进，为我区发展带来了政策利好和项目利好。经济稳定恢复，长期向好的基本趋势没有改变。但是，外部环境的复杂性、严峻性、不确定性上升，有效需求不足、部分行业产能过剩、社会预期偏弱，经济稳增长压力较大。</w:t>
      </w:r>
    </w:p>
    <w:p>
      <w:pPr>
        <w:adjustRightInd w:val="0"/>
        <w:ind w:firstLine="640"/>
      </w:pPr>
      <w:r>
        <w:rPr>
          <w:rFonts w:hint="eastAsia" w:ascii="方正黑体_GBK" w:eastAsia="方正黑体_GBK"/>
        </w:rPr>
        <w:t>财政形势</w:t>
      </w:r>
      <w:r>
        <w:t>：</w:t>
      </w:r>
      <w:r>
        <w:rPr>
          <w:rFonts w:hint="eastAsia" w:ascii="方正黑体_GBK" w:eastAsia="方正黑体_GBK"/>
        </w:rPr>
        <w:t>从财政收入看</w:t>
      </w:r>
      <w:r>
        <w:t>，</w:t>
      </w:r>
      <w:r>
        <w:rPr>
          <w:rFonts w:hint="eastAsia"/>
        </w:rPr>
        <w:t>经济</w:t>
      </w:r>
      <w:r>
        <w:t>持续</w:t>
      </w:r>
      <w:r>
        <w:rPr>
          <w:rFonts w:hint="eastAsia"/>
        </w:rPr>
        <w:t>回升向好，为</w:t>
      </w:r>
      <w:r>
        <w:t>财政收入平稳增长提供</w:t>
      </w:r>
      <w:r>
        <w:rPr>
          <w:rFonts w:hint="eastAsia"/>
        </w:rPr>
        <w:t>重要</w:t>
      </w:r>
      <w:r>
        <w:t>支撑</w:t>
      </w:r>
      <w:r>
        <w:rPr>
          <w:rFonts w:hint="eastAsia"/>
        </w:rPr>
        <w:t>。但由于大规模</w:t>
      </w:r>
      <w:r>
        <w:t>留抵退税的低基数效应</w:t>
      </w:r>
      <w:r>
        <w:rPr>
          <w:rFonts w:hint="eastAsia"/>
        </w:rPr>
        <w:t>消退</w:t>
      </w:r>
      <w:r>
        <w:t>，预计税收将回落至中低速</w:t>
      </w:r>
      <w:r>
        <w:rPr>
          <w:rFonts w:hint="eastAsia"/>
        </w:rPr>
        <w:t>增长</w:t>
      </w:r>
      <w:r>
        <w:t>的</w:t>
      </w:r>
      <w:r>
        <w:rPr>
          <w:rFonts w:hint="eastAsia"/>
        </w:rPr>
        <w:t>常态</w:t>
      </w:r>
      <w:r>
        <w:t>水平</w:t>
      </w:r>
      <w:r>
        <w:rPr>
          <w:rFonts w:hint="eastAsia"/>
        </w:rPr>
        <w:t>，</w:t>
      </w:r>
      <w:r>
        <w:t>大体与经济增长水平相适应</w:t>
      </w:r>
      <w:r>
        <w:rPr>
          <w:rFonts w:hint="eastAsia"/>
        </w:rPr>
        <w:t>。非税收入主要依靠资产处置带动，挖潜增收难度将不断加大。土地市场</w:t>
      </w:r>
      <w:r>
        <w:rPr>
          <w:rFonts w:hint="default"/>
        </w:rPr>
        <w:t>持续</w:t>
      </w:r>
      <w:r>
        <w:rPr>
          <w:rFonts w:hint="eastAsia"/>
        </w:rPr>
        <w:t>遇冷</w:t>
      </w:r>
      <w:r>
        <w:t>，土地出让收入边际改善充满诸多不确定性</w:t>
      </w:r>
      <w:r>
        <w:rPr>
          <w:rFonts w:hint="eastAsia"/>
        </w:rPr>
        <w:t>。</w:t>
      </w:r>
      <w:r>
        <w:rPr>
          <w:rFonts w:ascii="方正黑体_GBK" w:eastAsia="方正黑体_GBK"/>
        </w:rPr>
        <w:t>从</w:t>
      </w:r>
      <w:r>
        <w:rPr>
          <w:rFonts w:hint="eastAsia" w:ascii="方正黑体_GBK" w:eastAsia="方正黑体_GBK"/>
        </w:rPr>
        <w:t>财政</w:t>
      </w:r>
      <w:r>
        <w:rPr>
          <w:rFonts w:ascii="方正黑体_GBK" w:eastAsia="方正黑体_GBK"/>
        </w:rPr>
        <w:t>支出看</w:t>
      </w:r>
      <w:r>
        <w:t>，</w:t>
      </w:r>
      <w:r>
        <w:rPr>
          <w:rFonts w:hint="eastAsia"/>
        </w:rPr>
        <w:t>推动</w:t>
      </w:r>
      <w:r>
        <w:t>经济企稳恢复提振，保持</w:t>
      </w:r>
      <w:r>
        <w:rPr>
          <w:rFonts w:hint="eastAsia"/>
        </w:rPr>
        <w:t>经济</w:t>
      </w:r>
      <w:r>
        <w:t>增长在合理区间，</w:t>
      </w:r>
      <w:r>
        <w:rPr>
          <w:rFonts w:hint="eastAsia"/>
        </w:rPr>
        <w:t>积极的财政政策适度加力、提质增效，需要</w:t>
      </w:r>
      <w:r>
        <w:t>保证必要的支出强度。</w:t>
      </w:r>
      <w:r>
        <w:rPr>
          <w:rFonts w:hint="eastAsia"/>
        </w:rPr>
        <w:t>实施</w:t>
      </w:r>
      <w:r>
        <w:t>重大项目、</w:t>
      </w:r>
      <w:r>
        <w:rPr>
          <w:rFonts w:hint="eastAsia"/>
        </w:rPr>
        <w:t>落实</w:t>
      </w:r>
      <w:r>
        <w:t>重大政策、</w:t>
      </w:r>
      <w:r>
        <w:rPr>
          <w:rFonts w:hint="eastAsia"/>
        </w:rPr>
        <w:t>打造</w:t>
      </w:r>
      <w:r>
        <w:t>重大平台、</w:t>
      </w:r>
      <w:r>
        <w:rPr>
          <w:rFonts w:hint="eastAsia"/>
        </w:rPr>
        <w:t>推进</w:t>
      </w:r>
      <w:r>
        <w:t>重大改革</w:t>
      </w:r>
      <w:r>
        <w:rPr>
          <w:rFonts w:hint="eastAsia"/>
        </w:rPr>
        <w:t>，对</w:t>
      </w:r>
      <w:r>
        <w:t>财政资金的需求较大</w:t>
      </w:r>
      <w:r>
        <w:rPr>
          <w:rFonts w:hint="eastAsia"/>
        </w:rPr>
        <w:t>。</w:t>
      </w:r>
      <w:r>
        <w:t>民生</w:t>
      </w:r>
      <w:r>
        <w:rPr>
          <w:rFonts w:hint="eastAsia"/>
        </w:rPr>
        <w:t>支出</w:t>
      </w:r>
      <w:r>
        <w:t>刚性</w:t>
      </w:r>
      <w:r>
        <w:rPr>
          <w:rFonts w:hint="eastAsia"/>
        </w:rPr>
        <w:t>增长</w:t>
      </w:r>
      <w:r>
        <w:t>，调整支出结构难度较大</w:t>
      </w:r>
      <w:r>
        <w:rPr>
          <w:rFonts w:hint="eastAsia"/>
        </w:rPr>
        <w:t>。</w:t>
      </w:r>
    </w:p>
    <w:p>
      <w:pPr>
        <w:adjustRightInd w:val="0"/>
        <w:ind w:firstLine="640"/>
      </w:pPr>
      <w:r>
        <w:rPr>
          <w:rFonts w:hint="eastAsia" w:ascii="方正黑体_GBK" w:eastAsia="方正黑体_GBK"/>
        </w:rPr>
        <w:t>总体预判</w:t>
      </w:r>
      <w:r>
        <w:rPr>
          <w:rFonts w:hint="eastAsia"/>
        </w:rPr>
        <w:t>，202</w:t>
      </w:r>
      <w:r>
        <w:t>4</w:t>
      </w:r>
      <w:r>
        <w:rPr>
          <w:rFonts w:hint="eastAsia"/>
        </w:rPr>
        <w:t>年</w:t>
      </w:r>
      <w:r>
        <w:t>财政收入</w:t>
      </w:r>
      <w:r>
        <w:rPr>
          <w:rFonts w:hint="eastAsia"/>
        </w:rPr>
        <w:t>增速放缓</w:t>
      </w:r>
      <w:r>
        <w:t>，</w:t>
      </w:r>
      <w:r>
        <w:rPr>
          <w:rFonts w:hint="eastAsia"/>
        </w:rPr>
        <w:t>新增</w:t>
      </w:r>
      <w:r>
        <w:rPr>
          <w:rFonts w:hint="eastAsia"/>
          <w:color w:val="000000"/>
        </w:rPr>
        <w:t>可用财力有限</w:t>
      </w:r>
      <w:r>
        <w:rPr>
          <w:color w:val="000000"/>
        </w:rPr>
        <w:t>，</w:t>
      </w:r>
      <w:r>
        <w:rPr>
          <w:rFonts w:hint="eastAsia"/>
        </w:rPr>
        <w:t>收支矛盾</w:t>
      </w:r>
      <w:r>
        <w:t>依然突出，</w:t>
      </w:r>
      <w:r>
        <w:rPr>
          <w:rFonts w:hint="eastAsia"/>
        </w:rPr>
        <w:t>财政运行“紧平衡”状态仍将持续</w:t>
      </w:r>
      <w:r>
        <w:t>。</w:t>
      </w:r>
    </w:p>
    <w:p>
      <w:pPr>
        <w:pStyle w:val="4"/>
        <w:ind w:firstLine="640"/>
      </w:pPr>
      <w:r>
        <w:rPr>
          <w:rFonts w:hint="eastAsia"/>
        </w:rPr>
        <w:t>（二）</w:t>
      </w:r>
      <w:r>
        <w:t>202</w:t>
      </w:r>
      <w:r>
        <w:rPr>
          <w:rFonts w:hint="eastAsia"/>
        </w:rPr>
        <w:t>4年预算编制指导思想及财政工作总体要求</w:t>
      </w:r>
    </w:p>
    <w:p>
      <w:pPr>
        <w:ind w:firstLine="640"/>
      </w:pPr>
      <w:r>
        <w:rPr>
          <w:rFonts w:hint="eastAsia" w:ascii="方正黑体_GBK" w:eastAsia="方正黑体_GBK"/>
        </w:rPr>
        <w:t>预算编制指导思想是：</w:t>
      </w:r>
      <w:r>
        <w:rPr>
          <w:rFonts w:hint="eastAsia"/>
        </w:rPr>
        <w:t>坚持以习近平新时代中国特色社会主义思想为指导，全面贯彻党的二十大、二十届二中全会和中央经济工作会议精神，全面落实市委六届二次、三次、四次全会和市委经济工作会议部署，坚持稳中求进工作总基调，完整、准确、全面贯彻新发展理念，积极服务融入新发展格局，着力推动高质量发展，牢牢把握稳进增效、除险固安、改革突破、惠民强企工作导向，围绕建设“五地一城”奋斗目标，紧扣“加快建强西部陆海新通道重庆主枢纽、当好渝西地区一体化高质量发展排头兵”使命任务，落实积极的财政政策适度加力、提质增效，加强财政资源统筹，增强重大战略任务财力保障，坚持党政机关过紧日子不动摇，大力优化财政支出结构，兜牢“三保”底线，加强地方政府债务风险化解，严肃财经纪律，提高财政资金绩效，持续推动经济实现质的有效提升和量的合理增长，增进民生福祉，保持社会稳定。</w:t>
      </w:r>
    </w:p>
    <w:p>
      <w:pPr>
        <w:ind w:firstLine="640"/>
      </w:pPr>
      <w:r>
        <w:rPr>
          <w:rFonts w:hint="eastAsia"/>
        </w:rPr>
        <w:t>贯彻上述指导思想，按照优先保障“三保”支出，全力</w:t>
      </w:r>
      <w:r>
        <w:t>保障重大决策部署，有序保障重点领域支出，合理保障部门运转和履职</w:t>
      </w:r>
      <w:r>
        <w:rPr>
          <w:rFonts w:hint="eastAsia"/>
        </w:rPr>
        <w:t>需求原则，主要采取以下措施：</w:t>
      </w:r>
      <w:r>
        <w:rPr>
          <w:rFonts w:hint="eastAsia"/>
          <w:b/>
          <w:bCs/>
        </w:rPr>
        <w:t>一是强化统筹，保障重点</w:t>
      </w:r>
      <w:r>
        <w:rPr>
          <w:rFonts w:hint="eastAsia"/>
        </w:rPr>
        <w:t>。紧紧围绕保障重大战略任务，进一步完善大事要事保障机制，分清主次，明确缓急，切实加大</w:t>
      </w:r>
      <w:r>
        <w:rPr>
          <w:rFonts w:hint="eastAsia"/>
          <w:lang w:eastAsia="zh-CN"/>
        </w:rPr>
        <w:t>对</w:t>
      </w:r>
      <w:r>
        <w:rPr>
          <w:rFonts w:hint="eastAsia"/>
        </w:rPr>
        <w:t>各类资金、资源</w:t>
      </w:r>
      <w:r>
        <w:rPr>
          <w:rFonts w:hint="eastAsia"/>
          <w:lang w:eastAsia="zh-CN"/>
        </w:rPr>
        <w:t>的</w:t>
      </w:r>
      <w:r>
        <w:rPr>
          <w:rFonts w:hint="eastAsia"/>
        </w:rPr>
        <w:t>统筹，强化政策集成和资金协同</w:t>
      </w:r>
      <w:r>
        <w:rPr>
          <w:rFonts w:hint="eastAsia"/>
          <w:lang w:eastAsia="zh-CN"/>
        </w:rPr>
        <w:t>效应</w:t>
      </w:r>
      <w:r>
        <w:rPr>
          <w:rFonts w:hint="eastAsia"/>
        </w:rPr>
        <w:t>，大力优化支出结构，精准安排财政支出，集中财力优先保障中央、市委确定的重大政策、重要改革和重点项目实施。</w:t>
      </w:r>
      <w:r>
        <w:rPr>
          <w:rFonts w:hint="eastAsia"/>
          <w:b/>
          <w:bCs/>
        </w:rPr>
        <w:t>二是艰苦奋斗，勤俭节约。</w:t>
      </w:r>
      <w:r>
        <w:rPr>
          <w:rFonts w:hint="eastAsia"/>
        </w:rPr>
        <w:t>把政府过“紧日子”作为常态化纪律要求，严控“三公”经费等一般性支出，把严把紧预算管理、资产配置、政府采购、项目评审等关口，努力降低行政运行成本，打造节约型政府。</w:t>
      </w:r>
      <w:r>
        <w:rPr>
          <w:rFonts w:hint="eastAsia"/>
          <w:b/>
          <w:bCs/>
        </w:rPr>
        <w:t>三是严控成本，提质增效。</w:t>
      </w:r>
      <w:r>
        <w:rPr>
          <w:rFonts w:hint="eastAsia"/>
        </w:rPr>
        <w:t>加快建立全方位、全过程、全覆盖的预算绩效管理体系，将成本绩效的理念深度融入预算管理，将区委、区政府重大决策部署作为绩效管理重点，强化绩效管理激励约束，加强绩效评价结果应用，把宝贵的财政资金用在刀刃上、紧要处。</w:t>
      </w:r>
      <w:r>
        <w:rPr>
          <w:rFonts w:hint="eastAsia"/>
          <w:b/>
          <w:bCs/>
        </w:rPr>
        <w:t>四是问题导向，规范管理。</w:t>
      </w:r>
      <w:r>
        <w:rPr>
          <w:rFonts w:hint="eastAsia"/>
        </w:rPr>
        <w:t>全面梳理人大预算监督、审计、监督检查等发现的问题，坚持立行立改，取得实效；以推进问题整改为契机，及时完善相关政策和制度办法，补短板、强弱项，全方位提升财政管理水平。</w:t>
      </w:r>
    </w:p>
    <w:p>
      <w:pPr>
        <w:pStyle w:val="4"/>
        <w:ind w:firstLine="640"/>
      </w:pPr>
      <w:r>
        <w:rPr>
          <w:rFonts w:hint="eastAsia"/>
        </w:rPr>
        <w:t>（三）2024年预算草案</w:t>
      </w:r>
    </w:p>
    <w:p>
      <w:pPr>
        <w:pStyle w:val="5"/>
        <w:ind w:firstLine="640"/>
      </w:pPr>
      <w:r>
        <w:rPr>
          <w:rFonts w:hint="eastAsia"/>
        </w:rPr>
        <w:t>1.全区收入预计和支出安排</w:t>
      </w:r>
    </w:p>
    <w:p>
      <w:pPr>
        <w:pStyle w:val="6"/>
        <w:ind w:firstLine="640"/>
      </w:pPr>
      <w:r>
        <w:rPr>
          <w:rFonts w:hint="eastAsia"/>
        </w:rPr>
        <w:t>（1）全区一般公共预算</w:t>
      </w:r>
    </w:p>
    <w:p>
      <w:pPr>
        <w:ind w:firstLine="640"/>
      </w:pPr>
      <w:r>
        <w:rPr>
          <w:rFonts w:hint="eastAsia"/>
        </w:rPr>
        <w:t>全区一般公共预算收入预计68.5亿元，增长1</w:t>
      </w:r>
      <w:r>
        <w:t>%</w:t>
      </w:r>
      <w:r>
        <w:rPr>
          <w:rFonts w:hint="eastAsia"/>
        </w:rPr>
        <w:t>左右。其中，税收收入预计42亿元，增长9%左右。加上上级提前下达的转移支付34.39亿元，以及调入资金、上年结转、动用预算稳定调节基金等31.87亿元后，收入总量为134.76亿元。</w:t>
      </w:r>
    </w:p>
    <w:p>
      <w:pPr>
        <w:ind w:firstLine="640"/>
      </w:pPr>
      <w:r>
        <w:rPr>
          <w:rFonts w:hint="eastAsia"/>
        </w:rPr>
        <w:t>全区一般公共预算支出拟安排127.04亿元，加上上解上级</w:t>
      </w:r>
      <w:r>
        <w:rPr>
          <w:rFonts w:hint="eastAsia"/>
          <w:lang w:eastAsia="zh-CN"/>
        </w:rPr>
        <w:t>支出</w:t>
      </w:r>
      <w:r>
        <w:rPr>
          <w:rFonts w:hint="eastAsia"/>
        </w:rPr>
        <w:t>6.7亿元，政府一般债务还本支出1.02亿元，支出总量为134.76亿元。</w:t>
      </w:r>
    </w:p>
    <w:p>
      <w:pPr>
        <w:pStyle w:val="6"/>
        <w:ind w:firstLine="640"/>
      </w:pPr>
      <w:r>
        <w:rPr>
          <w:rFonts w:hint="eastAsia"/>
        </w:rPr>
        <w:t>（2）全区政府性基金预算</w:t>
      </w:r>
    </w:p>
    <w:p>
      <w:pPr>
        <w:ind w:firstLine="640"/>
      </w:pPr>
      <w:r>
        <w:rPr>
          <w:rFonts w:hint="eastAsia"/>
        </w:rPr>
        <w:t>全区政府性基金预算收入预计45.5亿元，增长29.5%，其中，土地出让收入41.5亿元，城市基础设施建设配套费收入3.5亿元，污水处理费收入0.5亿元。加上上级补助</w:t>
      </w:r>
      <w:r>
        <w:rPr>
          <w:rFonts w:hint="eastAsia"/>
          <w:lang w:eastAsia="zh-CN"/>
        </w:rPr>
        <w:t>收入</w:t>
      </w:r>
      <w:r>
        <w:rPr>
          <w:rFonts w:hint="eastAsia"/>
        </w:rPr>
        <w:t>2.16亿元，上年结转3.23亿元，收入总量为50.89亿元。相应安排支出50.89亿元。</w:t>
      </w:r>
    </w:p>
    <w:p>
      <w:pPr>
        <w:pStyle w:val="6"/>
        <w:ind w:firstLine="640"/>
      </w:pPr>
      <w:r>
        <w:rPr>
          <w:rFonts w:hint="eastAsia"/>
        </w:rPr>
        <w:t>（3）全区国有资本经营预算</w:t>
      </w:r>
    </w:p>
    <w:p>
      <w:pPr>
        <w:ind w:firstLine="640"/>
      </w:pPr>
      <w:r>
        <w:rPr>
          <w:rFonts w:hint="eastAsia"/>
        </w:rPr>
        <w:t>全区国有资本经营预算收入预计1亿元，加上上级补助</w:t>
      </w:r>
      <w:r>
        <w:rPr>
          <w:rFonts w:hint="eastAsia"/>
          <w:lang w:eastAsia="zh-CN"/>
        </w:rPr>
        <w:t>收入</w:t>
      </w:r>
      <w:r>
        <w:rPr>
          <w:rFonts w:hint="eastAsia"/>
        </w:rPr>
        <w:t>、上年结转等0.02亿元，收入总量为1.02亿元。相应安排支出1.02亿元。</w:t>
      </w:r>
    </w:p>
    <w:p>
      <w:pPr>
        <w:pStyle w:val="5"/>
        <w:ind w:firstLine="640"/>
      </w:pPr>
      <w:r>
        <w:rPr>
          <w:rFonts w:hint="eastAsia"/>
        </w:rPr>
        <w:t>2.区级收入预计和支出安排</w:t>
      </w:r>
    </w:p>
    <w:p>
      <w:pPr>
        <w:pStyle w:val="6"/>
        <w:ind w:firstLine="640"/>
      </w:pPr>
      <w:r>
        <w:rPr>
          <w:rFonts w:hint="eastAsia"/>
        </w:rPr>
        <w:t>（1）区级一般公共预算</w:t>
      </w:r>
    </w:p>
    <w:p>
      <w:pPr>
        <w:ind w:firstLine="640"/>
      </w:pPr>
      <w:r>
        <w:rPr>
          <w:rFonts w:hint="eastAsia"/>
        </w:rPr>
        <w:t>区级一般公共预算收入预计67.65亿元，增长1%左右。</w:t>
      </w:r>
      <w:r>
        <w:rPr>
          <w:rFonts w:hint="eastAsia"/>
          <w:lang w:eastAsia="zh-CN"/>
        </w:rPr>
        <w:t>其中，税收收入</w:t>
      </w:r>
      <w:r>
        <w:rPr>
          <w:rFonts w:hint="eastAsia"/>
          <w:lang w:val="en-US" w:eastAsia="zh-CN"/>
        </w:rPr>
        <w:t>41.23亿元，非税收入26.41亿元。</w:t>
      </w:r>
      <w:r>
        <w:rPr>
          <w:rFonts w:hint="eastAsia"/>
        </w:rPr>
        <w:t>加上上级提前下达的转移支付34.39元，以及上年结转、调入资金、动用预算稳定调节基金等31.05亿元，收入总量为133.09亿元。区级一般公共预算支出安排116.44亿元，加上上解上级</w:t>
      </w:r>
      <w:r>
        <w:rPr>
          <w:rFonts w:hint="eastAsia"/>
          <w:lang w:eastAsia="zh-CN"/>
        </w:rPr>
        <w:t>支出</w:t>
      </w:r>
      <w:r>
        <w:rPr>
          <w:rFonts w:hint="eastAsia"/>
        </w:rPr>
        <w:t>6.7亿元，补助镇级</w:t>
      </w:r>
      <w:r>
        <w:rPr>
          <w:rFonts w:hint="eastAsia"/>
          <w:lang w:eastAsia="zh-CN"/>
        </w:rPr>
        <w:t>支出</w:t>
      </w:r>
      <w:r>
        <w:rPr>
          <w:rFonts w:hint="eastAsia"/>
        </w:rPr>
        <w:t>8.93亿元，政府一般债务还本支出1.02亿元，支出总量为133.09亿元。</w:t>
      </w:r>
    </w:p>
    <w:p>
      <w:pPr>
        <w:ind w:firstLine="640"/>
      </w:pPr>
      <w:r>
        <w:rPr>
          <w:rFonts w:hint="eastAsia"/>
        </w:rPr>
        <w:t>区级主要支出项目预算安排为：一般公共服务支出6.06亿元；公共安全支出4.05亿元；教育支出23.79亿元；科学技术支出0.85亿元；文化旅游体育与传媒支出1.05亿元；社会保障和就业支出20.42亿元；卫生健康支出11.08亿元；节能环保支出1.44亿元；城乡社区支出7.17亿元；农林水支出12.98亿元；交通运输支出3.1亿元；产业发展支出1.3亿元；住房保障支出5.03亿元；灾害防治及应急管理支出0.8亿元；债务付息支出3.95亿元；预备费1.3亿元。</w:t>
      </w:r>
    </w:p>
    <w:p>
      <w:pPr>
        <w:pStyle w:val="6"/>
        <w:ind w:firstLine="640"/>
      </w:pPr>
      <w:r>
        <w:rPr>
          <w:rFonts w:hint="eastAsia"/>
        </w:rPr>
        <w:t>（2）区级政府性基金预算</w:t>
      </w:r>
    </w:p>
    <w:p>
      <w:pPr>
        <w:ind w:firstLine="640"/>
      </w:pPr>
      <w:r>
        <w:rPr>
          <w:rFonts w:hint="eastAsia"/>
        </w:rPr>
        <w:t>区级政府性基金预算收入预计45.5亿元，其中，土地出让收入41.5亿元，城市基础设施建设配套费收入3.5亿元，污水处理费收入0.5亿元。加上上级补助</w:t>
      </w:r>
      <w:r>
        <w:rPr>
          <w:rFonts w:hint="eastAsia"/>
          <w:lang w:eastAsia="zh-CN"/>
        </w:rPr>
        <w:t>收入</w:t>
      </w:r>
      <w:r>
        <w:rPr>
          <w:rFonts w:hint="eastAsia"/>
        </w:rPr>
        <w:t>2.16亿元，上年结转3.23亿元，收入总量为50.89亿元。</w:t>
      </w:r>
    </w:p>
    <w:p>
      <w:pPr>
        <w:ind w:firstLine="640"/>
      </w:pPr>
      <w:r>
        <w:rPr>
          <w:rFonts w:hint="eastAsia"/>
        </w:rPr>
        <w:t>区级政府性基金预算支出安排35.22亿元，其中，土地出让相关收入安排的支出22.07亿元。加上上解上级支出2.52亿元，政府专项债券还本支出2.16亿元，调出资金10.99亿元，支出总量为50.89亿元。</w:t>
      </w:r>
    </w:p>
    <w:p>
      <w:pPr>
        <w:pStyle w:val="6"/>
        <w:ind w:firstLine="640"/>
      </w:pPr>
      <w:r>
        <w:rPr>
          <w:rFonts w:hint="eastAsia"/>
        </w:rPr>
        <w:t>（3）区级国有资本经营预算</w:t>
      </w:r>
    </w:p>
    <w:p>
      <w:pPr>
        <w:ind w:firstLine="640"/>
      </w:pPr>
      <w:r>
        <w:rPr>
          <w:rFonts w:hint="eastAsia"/>
        </w:rPr>
        <w:t>区级国有资本经营预算收入预计1亿元，加上上级补助</w:t>
      </w:r>
      <w:r>
        <w:rPr>
          <w:rFonts w:hint="eastAsia"/>
          <w:lang w:eastAsia="zh-CN"/>
        </w:rPr>
        <w:t>收入</w:t>
      </w:r>
      <w:r>
        <w:rPr>
          <w:rFonts w:hint="eastAsia"/>
        </w:rPr>
        <w:t>、上年结转等0.02亿元，收入总量为1.02亿元。</w:t>
      </w:r>
    </w:p>
    <w:p>
      <w:pPr>
        <w:ind w:firstLine="640"/>
      </w:pPr>
      <w:r>
        <w:rPr>
          <w:rFonts w:hint="eastAsia"/>
        </w:rPr>
        <w:t>区级国有资本经营预算支出安排0.01亿元，加上调出资金1.01亿元，支出总量为1.02亿元。</w:t>
      </w:r>
    </w:p>
    <w:p>
      <w:pPr>
        <w:ind w:firstLine="640"/>
      </w:pPr>
      <w:r>
        <w:rPr>
          <w:rFonts w:hint="eastAsia"/>
        </w:rPr>
        <w:t>需要说明的是，预算年度开始后，在区人民代表大会批准</w:t>
      </w:r>
      <w:r>
        <w:rPr>
          <w:rFonts w:hint="eastAsia"/>
          <w:lang w:eastAsia="zh-CN"/>
        </w:rPr>
        <w:t>本级</w:t>
      </w:r>
      <w:r>
        <w:rPr>
          <w:rFonts w:hint="eastAsia"/>
        </w:rPr>
        <w:t>预算草案前，按照《预算法》规定，为保障机构正常运转、工资按时发放，已安排以下支出：一是上年度结转支出；二是必须支付的本年度部门基本支出、项目支出，以及对镇级的转移性支出。</w:t>
      </w:r>
    </w:p>
    <w:p>
      <w:pPr>
        <w:pStyle w:val="4"/>
        <w:ind w:firstLine="640"/>
      </w:pPr>
      <w:r>
        <w:rPr>
          <w:rFonts w:hint="eastAsia"/>
        </w:rPr>
        <w:t>（四）2024年财政支出重点支持方向</w:t>
      </w:r>
    </w:p>
    <w:p>
      <w:pPr>
        <w:numPr>
          <w:ilvl w:val="0"/>
          <w:numId w:val="2"/>
        </w:numPr>
        <w:ind w:firstLine="640"/>
        <w:rPr>
          <w:rFonts w:ascii="Times New Roman" w:hAnsi="Times New Roman"/>
        </w:rPr>
      </w:pPr>
      <w:r>
        <w:rPr>
          <w:rFonts w:hint="eastAsia" w:ascii="方正黑体_GBK" w:eastAsia="方正黑体_GBK"/>
          <w:color w:val="000000"/>
        </w:rPr>
        <w:t>保障重大战略部署纵深推进。</w:t>
      </w:r>
      <w:r>
        <w:rPr>
          <w:rFonts w:hint="eastAsia" w:cs="Times New Roman"/>
          <w:color w:val="000000"/>
          <w:shd w:val="clear" w:color="auto" w:fill="FFFFFF"/>
        </w:rPr>
        <w:t>首位保障市委、区委“一号工程”，支持推进</w:t>
      </w:r>
      <w:r>
        <w:rPr>
          <w:rFonts w:hint="eastAsia" w:cs="方正仿宋_GBK"/>
          <w:bCs/>
          <w:kern w:val="0"/>
        </w:rPr>
        <w:t>“江津•合江”产业合作示范园建设，协同打造成渝地区重要的新能源新材料制造基地。持续推进基础设施互联互通，积极支持渝赤叙高速等交通网络设施项目“最后一公里”建设，</w:t>
      </w:r>
      <w:r>
        <w:rPr>
          <w:rFonts w:hint="eastAsia"/>
        </w:rPr>
        <w:t>推动成渝地区双城经济圈建设走深走实</w:t>
      </w:r>
      <w:r>
        <w:rPr>
          <w:rFonts w:hint="eastAsia" w:cs="Times New Roman"/>
          <w:color w:val="000000"/>
          <w:shd w:val="clear" w:color="auto" w:fill="FFFFFF"/>
        </w:rPr>
        <w:t>。落实外贸稳规模优结构政策</w:t>
      </w:r>
      <w:r>
        <w:rPr>
          <w:rFonts w:hint="eastAsia" w:ascii="Times New Roman" w:hAnsi="Times New Roman" w:cs="Times New Roman"/>
          <w:color w:val="000000"/>
          <w:shd w:val="clear" w:color="auto" w:fill="FFFFFF"/>
        </w:rPr>
        <w:t>，加大财政、金融联动</w:t>
      </w:r>
      <w:r>
        <w:rPr>
          <w:rFonts w:hint="eastAsia"/>
        </w:rPr>
        <w:t>支持，加快提升通道运输能力，持续打造高能级开放平台，推动外贸外资保稳提质，增强西部陆海新通道主枢纽服务功能。</w:t>
      </w:r>
      <w:r>
        <w:rPr>
          <w:rFonts w:hint="eastAsia" w:cs="Times New Roman"/>
          <w:color w:val="000000"/>
          <w:shd w:val="clear" w:color="auto" w:fill="FFFFFF"/>
        </w:rPr>
        <w:t>争取国家、市级重大政策支持，积极探索投融资模式，</w:t>
      </w:r>
      <w:r>
        <w:rPr>
          <w:rFonts w:hint="eastAsia"/>
        </w:rPr>
        <w:t>加快</w:t>
      </w:r>
      <w:r>
        <w:rPr>
          <w:rFonts w:hint="eastAsia" w:ascii="Times New Roman" w:hAnsi="Times New Roman" w:cs="Times New Roman"/>
          <w:color w:val="000000"/>
          <w:shd w:val="clear" w:color="auto" w:fill="FFFFFF"/>
        </w:rPr>
        <w:t>推进枢纽港产业园、重庆先进机电装备和数字物流产业园实体化运行</w:t>
      </w:r>
      <w:r>
        <w:rPr>
          <w:rFonts w:hint="eastAsia" w:ascii="Times New Roman" w:hAnsi="Times New Roman" w:cs="Times New Roman"/>
          <w:shd w:val="clear" w:color="auto" w:fill="FFFFFF"/>
        </w:rPr>
        <w:t>。</w:t>
      </w:r>
    </w:p>
    <w:p>
      <w:pPr>
        <w:ind w:firstLine="640"/>
        <w:rPr>
          <w:rFonts w:cs="方正仿宋_GBK"/>
        </w:rPr>
      </w:pPr>
      <w:r>
        <w:rPr>
          <w:rFonts w:hint="eastAsia" w:ascii="方正黑体_GBK" w:eastAsia="方正黑体_GBK"/>
          <w:color w:val="000000"/>
        </w:rPr>
        <w:t>2.支持构建“3+3+X”现代制造业集群。</w:t>
      </w:r>
      <w:r>
        <w:rPr>
          <w:rFonts w:hint="eastAsia"/>
        </w:rPr>
        <w:t>落实结构性减税降费政策，发挥产业投资基金引导作用</w:t>
      </w:r>
      <w:r>
        <w:rPr>
          <w:rFonts w:hint="eastAsia" w:cs="方正仿宋_GBK"/>
        </w:rPr>
        <w:t>，撬动</w:t>
      </w:r>
      <w:r>
        <w:rPr>
          <w:rFonts w:hint="eastAsia" w:ascii="Times New Roman" w:hAnsi="Times New Roman"/>
        </w:rPr>
        <w:t>金融资本、社会资本加大投入，</w:t>
      </w:r>
      <w:r>
        <w:rPr>
          <w:rFonts w:hint="eastAsia" w:cs="方正仿宋_GBK"/>
        </w:rPr>
        <w:t>支持打造</w:t>
      </w:r>
      <w:r>
        <w:rPr>
          <w:rFonts w:hint="eastAsia"/>
          <w:color w:val="000000"/>
        </w:rPr>
        <w:t>智能网联新能源汽车及零部件产业、消费品产业和先进材料产业</w:t>
      </w:r>
      <w:r>
        <w:rPr>
          <w:rFonts w:hint="eastAsia" w:cs="方正仿宋_GBK"/>
        </w:rPr>
        <w:t>3大主导产业集群，创新打造</w:t>
      </w:r>
      <w:r>
        <w:rPr>
          <w:rFonts w:hint="eastAsia"/>
          <w:color w:val="000000"/>
        </w:rPr>
        <w:t>智能装备及智能制造产业、新一代电子信息制造业和新能源及新型储能</w:t>
      </w:r>
      <w:r>
        <w:rPr>
          <w:color w:val="000000"/>
        </w:rPr>
        <w:t>产业</w:t>
      </w:r>
      <w:r>
        <w:rPr>
          <w:rFonts w:hint="eastAsia" w:cs="方正仿宋_GBK"/>
        </w:rPr>
        <w:t>3个特色优势产业，培育壮大X个“新星”产业集群，加快构建“3+3+X”现代制造业集群，深度融入全市“33618”现代制造业集群体系。</w:t>
      </w:r>
    </w:p>
    <w:p>
      <w:pPr>
        <w:ind w:firstLine="640"/>
        <w:rPr>
          <w:rFonts w:cs="Times New Roman"/>
        </w:rPr>
      </w:pPr>
      <w:r>
        <w:rPr>
          <w:rFonts w:hint="eastAsia" w:ascii="方正黑体_GBK" w:eastAsia="方正黑体_GBK"/>
          <w:color w:val="000000"/>
        </w:rPr>
        <w:t>3.支持打好重点领域风险防范化解攻坚战。</w:t>
      </w:r>
      <w:r>
        <w:rPr>
          <w:rFonts w:hint="eastAsia" w:cs="方正仿宋_GBK"/>
        </w:rPr>
        <w:t>统筹国家专项借款、新增银行配套融资</w:t>
      </w:r>
      <w:r>
        <w:rPr>
          <w:rFonts w:hint="eastAsia" w:cs="Times New Roman"/>
        </w:rPr>
        <w:t>，支持做好“保交楼、保民生、保稳定”工作，</w:t>
      </w:r>
      <w:r>
        <w:rPr>
          <w:rFonts w:hint="eastAsia" w:cs="方正仿宋_GBK"/>
        </w:rPr>
        <w:t>积极稳妥化解房地产风险。强化土地、财税、金融良性互动</w:t>
      </w:r>
      <w:r>
        <w:rPr>
          <w:rFonts w:hint="eastAsia" w:cs="Times New Roman"/>
        </w:rPr>
        <w:t>，</w:t>
      </w:r>
      <w:r>
        <w:rPr>
          <w:rFonts w:hint="eastAsia" w:cs="方正仿宋_GBK"/>
        </w:rPr>
        <w:t>支持</w:t>
      </w:r>
      <w:r>
        <w:rPr>
          <w:rFonts w:hint="eastAsia" w:cs="Times New Roman"/>
        </w:rPr>
        <w:t>推进保障性住房、城中村改造和“平急两用”公共基础设施建设，促进房地产市场平稳健康发展。支持“三攻坚一盘活”改革突破，坚决打好打赢国有企业、园区开发区、政企分离改革攻坚战，有力有效盘活国有资产。严格落实化债资金来源，大力争取再融资债券和金融机构支持，坚决遏制增量、化解存量，稳妥接续到期债务，切实防范化解债务风险。</w:t>
      </w:r>
    </w:p>
    <w:p>
      <w:pPr>
        <w:widowControl/>
        <w:spacing w:line="600" w:lineRule="exact"/>
        <w:ind w:firstLine="640"/>
        <w:jc w:val="both"/>
      </w:pPr>
      <w:r>
        <w:rPr>
          <w:rFonts w:hint="eastAsia" w:ascii="方正黑体_GBK" w:eastAsia="方正黑体_GBK"/>
          <w:color w:val="000000"/>
        </w:rPr>
        <w:t>4.持续保障和改善民生。</w:t>
      </w:r>
      <w:r>
        <w:rPr>
          <w:rFonts w:hint="eastAsia"/>
        </w:rPr>
        <w:t>坚持尽力而为、量力而行，</w:t>
      </w:r>
      <w:r>
        <w:rPr>
          <w:rFonts w:hint="eastAsia" w:ascii="方正仿宋_GBK" w:hAnsi="方正仿宋_GBK" w:cs="方正仿宋_GBK"/>
          <w:color w:val="191919"/>
          <w:shd w:val="clear" w:color="auto" w:fill="FFFFFF"/>
        </w:rPr>
        <w:t>统筹运用税费减免、资金补助、贷款贴息等政策，多渠道支持企业稳岗扩岗、个人创业就业</w:t>
      </w:r>
      <w:r>
        <w:rPr>
          <w:rFonts w:hint="eastAsia"/>
        </w:rPr>
        <w:t>。统筹上级补助和本级财力，落实</w:t>
      </w:r>
      <w:r>
        <w:rPr>
          <w:rFonts w:hint="eastAsia" w:cs="方正仿宋_GBK"/>
        </w:rPr>
        <w:t>社会救助、优抚安置、残疾人事业等社会救济政策。</w:t>
      </w:r>
      <w:r>
        <w:rPr>
          <w:rFonts w:hint="eastAsia"/>
        </w:rPr>
        <w:t>支持卫生健康事业高质量发展，加快推进区精神卫生中心、区中医院住院楼工程等项目建设，</w:t>
      </w:r>
      <w:r>
        <w:rPr>
          <w:rFonts w:hint="eastAsia" w:cs="方正仿宋_GBK"/>
        </w:rPr>
        <w:t>落实居民医疗保险、公共卫生服务经费财政补助政策，</w:t>
      </w:r>
      <w:r>
        <w:rPr>
          <w:rFonts w:hint="eastAsia"/>
        </w:rPr>
        <w:t>打造优质高效医疗卫生服务体系</w:t>
      </w:r>
      <w:r>
        <w:rPr>
          <w:rFonts w:hint="eastAsia" w:cs="方正仿宋_GBK"/>
        </w:rPr>
        <w:t>，</w:t>
      </w:r>
      <w:r>
        <w:rPr>
          <w:rFonts w:hint="eastAsia"/>
        </w:rPr>
        <w:t>减轻人民群众看病就医负担。支持教育优先发展战略</w:t>
      </w:r>
      <w:r>
        <w:rPr>
          <w:rFonts w:hint="eastAsia"/>
          <w:lang w:eastAsia="zh-CN"/>
        </w:rPr>
        <w:t>，</w:t>
      </w:r>
      <w:r>
        <w:rPr>
          <w:rFonts w:hint="eastAsia"/>
        </w:rPr>
        <w:t>落实财政性教育经费投入“一个不低于、两个只增不减”要求</w:t>
      </w:r>
      <w:r>
        <w:rPr>
          <w:rFonts w:hint="eastAsia" w:ascii="方正仿宋_GBK" w:hAnsi="方正仿宋_GBK" w:cs="方正仿宋_GBK"/>
          <w:color w:val="191919"/>
          <w:shd w:val="clear" w:color="auto" w:fill="FFFFFF"/>
        </w:rPr>
        <w:t>，</w:t>
      </w:r>
      <w:r>
        <w:rPr>
          <w:rFonts w:hint="eastAsia"/>
        </w:rPr>
        <w:t>加速推进学前教育普惠发展、义务教育优质均衡发展、</w:t>
      </w:r>
      <w:r>
        <w:t>高中教育特色多样化发展</w:t>
      </w:r>
      <w:r>
        <w:rPr>
          <w:rFonts w:hint="eastAsia"/>
        </w:rPr>
        <w:t>、民办教育规范发展。支持民生实事项目建设，把好事办实、把实事办好，让群众得到实惠、看到变化、见到成效。</w:t>
      </w:r>
    </w:p>
    <w:p>
      <w:pPr>
        <w:ind w:firstLine="640"/>
        <w:rPr>
          <w:rFonts w:cs="方正仿宋_GBK"/>
        </w:rPr>
      </w:pPr>
      <w:r>
        <w:rPr>
          <w:rFonts w:hint="eastAsia" w:ascii="方正黑体_GBK" w:eastAsia="方正黑体_GBK"/>
          <w:color w:val="000000"/>
        </w:rPr>
        <w:t>5.支持城乡融合发展。</w:t>
      </w:r>
      <w:r>
        <w:rPr>
          <w:rFonts w:hint="eastAsia" w:cs="Times New Roman"/>
        </w:rPr>
        <w:t>加强政策、项目对接</w:t>
      </w:r>
      <w:r>
        <w:rPr>
          <w:rFonts w:cs="Times New Roman"/>
        </w:rPr>
        <w:t>，争取</w:t>
      </w:r>
      <w:r>
        <w:rPr>
          <w:rFonts w:hint="eastAsia" w:cs="Times New Roman"/>
        </w:rPr>
        <w:t>上级</w:t>
      </w:r>
      <w:r>
        <w:rPr>
          <w:rFonts w:cs="Times New Roman"/>
        </w:rPr>
        <w:t>补助</w:t>
      </w:r>
      <w:r>
        <w:rPr>
          <w:rFonts w:hint="eastAsia" w:cs="Times New Roman"/>
        </w:rPr>
        <w:t>和</w:t>
      </w:r>
      <w:r>
        <w:rPr>
          <w:rFonts w:cs="Times New Roman"/>
        </w:rPr>
        <w:t>国债资金</w:t>
      </w:r>
      <w:r>
        <w:rPr>
          <w:rFonts w:hint="eastAsia" w:cs="方正仿宋_GBK"/>
        </w:rPr>
        <w:t>，支持</w:t>
      </w:r>
      <w:r>
        <w:rPr>
          <w:rFonts w:hint="eastAsia" w:cs="Times New Roman"/>
          <w:color w:val="000000"/>
          <w:shd w:val="clear" w:color="auto" w:fill="FFFFFF"/>
          <w:lang w:eastAsia="zh-CN"/>
        </w:rPr>
        <w:t>市郊铁路江跳线过江段</w:t>
      </w:r>
      <w:r>
        <w:rPr>
          <w:rFonts w:hint="eastAsia" w:cs="Times New Roman"/>
          <w:color w:val="000000"/>
          <w:shd w:val="clear" w:color="auto" w:fill="FFFFFF"/>
        </w:rPr>
        <w:t>建设，</w:t>
      </w:r>
      <w:r>
        <w:rPr>
          <w:rFonts w:hint="eastAsia" w:cs="方正仿宋_GBK"/>
        </w:rPr>
        <w:t>提速推进危旧房改造、老旧小区改造等城市更新工程，持续推进城区公共停车位、充电桩等配套设施建设，大力提升宜居城市功能与品质。建立涉农资金统筹整合长效机制，提高资金配置效率，支持深化城乡融合发展改革“十大行动”，壮大特色乡村产业。支持巴渝和美乡村建设，</w:t>
      </w:r>
      <w:r>
        <w:rPr>
          <w:rFonts w:hint="eastAsia" w:cs="Times New Roman"/>
        </w:rPr>
        <w:t>接续实施农村人居环境整治，抓好农村厕所、污水、垃圾“三大革命”。</w:t>
      </w:r>
      <w:r>
        <w:rPr>
          <w:rFonts w:hint="eastAsia" w:cs="方正仿宋_GBK"/>
        </w:rPr>
        <w:t>支持特色新型小城镇建设，争取上级补助，推进国家传统村落集中连片保护利用示范区建设和美丽宜居乡镇建设。</w:t>
      </w:r>
    </w:p>
    <w:p>
      <w:pPr>
        <w:pStyle w:val="2"/>
        <w:ind w:firstLine="640" w:firstLineChars="200"/>
      </w:pPr>
      <w:r>
        <w:rPr>
          <w:rFonts w:hint="eastAsia" w:ascii="方正黑体_GBK" w:hAnsi="宋体" w:eastAsia="方正黑体_GBK"/>
          <w:kern w:val="2"/>
          <w:sz w:val="32"/>
          <w:szCs w:val="32"/>
        </w:rPr>
        <w:t>6. 支持美丽江津建设。</w:t>
      </w:r>
      <w:r>
        <w:rPr>
          <w:rFonts w:hint="eastAsia" w:hAnsi="宋体" w:eastAsia="方正仿宋_GBK" w:cs="方正仿宋_GBK"/>
          <w:color w:val="auto"/>
          <w:kern w:val="2"/>
          <w:sz w:val="32"/>
          <w:szCs w:val="32"/>
        </w:rPr>
        <w:t>牢固树立和践行绿水青山就是金山银山理念，积极探索生态环境导向（EOD）开发模式，优化生态文明建设领域财政资源配置，支持加强长江生态环境保护，深化“一江两岸”岸线治理提升，提质建设“两岸青山·千里林带”。引导各类金融机构和社会资本加大投入，深入打好污染防治攻坚战，推进产业绿色转型，强力推动减污降碳协同增效，坚决扛起筑牢长江上游重要生态屏障重任。</w:t>
      </w:r>
    </w:p>
    <w:p>
      <w:pPr>
        <w:pStyle w:val="3"/>
        <w:ind w:firstLine="640"/>
      </w:pPr>
      <w:r>
        <w:rPr>
          <w:rFonts w:hint="eastAsia"/>
        </w:rPr>
        <w:t>四、2024年财政重点工作举措</w:t>
      </w:r>
    </w:p>
    <w:p>
      <w:pPr>
        <w:adjustRightInd w:val="0"/>
        <w:ind w:firstLine="640"/>
      </w:pPr>
      <w:r>
        <w:rPr>
          <w:rFonts w:hint="eastAsia" w:ascii="方正楷体_GBK" w:hAnsi="方正楷体_GBK" w:eastAsia="方正楷体_GBK" w:cs="方正楷体_GBK"/>
        </w:rPr>
        <w:t>（一）建立经济税源培育机制。</w:t>
      </w:r>
      <w:r>
        <w:rPr>
          <w:rFonts w:hint="eastAsia" w:ascii="Times New Roman" w:hAnsi="Times New Roman"/>
        </w:rPr>
        <w:t>健全完善财税协同机制，加大税源管控，努力培植财政收入增长点。</w:t>
      </w:r>
      <w:r>
        <w:rPr>
          <w:rFonts w:hint="eastAsia" w:ascii="Times New Roman" w:hAnsi="Times New Roman"/>
          <w:b/>
          <w:bCs/>
        </w:rPr>
        <w:t>一是加强财源建设。</w:t>
      </w:r>
      <w:r>
        <w:rPr>
          <w:rFonts w:hint="eastAsia" w:cs="Times New Roman"/>
        </w:rPr>
        <w:t>深入实施“重点税源专项服务攻坚行动”，发挥财政资金和财政政策引领作用，持续优化产业扶持、引资引才政策，稳定重点税源</w:t>
      </w:r>
      <w:r>
        <w:t>和税源大户</w:t>
      </w:r>
      <w:r>
        <w:rPr>
          <w:rFonts w:hint="eastAsia"/>
        </w:rPr>
        <w:t>，建立</w:t>
      </w:r>
      <w:r>
        <w:rPr>
          <w:rFonts w:hint="eastAsia"/>
          <w:lang w:eastAsia="zh-CN"/>
        </w:rPr>
        <w:t>健全</w:t>
      </w:r>
      <w:r>
        <w:rPr>
          <w:rFonts w:hint="eastAsia"/>
        </w:rPr>
        <w:t>“微成长</w:t>
      </w:r>
      <w:r>
        <w:t>、小升高、高壮大、大变强</w:t>
      </w:r>
      <w:r>
        <w:rPr>
          <w:rFonts w:hint="eastAsia"/>
        </w:rPr>
        <w:t>”梯次</w:t>
      </w:r>
      <w:r>
        <w:t>培育机制</w:t>
      </w:r>
      <w:r>
        <w:rPr>
          <w:rFonts w:hint="eastAsia"/>
        </w:rPr>
        <w:t>，</w:t>
      </w:r>
      <w:r>
        <w:rPr>
          <w:rFonts w:hint="eastAsia" w:ascii="Times New Roman" w:hAnsi="Times New Roman"/>
        </w:rPr>
        <w:t>做大做强主导产业，做优做精新兴产业。</w:t>
      </w:r>
      <w:r>
        <w:rPr>
          <w:rFonts w:hint="eastAsia" w:ascii="Times New Roman" w:hAnsi="Times New Roman"/>
          <w:b/>
          <w:bCs/>
        </w:rPr>
        <w:t>二是激发市场主体活力。</w:t>
      </w:r>
      <w:r>
        <w:rPr>
          <w:rFonts w:hint="eastAsia" w:ascii="Times New Roman" w:hAnsi="Times New Roman"/>
        </w:rPr>
        <w:t>坚持挖潜增收与涵养财源结合，全面落实各项退税、减税降费政策和惠企利民纾困政策，提振市场信心、释放政策红利。</w:t>
      </w:r>
      <w:r>
        <w:rPr>
          <w:rFonts w:hint="eastAsia" w:ascii="Times New Roman" w:hAnsi="Times New Roman"/>
          <w:b/>
          <w:bCs/>
        </w:rPr>
        <w:t>三是高质量招商引资。</w:t>
      </w:r>
      <w:r>
        <w:t>坚持</w:t>
      </w:r>
      <w:r>
        <w:rPr>
          <w:rFonts w:hint="eastAsia"/>
        </w:rPr>
        <w:t>“亩</w:t>
      </w:r>
      <w:r>
        <w:t>均论英雄</w:t>
      </w:r>
      <w:r>
        <w:rPr>
          <w:rFonts w:hint="eastAsia"/>
        </w:rPr>
        <w:t>”，充分论证税收贡献率，避免引进“低税空税”项目，</w:t>
      </w:r>
      <w:r>
        <w:t>推动</w:t>
      </w:r>
      <w:r>
        <w:rPr>
          <w:rFonts w:hint="eastAsia"/>
        </w:rPr>
        <w:t>财政</w:t>
      </w:r>
      <w:r>
        <w:t>收入与</w:t>
      </w:r>
      <w:r>
        <w:rPr>
          <w:rFonts w:hint="eastAsia"/>
        </w:rPr>
        <w:t>经济</w:t>
      </w:r>
      <w:r>
        <w:t>增长</w:t>
      </w:r>
      <w:r>
        <w:rPr>
          <w:rFonts w:hint="eastAsia"/>
        </w:rPr>
        <w:t>协调</w:t>
      </w:r>
      <w:r>
        <w:t>发展</w:t>
      </w:r>
      <w:r>
        <w:rPr>
          <w:rFonts w:hint="eastAsia"/>
        </w:rPr>
        <w:t>。</w:t>
      </w:r>
    </w:p>
    <w:p>
      <w:pPr>
        <w:adjustRightInd w:val="0"/>
        <w:ind w:firstLine="640"/>
        <w:rPr>
          <w:rFonts w:ascii="Times New Roman" w:hAnsi="Times New Roman"/>
        </w:rPr>
      </w:pPr>
      <w:r>
        <w:rPr>
          <w:rFonts w:hint="eastAsia" w:ascii="方正楷体_GBK" w:hAnsi="方正楷体_GBK" w:eastAsia="方正楷体_GBK" w:cs="方正楷体_GBK"/>
        </w:rPr>
        <w:t>（二）建立财政资源统筹调度机制。</w:t>
      </w:r>
      <w:r>
        <w:rPr>
          <w:rFonts w:hint="eastAsia"/>
        </w:rPr>
        <w:t>坚持集中财力办大事，加强财政资源统筹汇集能力，发挥财政资源“集聚效应”。</w:t>
      </w:r>
      <w:r>
        <w:rPr>
          <w:rFonts w:hint="eastAsia" w:ascii="Times New Roman" w:hAnsi="Times New Roman"/>
          <w:b/>
          <w:bCs/>
        </w:rPr>
        <w:t>一是加大预算统筹力度。</w:t>
      </w:r>
      <w:r>
        <w:rPr>
          <w:rFonts w:hint="eastAsia"/>
        </w:rPr>
        <w:t>完善全面综合预算体系，增强“三本预算”有效衔接和统筹使用，持续推动预算一个“盘子”、收入一个“笼子”、支出一个“口子”，强化政策集成和资金协同。</w:t>
      </w:r>
      <w:r>
        <w:rPr>
          <w:rFonts w:hint="eastAsia" w:ascii="Times New Roman" w:hAnsi="Times New Roman"/>
          <w:b/>
          <w:bCs/>
        </w:rPr>
        <w:t>二是加大库款调度力度。</w:t>
      </w:r>
      <w:r>
        <w:rPr>
          <w:rFonts w:hint="eastAsia"/>
        </w:rPr>
        <w:t>建立“日调度、周研判、月分析”动态监测管理机制，准确掌握库款流入、流出和余额情况，保障库款水平保持在合理区间；建立轻重缓急保障秩序，优先保障“三保”和重点支出，科学合理调度库款资金。</w:t>
      </w:r>
      <w:r>
        <w:rPr>
          <w:rFonts w:hint="eastAsia" w:ascii="Times New Roman" w:hAnsi="Times New Roman"/>
          <w:b/>
          <w:bCs/>
        </w:rPr>
        <w:t>三是加大“三资”清理盘活力度。</w:t>
      </w:r>
      <w:r>
        <w:rPr>
          <w:rFonts w:hint="eastAsia" w:ascii="Times New Roman" w:hAnsi="Times New Roman"/>
        </w:rPr>
        <w:t>清理闲置沉淀、低效无效、预算结余等“沉淀趴窝”存量资金，统筹用于重点领域和刚性支出。聚焦“三攻坚一盘活”，强化</w:t>
      </w:r>
      <w:r>
        <w:rPr>
          <w:rFonts w:hint="eastAsia"/>
        </w:rPr>
        <w:t>房屋</w:t>
      </w:r>
      <w:r>
        <w:t>、土地</w:t>
      </w:r>
      <w:r>
        <w:rPr>
          <w:rFonts w:hint="eastAsia"/>
        </w:rPr>
        <w:t>、特许经营权</w:t>
      </w:r>
      <w:r>
        <w:t>等</w:t>
      </w:r>
      <w:r>
        <w:rPr>
          <w:rFonts w:hint="eastAsia"/>
        </w:rPr>
        <w:t>行政事业性国有资产资源盘活，通过经营权收益权转让、统一运营管理、注入国有企业等方式，加快资产变现，提升运营质效。</w:t>
      </w:r>
      <w:r>
        <w:rPr>
          <w:rFonts w:hint="eastAsia" w:ascii="Times New Roman" w:hAnsi="Times New Roman"/>
          <w:b/>
          <w:bCs/>
        </w:rPr>
        <w:t>四是加大向上争资争项力度。</w:t>
      </w:r>
      <w:r>
        <w:rPr>
          <w:rFonts w:hint="eastAsia" w:ascii="Times New Roman" w:hAnsi="Times New Roman"/>
        </w:rPr>
        <w:t>把握中央、市级政策机遇窗口，高质量、高标准策划储备一批</w:t>
      </w:r>
      <w:r>
        <w:rPr>
          <w:rFonts w:ascii="Times New Roman" w:hAnsi="Times New Roman"/>
        </w:rPr>
        <w:t>项目，</w:t>
      </w:r>
      <w:r>
        <w:rPr>
          <w:rFonts w:hint="eastAsia" w:ascii="Times New Roman" w:hAnsi="Times New Roman"/>
        </w:rPr>
        <w:t>积极“走上去”、“走出去”，大力争取上级补助。</w:t>
      </w:r>
    </w:p>
    <w:p>
      <w:pPr>
        <w:ind w:firstLine="640"/>
        <w:rPr>
          <w:b/>
          <w:bCs/>
        </w:rPr>
      </w:pPr>
      <w:r>
        <w:rPr>
          <w:rFonts w:hint="eastAsia" w:ascii="方正楷体_GBK" w:hAnsi="方正楷体_GBK" w:eastAsia="方正楷体_GBK" w:cs="方正楷体_GBK"/>
        </w:rPr>
        <w:t>（三）建立节约型财政管理机制。</w:t>
      </w:r>
      <w:r>
        <w:rPr>
          <w:rFonts w:hint="eastAsia" w:ascii="Times New Roman" w:hAnsi="Times New Roman"/>
        </w:rPr>
        <w:t>从严从紧加强财政支出管理，当好“铁公鸡”、打好“铁算盘”，把同样的</w:t>
      </w:r>
      <w:r>
        <w:rPr>
          <w:rFonts w:hint="eastAsia"/>
        </w:rPr>
        <w:t>钱花出更大的成效。</w:t>
      </w:r>
      <w:r>
        <w:rPr>
          <w:rFonts w:hint="eastAsia" w:ascii="方正楷体_GBK" w:hAnsi="方正楷体_GBK" w:eastAsia="方正楷体_GBK" w:cs="方正楷体_GBK"/>
        </w:rPr>
        <w:t>一是</w:t>
      </w:r>
      <w:r>
        <w:rPr>
          <w:rFonts w:hint="eastAsia"/>
          <w:b/>
          <w:bCs/>
        </w:rPr>
        <w:t>建立过“紧日子”长效机制。</w:t>
      </w:r>
      <w:r>
        <w:rPr>
          <w:rFonts w:hint="eastAsia"/>
        </w:rPr>
        <w:t>推动党政机关常态化过紧日子，制定政策、安排支出、新上项目保持必要力度又不透支未来。规范行政事业单位聘用人员规模，有序清退区级自行出台、提标扩面或超出承受能力支出政策，严控政府购买服务事项。严禁</w:t>
      </w:r>
      <w:r>
        <w:t>新建</w:t>
      </w:r>
      <w:r>
        <w:rPr>
          <w:rFonts w:hint="eastAsia"/>
        </w:rPr>
        <w:t>楼堂馆所</w:t>
      </w:r>
      <w:r>
        <w:t>，规范</w:t>
      </w:r>
      <w:r>
        <w:rPr>
          <w:rFonts w:hint="eastAsia"/>
        </w:rPr>
        <w:t>办公用房、业务用房租用及装修改造。持续</w:t>
      </w:r>
      <w:r>
        <w:t>优化支出结构，</w:t>
      </w:r>
      <w:r>
        <w:rPr>
          <w:rFonts w:hint="eastAsia"/>
        </w:rPr>
        <w:t>清理</w:t>
      </w:r>
      <w:r>
        <w:t>整合低绩效</w:t>
      </w:r>
      <w:r>
        <w:rPr>
          <w:rFonts w:hint="eastAsia"/>
        </w:rPr>
        <w:t>支出</w:t>
      </w:r>
      <w:r>
        <w:t>，压减低效无效投资项目。</w:t>
      </w:r>
      <w:r>
        <w:rPr>
          <w:rFonts w:hint="eastAsia"/>
          <w:b/>
          <w:bCs/>
        </w:rPr>
        <w:t>二是建立支出问效机制。</w:t>
      </w:r>
      <w:r>
        <w:rPr>
          <w:rFonts w:hint="eastAsia"/>
        </w:rPr>
        <w:t>牢固树立“花钱必问效”理念，推动预算绩效管理提质增效，强化全过程预算绩效管理链条，优化事前绩效评估，夯实绩效目标管理，加强绩效运行监控，拓宽绩效评价范围，深化绩效结果应用，促进绩效管理与预算分配深度融合，着力提升财政资源配置效率和使用效益。</w:t>
      </w:r>
      <w:r>
        <w:rPr>
          <w:rFonts w:hint="eastAsia"/>
          <w:b/>
          <w:bCs/>
        </w:rPr>
        <w:t>三是实施投资评审提质行动。</w:t>
      </w:r>
      <w:r>
        <w:rPr>
          <w:rFonts w:hint="eastAsia"/>
        </w:rPr>
        <w:t>健全项目结算复查审核内控体系，建立评审结果多级复核制度，严把评审质量关口，有效控制政府投资成本，大力提升财政支出精准性、有效性。</w:t>
      </w:r>
      <w:r>
        <w:rPr>
          <w:rFonts w:hint="eastAsia"/>
          <w:b/>
          <w:bCs/>
        </w:rPr>
        <w:t>四是建立财会监督体系。</w:t>
      </w:r>
      <w:r>
        <w:rPr>
          <w:rFonts w:hint="eastAsia"/>
        </w:rPr>
        <w:t>贯彻</w:t>
      </w:r>
      <w:r>
        <w:t>落实</w:t>
      </w:r>
      <w:r>
        <w:rPr>
          <w:rFonts w:hint="eastAsia"/>
        </w:rPr>
        <w:t>全市</w:t>
      </w:r>
      <w:r>
        <w:t>进一步加强</w:t>
      </w:r>
      <w:r>
        <w:rPr>
          <w:rFonts w:hint="eastAsia"/>
        </w:rPr>
        <w:t>财会监督实施方案，建立健全</w:t>
      </w:r>
      <w:r>
        <w:t>财政部门主责监督、</w:t>
      </w:r>
      <w:r>
        <w:rPr>
          <w:rFonts w:hint="eastAsia"/>
        </w:rPr>
        <w:t>行业</w:t>
      </w:r>
      <w:r>
        <w:t>部门依责监督、各单位内部监督、相关中介机构执业监督、行业协会自律监督的财会监督体系</w:t>
      </w:r>
      <w:r>
        <w:rPr>
          <w:rFonts w:hint="eastAsia"/>
        </w:rPr>
        <w:t>。推动财会监督与各类监督有机贯通、相互协调，严肃财经纪律，切实提升财会监督效能。</w:t>
      </w:r>
      <w:r>
        <w:rPr>
          <w:rFonts w:hint="eastAsia"/>
          <w:b/>
          <w:bCs/>
        </w:rPr>
        <w:t>五是建立巡视巡察、审计等监督检查问题整改机制。</w:t>
      </w:r>
      <w:r>
        <w:rPr>
          <w:rFonts w:hint="eastAsia"/>
        </w:rPr>
        <w:t>坚持打铁还需自身硬，坚决扛起整改主体责任，扎实做好巡视巡察、审计等监督检查问题整改“后半篇文章”，着力打造规范透明财政。</w:t>
      </w:r>
    </w:p>
    <w:p>
      <w:pPr>
        <w:pStyle w:val="2"/>
        <w:ind w:firstLine="640" w:firstLineChars="200"/>
        <w:rPr>
          <w:rFonts w:hAnsi="宋体" w:eastAsia="方正仿宋_GBK"/>
          <w:color w:val="auto"/>
          <w:kern w:val="2"/>
          <w:sz w:val="32"/>
          <w:szCs w:val="32"/>
        </w:rPr>
      </w:pPr>
      <w:r>
        <w:rPr>
          <w:rFonts w:hint="eastAsia" w:ascii="方正楷体_GBK" w:hAnsi="方正楷体_GBK" w:eastAsia="方正楷体_GBK" w:cs="方正楷体_GBK"/>
          <w:color w:val="auto"/>
          <w:kern w:val="2"/>
          <w:sz w:val="32"/>
          <w:szCs w:val="32"/>
        </w:rPr>
        <w:t>（四）建立地方债务风险防控机制。</w:t>
      </w:r>
      <w:r>
        <w:rPr>
          <w:rFonts w:hAnsi="宋体" w:eastAsia="方正仿宋_GBK"/>
          <w:color w:val="auto"/>
          <w:kern w:val="2"/>
          <w:sz w:val="32"/>
          <w:szCs w:val="32"/>
        </w:rPr>
        <w:t>坚定不移把</w:t>
      </w:r>
      <w:r>
        <w:rPr>
          <w:rFonts w:hint="eastAsia" w:hAnsi="宋体" w:eastAsia="方正仿宋_GBK"/>
          <w:color w:val="auto"/>
          <w:kern w:val="2"/>
          <w:sz w:val="32"/>
          <w:szCs w:val="32"/>
        </w:rPr>
        <w:t>防范化解地方</w:t>
      </w:r>
      <w:r>
        <w:rPr>
          <w:rFonts w:hAnsi="宋体" w:eastAsia="方正仿宋_GBK"/>
          <w:color w:val="auto"/>
          <w:kern w:val="2"/>
          <w:sz w:val="32"/>
          <w:szCs w:val="32"/>
        </w:rPr>
        <w:t>债务</w:t>
      </w:r>
      <w:r>
        <w:rPr>
          <w:rFonts w:hint="eastAsia" w:hAnsi="宋体" w:eastAsia="方正仿宋_GBK"/>
          <w:color w:val="auto"/>
          <w:kern w:val="2"/>
          <w:sz w:val="32"/>
          <w:szCs w:val="32"/>
        </w:rPr>
        <w:t>风险</w:t>
      </w:r>
      <w:r>
        <w:rPr>
          <w:rFonts w:hAnsi="宋体" w:eastAsia="方正仿宋_GBK"/>
          <w:color w:val="auto"/>
          <w:kern w:val="2"/>
          <w:sz w:val="32"/>
          <w:szCs w:val="32"/>
        </w:rPr>
        <w:t>作为当前最紧迫、最关键、最重要的工作抓</w:t>
      </w:r>
      <w:r>
        <w:rPr>
          <w:rFonts w:hint="eastAsia" w:hAnsi="宋体" w:eastAsia="方正仿宋_GBK"/>
          <w:color w:val="auto"/>
          <w:kern w:val="2"/>
          <w:sz w:val="32"/>
          <w:szCs w:val="32"/>
        </w:rPr>
        <w:t>。强化跨部门协同协作，压实各方责任，规范举债融资行为，坚决查处、问责新增隐性债务问题，源头阻断新增隐性债务路径，坚决遏制隐性债务增量。</w:t>
      </w:r>
      <w:r>
        <w:rPr>
          <w:rFonts w:hint="default" w:hAnsi="宋体" w:eastAsia="方正仿宋_GBK"/>
          <w:color w:val="auto"/>
          <w:kern w:val="2"/>
          <w:sz w:val="32"/>
          <w:szCs w:val="32"/>
        </w:rPr>
        <w:t>支持指导</w:t>
      </w:r>
      <w:r>
        <w:rPr>
          <w:rFonts w:hint="eastAsia" w:hAnsi="宋体" w:eastAsia="方正仿宋_GBK"/>
          <w:color w:val="auto"/>
          <w:kern w:val="2"/>
          <w:sz w:val="32"/>
          <w:szCs w:val="32"/>
        </w:rPr>
        <w:t>平台公司全面加</w:t>
      </w:r>
      <w:r>
        <w:rPr>
          <w:rFonts w:hint="default" w:hAnsi="宋体" w:eastAsia="方正仿宋_GBK"/>
          <w:color w:val="auto"/>
          <w:kern w:val="2"/>
          <w:sz w:val="32"/>
          <w:szCs w:val="32"/>
        </w:rPr>
        <w:t>快</w:t>
      </w:r>
      <w:r>
        <w:rPr>
          <w:rFonts w:hint="eastAsia" w:hAnsi="宋体" w:eastAsia="方正仿宋_GBK"/>
          <w:color w:val="auto"/>
          <w:kern w:val="2"/>
          <w:sz w:val="32"/>
          <w:szCs w:val="32"/>
        </w:rPr>
        <w:t>存量债务化解，有效管控债务风险。加强专项债券投后管理，开展专项债券使用监督检查，严防“以拨代支”、“一拨了之”行为，加大专项债券收益催收缴解力度，按时足额保障还本付息，确保法定债务不出风险。</w:t>
      </w:r>
      <w:r>
        <w:rPr>
          <w:rFonts w:hint="default" w:hAnsi="宋体" w:eastAsia="方正仿宋_GBK"/>
          <w:color w:val="auto"/>
          <w:kern w:val="2"/>
          <w:sz w:val="32"/>
          <w:szCs w:val="32"/>
        </w:rPr>
        <w:t>强化</w:t>
      </w:r>
      <w:r>
        <w:rPr>
          <w:rFonts w:hint="eastAsia" w:hAnsi="宋体" w:eastAsia="方正仿宋_GBK"/>
          <w:color w:val="auto"/>
          <w:kern w:val="2"/>
          <w:sz w:val="32"/>
          <w:szCs w:val="32"/>
        </w:rPr>
        <w:t>地方债务全口径管理，</w:t>
      </w:r>
      <w:r>
        <w:rPr>
          <w:rFonts w:hint="default" w:hAnsi="宋体" w:eastAsia="方正仿宋_GBK"/>
          <w:color w:val="auto"/>
          <w:kern w:val="2"/>
          <w:sz w:val="32"/>
          <w:szCs w:val="32"/>
        </w:rPr>
        <w:t>对</w:t>
      </w:r>
      <w:r>
        <w:rPr>
          <w:rFonts w:hint="eastAsia" w:hAnsi="宋体" w:eastAsia="方正仿宋_GBK"/>
          <w:color w:val="auto"/>
          <w:kern w:val="2"/>
          <w:sz w:val="32"/>
          <w:szCs w:val="32"/>
        </w:rPr>
        <w:t>到期债务</w:t>
      </w:r>
      <w:r>
        <w:rPr>
          <w:rFonts w:hint="default" w:hAnsi="宋体" w:eastAsia="方正仿宋_GBK"/>
          <w:color w:val="auto"/>
          <w:kern w:val="2"/>
          <w:sz w:val="32"/>
          <w:szCs w:val="32"/>
        </w:rPr>
        <w:t>实行</w:t>
      </w:r>
      <w:r>
        <w:rPr>
          <w:rFonts w:hint="eastAsia" w:hAnsi="宋体" w:eastAsia="方正仿宋_GBK"/>
          <w:color w:val="auto"/>
          <w:kern w:val="2"/>
          <w:sz w:val="32"/>
          <w:szCs w:val="32"/>
        </w:rPr>
        <w:t>台账式管理，定期排查债务违约风险隐患，确保不断链不爆雷。</w:t>
      </w:r>
    </w:p>
    <w:p>
      <w:pPr>
        <w:pStyle w:val="4"/>
        <w:bidi w:val="0"/>
        <w:rPr>
          <w:rFonts w:ascii="方正仿宋_GBK" w:hAnsi="微软雅黑"/>
          <w:kern w:val="0"/>
        </w:rPr>
      </w:pPr>
      <w:r>
        <w:rPr>
          <w:rFonts w:hint="eastAsia" w:ascii="方正黑体_GBK" w:hAnsi="方正黑体_GBK" w:eastAsia="方正黑体_GBK" w:cs="方正黑体_GBK"/>
          <w:kern w:val="0"/>
        </w:rPr>
        <w:t>各位代表，</w:t>
      </w:r>
      <w:r>
        <w:rPr>
          <w:rFonts w:hint="eastAsia" w:ascii="方正仿宋_GBK" w:hAnsi="微软雅黑"/>
          <w:kern w:val="0"/>
        </w:rPr>
        <w:t>做好2024年财政工作，责任重大，使命光荣！我们将以习近平新时代中国特色社会主义思想为指引，在市委、市政府和区委的坚强领导下，</w:t>
      </w:r>
      <w:r>
        <w:rPr>
          <w:rFonts w:hint="eastAsia"/>
        </w:rPr>
        <w:t>主动接受区人大监督，认真听取区政协意见建议，</w:t>
      </w:r>
      <w:r>
        <w:rPr>
          <w:rFonts w:hint="eastAsia" w:ascii="方正仿宋_GBK" w:hAnsi="微软雅黑"/>
          <w:kern w:val="0"/>
        </w:rPr>
        <w:t>时刻保持赶考的清醒和坚定，戮力同心、勇毅前行，不折不扣做好财政各项工作，以高质量财政工作</w:t>
      </w:r>
      <w:r>
        <w:rPr>
          <w:rFonts w:hint="eastAsia" w:ascii="方正仿宋_GBK" w:hAnsi="微软雅黑"/>
          <w:kern w:val="0"/>
          <w:lang w:eastAsia="zh-CN"/>
        </w:rPr>
        <w:t>服务</w:t>
      </w:r>
      <w:r>
        <w:rPr>
          <w:rFonts w:hint="eastAsia" w:ascii="方正仿宋_GBK" w:hAnsi="微软雅黑"/>
          <w:kern w:val="0"/>
        </w:rPr>
        <w:t>保障现代化新江津建设！</w:t>
      </w:r>
    </w:p>
    <w:p>
      <w:pPr>
        <w:pStyle w:val="2"/>
        <w:ind w:firstLine="960" w:firstLineChars="300"/>
        <w:rPr>
          <w:rFonts w:ascii="方正仿宋_GBK" w:hAnsi="微软雅黑" w:eastAsia="方正仿宋_GBK"/>
          <w:color w:val="auto"/>
          <w:sz w:val="32"/>
          <w:szCs w:val="32"/>
        </w:rPr>
      </w:pPr>
    </w:p>
    <w:p>
      <w:pPr>
        <w:ind w:firstLine="640"/>
        <w:jc w:val="both"/>
        <w:rPr>
          <w:rFonts w:ascii="方正仿宋_GBK" w:hAnsi="微软雅黑"/>
          <w:kern w:val="0"/>
        </w:rPr>
      </w:pPr>
    </w:p>
    <w:p>
      <w:pPr>
        <w:ind w:firstLine="640"/>
        <w:rPr>
          <w:rFonts w:ascii="方正小标宋_GBK" w:hAnsi="方正小标宋_GBK" w:eastAsia="方正小标宋_GBK" w:cs="方正小标宋_GBK"/>
          <w:kern w:val="0"/>
        </w:rPr>
      </w:pPr>
      <w:r>
        <w:rPr>
          <w:rFonts w:hint="eastAsia" w:ascii="方正小标宋_GBK" w:hAnsi="方正小标宋_GBK" w:eastAsia="方正小标宋_GBK" w:cs="方正小标宋_GBK"/>
          <w:kern w:val="0"/>
        </w:rPr>
        <w:br w:type="page"/>
      </w:r>
    </w:p>
    <w:p>
      <w:pPr>
        <w:ind w:firstLine="0" w:firstLineChars="0"/>
        <w:jc w:val="both"/>
        <w:rPr>
          <w:rFonts w:ascii="方正小标宋_GBK" w:hAnsi="方正小标宋_GBK" w:eastAsia="方正小标宋_GBK" w:cs="方正小标宋_GBK"/>
          <w:kern w:val="0"/>
        </w:rPr>
      </w:pPr>
      <w:r>
        <w:rPr>
          <w:rFonts w:hint="eastAsia" w:ascii="方正小标宋_GBK" w:hAnsi="方正小标宋_GBK" w:eastAsia="方正小标宋_GBK" w:cs="方正小标宋_GBK"/>
          <w:kern w:val="0"/>
        </w:rPr>
        <w:t>名词解释</w:t>
      </w:r>
    </w:p>
    <w:p>
      <w:pPr>
        <w:ind w:firstLine="0" w:firstLineChars="0"/>
        <w:jc w:val="both"/>
        <w:rPr>
          <w:rFonts w:ascii="方正仿宋_GBK" w:hAnsi="微软雅黑"/>
          <w:kern w:val="0"/>
        </w:rPr>
      </w:pPr>
    </w:p>
    <w:p>
      <w:pPr>
        <w:ind w:firstLine="640"/>
      </w:pPr>
      <w:r>
        <w:rPr>
          <w:rFonts w:hint="eastAsia" w:ascii="方正楷体_GBK" w:hAnsi="方正楷体_GBK" w:eastAsia="方正楷体_GBK" w:cs="方正楷体_GBK"/>
        </w:rPr>
        <w:t>1. 一般公共预算：</w:t>
      </w:r>
      <w:r>
        <w:rPr>
          <w:rFonts w:hint="eastAsia"/>
        </w:rPr>
        <w:t>指政府凭借国家政治权力，以社会管理者身份筹集以税收为主体的财政收入，用于保障和改善民生、维持国家行政职能正常运转、保障国家安全等方面的收支预算。</w:t>
      </w:r>
    </w:p>
    <w:p>
      <w:pPr>
        <w:ind w:firstLine="640"/>
      </w:pPr>
      <w:r>
        <w:rPr>
          <w:rFonts w:hint="eastAsia" w:ascii="方正楷体_GBK" w:hAnsi="方正楷体_GBK" w:eastAsia="方正楷体_GBK" w:cs="方正楷体_GBK"/>
        </w:rPr>
        <w:t>2. 政府性基金预算：</w:t>
      </w:r>
      <w:r>
        <w:rPr>
          <w:rFonts w:hint="eastAsia"/>
        </w:rPr>
        <w:t>指对依照法律、行政法规的规定在一定期限内向特定对象征收、收取或者以其他方式筹集的资金（如：国有土地出让收入、城市建设配套费、污水处理费），专项用于特定公共事业发展的收支预算。</w:t>
      </w:r>
    </w:p>
    <w:p>
      <w:pPr>
        <w:ind w:firstLine="640"/>
        <w:rPr>
          <w:rFonts w:hint="eastAsia" w:eastAsia="方正仿宋_GBK"/>
          <w:color w:val="auto"/>
          <w:lang w:eastAsia="zh-CN"/>
        </w:rPr>
      </w:pPr>
      <w:r>
        <w:rPr>
          <w:rFonts w:hint="eastAsia" w:ascii="方正楷体_GBK" w:hAnsi="方正楷体_GBK" w:eastAsia="方正楷体_GBK" w:cs="方正楷体_GBK"/>
          <w:color w:val="auto"/>
        </w:rPr>
        <w:t>3. 国有资本经营预算：</w:t>
      </w:r>
      <w:r>
        <w:rPr>
          <w:rFonts w:hint="eastAsia"/>
          <w:color w:val="auto"/>
        </w:rPr>
        <w:t>指对国有资本收益作出支出安排的收支预算。国有资本收益主要包括国有企业上缴的股利股息、利润</w:t>
      </w:r>
      <w:r>
        <w:rPr>
          <w:rFonts w:hint="eastAsia"/>
          <w:color w:val="auto"/>
          <w:lang w:eastAsia="zh-CN"/>
        </w:rPr>
        <w:t>、产权转让收入、企业清算收入和其他收入。</w:t>
      </w:r>
    </w:p>
    <w:p>
      <w:pPr>
        <w:ind w:firstLine="640"/>
      </w:pPr>
      <w:r>
        <w:rPr>
          <w:rFonts w:hint="eastAsia" w:ascii="方正楷体_GBK" w:hAnsi="方正楷体_GBK" w:eastAsia="方正楷体_GBK" w:cs="方正楷体_GBK"/>
        </w:rPr>
        <w:t>4. 社会保险基金预算：</w:t>
      </w:r>
      <w:r>
        <w:rPr>
          <w:rFonts w:hint="eastAsia"/>
        </w:rPr>
        <w:t>指对社会保险缴款、一般公共预算安排和其他方式筹集的资金，专项用于社会保险的收支预算。</w:t>
      </w:r>
    </w:p>
    <w:p>
      <w:pPr>
        <w:ind w:firstLine="640"/>
      </w:pPr>
      <w:r>
        <w:rPr>
          <w:rFonts w:hint="eastAsia" w:ascii="方正楷体_GBK" w:hAnsi="方正楷体_GBK" w:eastAsia="方正楷体_GBK" w:cs="方正楷体_GBK"/>
        </w:rPr>
        <w:t>5. 政府一般债券转贷收入：</w:t>
      </w:r>
      <w:r>
        <w:rPr>
          <w:rFonts w:hint="eastAsia"/>
        </w:rPr>
        <w:t>指区级财政收到重庆市财政局转贷的一般债券收入，纳入一般公共预算管理。</w:t>
      </w:r>
    </w:p>
    <w:p>
      <w:pPr>
        <w:ind w:firstLine="640"/>
      </w:pPr>
      <w:r>
        <w:rPr>
          <w:rFonts w:hint="eastAsia" w:ascii="方正楷体_GBK" w:hAnsi="方正楷体_GBK" w:eastAsia="方正楷体_GBK" w:cs="方正楷体_GBK"/>
        </w:rPr>
        <w:t>6．政府专项债券转贷收入：</w:t>
      </w:r>
      <w:r>
        <w:rPr>
          <w:rFonts w:hint="eastAsia"/>
        </w:rPr>
        <w:t>指区级财政收到重庆市财政局转贷的专项债券收入，纳入政府性基金预算管理。</w:t>
      </w:r>
    </w:p>
    <w:p>
      <w:pPr>
        <w:ind w:firstLine="640"/>
      </w:pPr>
      <w:r>
        <w:rPr>
          <w:rFonts w:hint="eastAsia" w:ascii="方正楷体_GBK" w:hAnsi="方正楷体_GBK" w:eastAsia="方正楷体_GBK" w:cs="方正楷体_GBK"/>
        </w:rPr>
        <w:t>7. 政府债务：</w:t>
      </w:r>
      <w:r>
        <w:rPr>
          <w:rFonts w:hint="eastAsia"/>
        </w:rPr>
        <w:t>指地方政府政府依法纳入预算管理并负有偿还责任的债务。</w:t>
      </w:r>
    </w:p>
    <w:p>
      <w:pPr>
        <w:ind w:firstLine="640"/>
      </w:pPr>
      <w:r>
        <w:rPr>
          <w:rFonts w:hint="eastAsia" w:ascii="方正楷体_GBK" w:hAnsi="方正楷体_GBK" w:eastAsia="方正楷体_GBK" w:cs="方正楷体_GBK"/>
        </w:rPr>
        <w:t>8. 预算稳定调节基金：</w:t>
      </w:r>
      <w:r>
        <w:rPr>
          <w:rFonts w:hint="eastAsia"/>
        </w:rPr>
        <w:t>指财政通过超收收入和支出预算结余安排的具有储备性质的基金，视预算平衡情况，在安排下年度预算时调入并安排使用，或用于弥补短收年份预算执行的收支缺口，基金的安排使用接受同级人大及其常委会的监督。预算稳定调节基金单设科目，补充基金时在一般公共预算支出方反映，动用基金时在一般公共预算收入方反映。</w:t>
      </w:r>
    </w:p>
    <w:p>
      <w:pPr>
        <w:ind w:firstLine="640"/>
      </w:pPr>
      <w:r>
        <w:rPr>
          <w:rFonts w:hint="eastAsia" w:ascii="方正楷体_GBK" w:hAnsi="方正楷体_GBK" w:eastAsia="方正楷体_GBK" w:cs="方正楷体_GBK"/>
        </w:rPr>
        <w:t>9. 调入资金（调出资金）：</w:t>
      </w:r>
      <w:r>
        <w:rPr>
          <w:rFonts w:hint="eastAsia"/>
        </w:rPr>
        <w:t>指在预算编制过程中，采取将政府性基金预算、国有资本经营预算调入一般公共预算的方式，加大财政资金统筹使用力度。“调入资金”科目在收入方反映，“调出资金”科目在支出方反映。</w:t>
      </w:r>
    </w:p>
    <w:p>
      <w:pPr>
        <w:ind w:firstLine="640"/>
      </w:pPr>
      <w:r>
        <w:rPr>
          <w:rFonts w:hint="eastAsia" w:ascii="方正楷体_GBK" w:hAnsi="方正楷体_GBK" w:eastAsia="方正楷体_GBK" w:cs="方正楷体_GBK"/>
        </w:rPr>
        <w:t>10. 全区与区级：</w:t>
      </w:r>
      <w:r>
        <w:rPr>
          <w:rFonts w:hint="eastAsia"/>
        </w:rPr>
        <w:t xml:space="preserve">《预算法》规定，国家实行一级政府一级预算，设立中央、省（自治区、直辖市）、设区的市（自治州）、县（自治县、不设区的市、市辖区）、乡（镇）五级预算。全区预算由区级预算和镇级预算组成，全区收支总量与区级收支总量的差异体现为镇级应分享收入、镇级上解收入和镇级上年结转。 </w:t>
      </w:r>
    </w:p>
    <w:p>
      <w:pPr>
        <w:ind w:firstLine="640"/>
        <w:rPr>
          <w:rFonts w:hint="eastAsia"/>
        </w:rPr>
      </w:pPr>
      <w:r>
        <w:rPr>
          <w:rFonts w:hint="eastAsia" w:ascii="方正楷体_GBK" w:hAnsi="方正楷体_GBK" w:eastAsia="方正楷体_GBK" w:cs="方正楷体_GBK"/>
        </w:rPr>
        <w:t>1</w:t>
      </w:r>
      <w:r>
        <w:rPr>
          <w:rFonts w:hint="eastAsia" w:ascii="方正楷体_GBK" w:hAnsi="方正楷体_GBK" w:eastAsia="方正楷体_GBK" w:cs="方正楷体_GBK"/>
          <w:lang w:val="en-US" w:eastAsia="zh-CN"/>
        </w:rPr>
        <w:t>1</w:t>
      </w:r>
      <w:r>
        <w:rPr>
          <w:rFonts w:hint="eastAsia" w:ascii="方正楷体_GBK" w:hAnsi="方正楷体_GBK" w:eastAsia="方正楷体_GBK" w:cs="方正楷体_GBK"/>
        </w:rPr>
        <w:t>.“三保”：</w:t>
      </w:r>
      <w:r>
        <w:rPr>
          <w:rFonts w:hint="eastAsia"/>
        </w:rPr>
        <w:t>指保基本民生、保工资和保运转。</w:t>
      </w:r>
    </w:p>
    <w:p>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color w:val="auto"/>
          <w:kern w:val="2"/>
          <w:sz w:val="32"/>
          <w:szCs w:val="32"/>
          <w:lang w:val="en-US" w:eastAsia="zh-CN" w:bidi="ar-SA"/>
        </w:rPr>
        <w:t>12.“三资”：</w:t>
      </w:r>
      <w:r>
        <w:rPr>
          <w:rFonts w:hint="eastAsia" w:ascii="方正仿宋_GBK" w:hAnsi="方正仿宋_GBK" w:eastAsia="方正仿宋_GBK" w:cs="方正仿宋_GBK"/>
          <w:sz w:val="32"/>
          <w:szCs w:val="32"/>
          <w:lang w:val="en-US" w:eastAsia="zh-CN"/>
        </w:rPr>
        <w:t>指资金、资产、资源。</w:t>
      </w:r>
    </w:p>
    <w:p>
      <w:pPr>
        <w:ind w:firstLine="640"/>
      </w:pPr>
      <w:r>
        <w:rPr>
          <w:rFonts w:hint="eastAsia" w:ascii="方正楷体_GBK" w:hAnsi="方正楷体_GBK" w:eastAsia="方正楷体_GBK" w:cs="方正楷体_GBK"/>
        </w:rPr>
        <w:t>1</w:t>
      </w:r>
      <w:r>
        <w:rPr>
          <w:rFonts w:hint="eastAsia" w:ascii="方正楷体_GBK" w:hAnsi="方正楷体_GBK" w:eastAsia="方正楷体_GBK" w:cs="方正楷体_GBK"/>
          <w:lang w:val="en-US" w:eastAsia="zh-CN"/>
        </w:rPr>
        <w:t>3</w:t>
      </w:r>
      <w:r>
        <w:rPr>
          <w:rFonts w:hint="eastAsia" w:ascii="方正楷体_GBK" w:hAnsi="方正楷体_GBK" w:eastAsia="方正楷体_GBK" w:cs="方正楷体_GBK"/>
        </w:rPr>
        <w:t>. 预算管理一体化</w:t>
      </w:r>
      <w:r>
        <w:rPr>
          <w:rFonts w:hint="eastAsia"/>
        </w:rPr>
        <w:t>：指运用信息技术手段，全流程整合预算管理制度，构建现代信息技术条件下“制度+技术”的预算管理一体化系统。</w:t>
      </w:r>
    </w:p>
    <w:p>
      <w:pPr>
        <w:pStyle w:val="2"/>
        <w:ind w:firstLine="640" w:firstLineChars="200"/>
        <w:rPr>
          <w:rFonts w:ascii="方正楷体_GBK" w:hAnsi="方正楷体_GBK" w:eastAsia="方正楷体_GBK" w:cs="方正楷体_GBK"/>
          <w:highlight w:val="none"/>
        </w:rPr>
      </w:pPr>
      <w:r>
        <w:rPr>
          <w:rFonts w:hint="eastAsia" w:ascii="方正楷体_GBK" w:hAnsi="方正楷体_GBK" w:eastAsia="方正楷体_GBK" w:cs="方正楷体_GBK"/>
          <w:color w:val="auto"/>
          <w:kern w:val="2"/>
          <w:sz w:val="32"/>
          <w:szCs w:val="32"/>
          <w:highlight w:val="none"/>
        </w:rPr>
        <w:t>1</w:t>
      </w:r>
      <w:r>
        <w:rPr>
          <w:rFonts w:hint="eastAsia" w:ascii="方正楷体_GBK" w:hAnsi="方正楷体_GBK" w:eastAsia="方正楷体_GBK" w:cs="方正楷体_GBK"/>
          <w:color w:val="auto"/>
          <w:kern w:val="2"/>
          <w:sz w:val="32"/>
          <w:szCs w:val="32"/>
          <w:highlight w:val="none"/>
          <w:lang w:val="en-US" w:eastAsia="zh-CN"/>
        </w:rPr>
        <w:t>4</w:t>
      </w:r>
      <w:r>
        <w:rPr>
          <w:rFonts w:hint="eastAsia" w:ascii="方正楷体_GBK" w:hAnsi="方正楷体_GBK" w:eastAsia="方正楷体_GBK" w:cs="方正楷体_GBK"/>
          <w:color w:val="auto"/>
          <w:kern w:val="2"/>
          <w:sz w:val="32"/>
          <w:szCs w:val="32"/>
          <w:highlight w:val="none"/>
        </w:rPr>
        <w:t>.“3+3+</w:t>
      </w:r>
      <w:r>
        <w:rPr>
          <w:rFonts w:hint="eastAsia" w:ascii="方正仿宋_GBK" w:hAnsi="方正仿宋_GBK" w:eastAsia="方正仿宋_GBK" w:cs="方正仿宋_GBK"/>
          <w:color w:val="auto"/>
          <w:kern w:val="2"/>
          <w:sz w:val="32"/>
          <w:szCs w:val="32"/>
          <w:highlight w:val="none"/>
        </w:rPr>
        <w:t>X</w:t>
      </w:r>
      <w:r>
        <w:rPr>
          <w:rFonts w:hint="eastAsia" w:ascii="方正楷体_GBK" w:hAnsi="方正楷体_GBK" w:eastAsia="方正楷体_GBK" w:cs="方正楷体_GBK"/>
          <w:color w:val="auto"/>
          <w:kern w:val="2"/>
          <w:sz w:val="32"/>
          <w:szCs w:val="32"/>
          <w:highlight w:val="none"/>
        </w:rPr>
        <w:t>”：</w:t>
      </w:r>
      <w:r>
        <w:rPr>
          <w:rFonts w:hint="eastAsia" w:ascii="方正仿宋_GBK" w:hAnsi="方正仿宋_GBK" w:eastAsia="方正仿宋_GBK" w:cs="方正仿宋_GBK"/>
          <w:color w:val="auto"/>
          <w:kern w:val="2"/>
          <w:sz w:val="32"/>
          <w:szCs w:val="32"/>
          <w:highlight w:val="none"/>
        </w:rPr>
        <w:t>指江津区现代制造业产业聚力打造3个主导产业集群、3个特色优势支柱产业集群，以及培育壮大X个“新星”产业集群。</w:t>
      </w:r>
    </w:p>
    <w:p>
      <w:pPr>
        <w:pStyle w:val="2"/>
        <w:ind w:firstLine="640" w:firstLineChars="200"/>
        <w:rPr>
          <w:rFonts w:hint="default" w:ascii="方正楷体_GBK" w:hAnsi="方正楷体_GBK" w:eastAsia="方正楷体_GBK" w:cs="方正楷体_GBK"/>
          <w:color w:val="auto"/>
          <w:kern w:val="2"/>
          <w:sz w:val="32"/>
          <w:szCs w:val="32"/>
          <w:highlight w:val="none"/>
          <w:lang w:val="en-US" w:eastAsia="zh-CN"/>
        </w:rPr>
      </w:pPr>
      <w:r>
        <w:rPr>
          <w:rFonts w:hint="eastAsia" w:ascii="方正楷体_GBK" w:hAnsi="方正楷体_GBK" w:eastAsia="方正楷体_GBK" w:cs="方正楷体_GBK"/>
          <w:color w:val="auto"/>
          <w:kern w:val="2"/>
          <w:sz w:val="32"/>
          <w:szCs w:val="32"/>
          <w:highlight w:val="none"/>
        </w:rPr>
        <w:t>1</w:t>
      </w:r>
      <w:r>
        <w:rPr>
          <w:rFonts w:hint="eastAsia" w:ascii="方正楷体_GBK" w:hAnsi="方正楷体_GBK" w:eastAsia="方正楷体_GBK" w:cs="方正楷体_GBK"/>
          <w:color w:val="auto"/>
          <w:kern w:val="2"/>
          <w:sz w:val="32"/>
          <w:szCs w:val="32"/>
          <w:highlight w:val="none"/>
          <w:lang w:val="en-US" w:eastAsia="zh-CN"/>
        </w:rPr>
        <w:t>5</w:t>
      </w:r>
      <w:r>
        <w:rPr>
          <w:rFonts w:hint="eastAsia" w:ascii="方正楷体_GBK" w:hAnsi="方正楷体_GBK" w:eastAsia="方正楷体_GBK" w:cs="方正楷体_GBK"/>
          <w:color w:val="auto"/>
          <w:kern w:val="2"/>
          <w:sz w:val="32"/>
          <w:szCs w:val="32"/>
          <w:highlight w:val="none"/>
        </w:rPr>
        <w:t>.</w:t>
      </w:r>
      <w:r>
        <w:rPr>
          <w:rFonts w:hint="eastAsia" w:ascii="方正楷体_GBK" w:hAnsi="方正楷体_GBK" w:eastAsia="方正楷体_GBK" w:cs="方正楷体_GBK"/>
          <w:color w:val="auto"/>
          <w:kern w:val="2"/>
          <w:sz w:val="32"/>
          <w:szCs w:val="32"/>
          <w:highlight w:val="none"/>
          <w:lang w:eastAsia="zh-CN"/>
        </w:rPr>
        <w:t>“三攻坚一盘活”：</w:t>
      </w:r>
      <w:r>
        <w:rPr>
          <w:rFonts w:hint="eastAsia" w:ascii="方正仿宋_GBK" w:hAnsi="方正仿宋_GBK" w:eastAsia="方正仿宋_GBK" w:cs="方正仿宋_GBK"/>
          <w:color w:val="auto"/>
          <w:kern w:val="2"/>
          <w:sz w:val="32"/>
          <w:szCs w:val="32"/>
          <w:highlight w:val="none"/>
          <w:lang w:eastAsia="zh-CN"/>
        </w:rPr>
        <w:t>指国企改革、园区开发区改革、政企分离改革攻坚和盘活国有资产。</w:t>
      </w:r>
    </w:p>
    <w:p>
      <w:pPr>
        <w:pStyle w:val="2"/>
        <w:ind w:firstLine="640" w:firstLineChars="200"/>
        <w:rPr>
          <w:rFonts w:ascii="方正楷体_GBK" w:hAnsi="方正楷体_GBK" w:eastAsia="方正楷体_GBK" w:cs="方正楷体_GBK"/>
          <w:color w:val="auto"/>
          <w:kern w:val="2"/>
          <w:sz w:val="32"/>
          <w:szCs w:val="32"/>
          <w:highlight w:val="none"/>
        </w:rPr>
      </w:pPr>
      <w:r>
        <w:rPr>
          <w:rFonts w:hint="eastAsia" w:ascii="方正楷体_GBK" w:hAnsi="方正楷体_GBK" w:eastAsia="方正楷体_GBK" w:cs="方正楷体_GBK"/>
          <w:color w:val="auto"/>
          <w:kern w:val="2"/>
          <w:sz w:val="32"/>
          <w:szCs w:val="32"/>
          <w:highlight w:val="none"/>
          <w:lang w:val="en-US" w:eastAsia="zh-CN"/>
        </w:rPr>
        <w:t>16.</w:t>
      </w:r>
      <w:r>
        <w:rPr>
          <w:rFonts w:hint="eastAsia" w:ascii="方正楷体_GBK" w:hAnsi="方正楷体_GBK" w:eastAsia="方正楷体_GBK" w:cs="方正楷体_GBK"/>
          <w:color w:val="auto"/>
          <w:kern w:val="2"/>
          <w:sz w:val="32"/>
          <w:szCs w:val="32"/>
          <w:highlight w:val="none"/>
        </w:rPr>
        <w:t>“一个不低于、两个只增不减”：</w:t>
      </w:r>
      <w:r>
        <w:rPr>
          <w:rFonts w:hint="eastAsia" w:hAnsi="宋体" w:eastAsia="方正仿宋_GBK"/>
          <w:color w:val="auto"/>
          <w:kern w:val="2"/>
          <w:sz w:val="32"/>
          <w:szCs w:val="32"/>
          <w:highlight w:val="none"/>
        </w:rPr>
        <w:t>保证财政性教育经费支出占地区生产总值的比例一般不低于4%，确保财政一般公共预算教育支出逐年只增不减，确保按在校学生人数平均的一般公共预算教育支出逐年只增不减。</w:t>
      </w:r>
    </w:p>
    <w:p>
      <w:pPr>
        <w:pStyle w:val="2"/>
        <w:ind w:firstLine="640" w:firstLineChars="200"/>
        <w:rPr>
          <w:rFonts w:ascii="方正仿宋_GBK" w:hAnsi="方正仿宋_GBK" w:eastAsia="方正仿宋_GBK" w:cs="方正仿宋_GBK"/>
          <w:highlight w:val="none"/>
        </w:rPr>
      </w:pPr>
      <w:r>
        <w:rPr>
          <w:rFonts w:hint="eastAsia" w:ascii="方正楷体_GBK" w:hAnsi="方正楷体_GBK" w:eastAsia="方正楷体_GBK" w:cs="方正楷体_GBK"/>
          <w:color w:val="auto"/>
          <w:kern w:val="2"/>
          <w:sz w:val="32"/>
          <w:szCs w:val="32"/>
          <w:highlight w:val="none"/>
        </w:rPr>
        <w:t>1</w:t>
      </w:r>
      <w:r>
        <w:rPr>
          <w:rFonts w:hint="eastAsia" w:ascii="方正楷体_GBK" w:hAnsi="方正楷体_GBK" w:eastAsia="方正楷体_GBK" w:cs="方正楷体_GBK"/>
          <w:color w:val="auto"/>
          <w:kern w:val="2"/>
          <w:sz w:val="32"/>
          <w:szCs w:val="32"/>
          <w:highlight w:val="none"/>
          <w:lang w:val="en-US" w:eastAsia="zh-CN"/>
        </w:rPr>
        <w:t>7</w:t>
      </w:r>
      <w:r>
        <w:rPr>
          <w:rFonts w:hint="eastAsia" w:ascii="方正楷体_GBK" w:hAnsi="方正楷体_GBK" w:eastAsia="方正楷体_GBK" w:cs="方正楷体_GBK"/>
          <w:color w:val="auto"/>
          <w:kern w:val="2"/>
          <w:sz w:val="32"/>
          <w:szCs w:val="32"/>
          <w:highlight w:val="none"/>
        </w:rPr>
        <w:t>.“十大行动”：</w:t>
      </w:r>
      <w:r>
        <w:rPr>
          <w:rFonts w:hint="eastAsia" w:ascii="方正仿宋_GBK" w:hAnsi="方正仿宋_GBK" w:eastAsia="方正仿宋_GBK" w:cs="方正仿宋_GBK"/>
          <w:color w:val="auto"/>
          <w:kern w:val="2"/>
          <w:sz w:val="32"/>
          <w:szCs w:val="32"/>
          <w:highlight w:val="none"/>
        </w:rPr>
        <w:t>指江津区深化城乡融合发展改革提出的十个方面的工作行动举措。</w:t>
      </w:r>
    </w:p>
    <w:p>
      <w:pPr>
        <w:ind w:firstLine="640"/>
        <w:rPr>
          <w:rFonts w:hint="default" w:eastAsia="方正仿宋_GBK"/>
          <w:highlight w:val="none"/>
          <w:lang w:val="en-US" w:eastAsia="zh-CN"/>
        </w:rPr>
      </w:pPr>
      <w:r>
        <w:rPr>
          <w:rFonts w:hint="eastAsia" w:ascii="方正楷体_GBK" w:hAnsi="方正楷体_GBK" w:eastAsia="方正楷体_GBK" w:cs="方正楷体_GBK"/>
          <w:color w:val="auto"/>
          <w:kern w:val="2"/>
          <w:sz w:val="32"/>
          <w:szCs w:val="32"/>
          <w:highlight w:val="none"/>
          <w:lang w:val="en-US" w:eastAsia="zh-CN" w:bidi="ar-SA"/>
        </w:rPr>
        <w:t>18.“631”工作机制：</w:t>
      </w:r>
      <w:r>
        <w:rPr>
          <w:rFonts w:hint="eastAsia" w:ascii="方正仿宋_GBK" w:hAnsi="方正仿宋_GBK" w:eastAsia="方正仿宋_GBK" w:cs="方正仿宋_GBK"/>
          <w:color w:val="auto"/>
          <w:kern w:val="2"/>
          <w:sz w:val="32"/>
          <w:szCs w:val="32"/>
          <w:highlight w:val="none"/>
          <w:lang w:val="en-US" w:eastAsia="zh-CN" w:bidi="ar-SA"/>
        </w:rPr>
        <w:t>指提前6个月制定到期还款计划，提前3个月落实资金来源，提前1个</w:t>
      </w:r>
      <w:r>
        <w:rPr>
          <w:rFonts w:hint="eastAsia"/>
          <w:highlight w:val="none"/>
          <w:lang w:val="en-US" w:eastAsia="zh-CN"/>
        </w:rPr>
        <w:t>月账上备足偿债资金，确保到期债务及时足额兑付。</w:t>
      </w: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国标黑体">
    <w:altName w:val="方正黑体_GBK"/>
    <w:panose1 w:val="00000000000000000000"/>
    <w:charset w:val="86"/>
    <w:family w:val="auto"/>
    <w:pitch w:val="default"/>
    <w:sig w:usb0="00000000" w:usb1="00000000" w:usb2="00000000" w:usb3="00000000" w:csb0="00060007" w:csb1="00000000"/>
  </w:font>
  <w:font w:name="Helvetica">
    <w:altName w:val="Noto Naskh Arabic"/>
    <w:panose1 w:val="020B0504020202030204"/>
    <w:charset w:val="00"/>
    <w:family w:val="swiss"/>
    <w:pitch w:val="default"/>
    <w:sig w:usb0="00000000" w:usb1="00000000" w:usb2="00000000" w:usb3="00000000" w:csb0="00000093" w:csb1="00000000"/>
  </w:font>
  <w:font w:name="Noto Naskh Arabic">
    <w:panose1 w:val="020B0502040504020204"/>
    <w:charset w:val="00"/>
    <w:family w:val="auto"/>
    <w:pitch w:val="default"/>
    <w:sig w:usb0="80002003" w:usb1="80002000" w:usb2="00000008" w:usb3="00000000" w:csb0="00000041" w:csb1="00080000"/>
  </w:font>
  <w:font w:name="微软雅黑">
    <w:altName w:val="方正黑体_GBK"/>
    <w:panose1 w:val="020B0503020204020204"/>
    <w:charset w:val="86"/>
    <w:family w:val="swiss"/>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rPr>
        <w:rFonts w:ascii="Calibri" w:hAnsi="Calibri" w:eastAsia="宋体" w:cs="Times New Roman"/>
        <w:sz w:val="18"/>
        <w:szCs w:val="22"/>
      </w:rPr>
    </w:pPr>
    <w:r>
      <w:rPr>
        <w:rFonts w:ascii="Calibri" w:hAnsi="Calibri" w:eastAsia="宋体" w:cs="Times New Roman"/>
        <w:sz w:val="18"/>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ind w:firstLine="480"/>
                            <w:rPr>
                              <w:rFonts w:eastAsia="宋体"/>
                              <w:sz w:val="28"/>
                              <w:szCs w:val="28"/>
                            </w:rPr>
                          </w:pPr>
                          <w:r>
                            <w:rPr>
                              <w:rFonts w:hint="eastAsia" w:eastAsia="宋体"/>
                              <w:sz w:val="24"/>
                              <w:szCs w:val="24"/>
                            </w:rPr>
                            <w:fldChar w:fldCharType="begin"/>
                          </w:r>
                          <w:r>
                            <w:rPr>
                              <w:rFonts w:hint="eastAsia" w:eastAsia="宋体"/>
                              <w:sz w:val="24"/>
                              <w:szCs w:val="24"/>
                            </w:rPr>
                            <w:instrText xml:space="preserve"> PAGE  \* MERGEFORMAT </w:instrText>
                          </w:r>
                          <w:r>
                            <w:rPr>
                              <w:rFonts w:hint="eastAsia" w:eastAsia="宋体"/>
                              <w:sz w:val="24"/>
                              <w:szCs w:val="24"/>
                            </w:rPr>
                            <w:fldChar w:fldCharType="separate"/>
                          </w:r>
                          <w:r>
                            <w:rPr>
                              <w:rFonts w:eastAsia="宋体"/>
                              <w:sz w:val="24"/>
                              <w:szCs w:val="24"/>
                            </w:rPr>
                            <w:t>- 12 -</w:t>
                          </w:r>
                          <w:r>
                            <w:rPr>
                              <w:rFonts w:hint="eastAsia" w:eastAsia="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tabs>
                        <w:tab w:val="center" w:pos="4153"/>
                        <w:tab w:val="right" w:pos="8306"/>
                      </w:tabs>
                      <w:snapToGrid w:val="0"/>
                      <w:ind w:firstLine="480"/>
                      <w:rPr>
                        <w:rFonts w:eastAsia="宋体"/>
                        <w:sz w:val="28"/>
                        <w:szCs w:val="28"/>
                      </w:rPr>
                    </w:pPr>
                    <w:r>
                      <w:rPr>
                        <w:rFonts w:hint="eastAsia" w:eastAsia="宋体"/>
                        <w:sz w:val="24"/>
                        <w:szCs w:val="24"/>
                      </w:rPr>
                      <w:fldChar w:fldCharType="begin"/>
                    </w:r>
                    <w:r>
                      <w:rPr>
                        <w:rFonts w:hint="eastAsia" w:eastAsia="宋体"/>
                        <w:sz w:val="24"/>
                        <w:szCs w:val="24"/>
                      </w:rPr>
                      <w:instrText xml:space="preserve"> PAGE  \* MERGEFORMAT </w:instrText>
                    </w:r>
                    <w:r>
                      <w:rPr>
                        <w:rFonts w:hint="eastAsia" w:eastAsia="宋体"/>
                        <w:sz w:val="24"/>
                        <w:szCs w:val="24"/>
                      </w:rPr>
                      <w:fldChar w:fldCharType="separate"/>
                    </w:r>
                    <w:r>
                      <w:rPr>
                        <w:rFonts w:eastAsia="宋体"/>
                        <w:sz w:val="24"/>
                        <w:szCs w:val="24"/>
                      </w:rPr>
                      <w:t>- 12 -</w:t>
                    </w:r>
                    <w:r>
                      <w:rPr>
                        <w:rFonts w:hint="eastAsia" w:eastAsia="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D5274"/>
    <w:multiLevelType w:val="multilevel"/>
    <w:tmpl w:val="C7ED5274"/>
    <w:lvl w:ilvl="0" w:tentative="0">
      <w:start w:val="2"/>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7D56F9EC"/>
    <w:multiLevelType w:val="singleLevel"/>
    <w:tmpl w:val="7D56F9E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MjAwOWNmMTJmYmNjNzMxMDhjMjNkNDdmMjdiNzYifQ=="/>
    <w:docVar w:name="KSO_WPS_MARK_KEY" w:val="abb9e9a7-ac00-4a67-bef3-e272a0037205"/>
  </w:docVars>
  <w:rsids>
    <w:rsidRoot w:val="612D3879"/>
    <w:rsid w:val="00705565"/>
    <w:rsid w:val="007E3E8D"/>
    <w:rsid w:val="008D7F37"/>
    <w:rsid w:val="00B622EE"/>
    <w:rsid w:val="00BF53C8"/>
    <w:rsid w:val="00DC5DC5"/>
    <w:rsid w:val="00E23716"/>
    <w:rsid w:val="01510A39"/>
    <w:rsid w:val="019422A6"/>
    <w:rsid w:val="01FE504C"/>
    <w:rsid w:val="02290C40"/>
    <w:rsid w:val="02AC03A1"/>
    <w:rsid w:val="02F23728"/>
    <w:rsid w:val="035458F0"/>
    <w:rsid w:val="0397679F"/>
    <w:rsid w:val="03DD0666"/>
    <w:rsid w:val="03F91677"/>
    <w:rsid w:val="04001E75"/>
    <w:rsid w:val="0449796B"/>
    <w:rsid w:val="05E8149F"/>
    <w:rsid w:val="07B037CB"/>
    <w:rsid w:val="07B855BF"/>
    <w:rsid w:val="07C2323A"/>
    <w:rsid w:val="07C503C2"/>
    <w:rsid w:val="07D64E78"/>
    <w:rsid w:val="080A61F6"/>
    <w:rsid w:val="083420ED"/>
    <w:rsid w:val="08855C79"/>
    <w:rsid w:val="08C14E1F"/>
    <w:rsid w:val="08D540B2"/>
    <w:rsid w:val="08EE6B39"/>
    <w:rsid w:val="0935436E"/>
    <w:rsid w:val="09614D9F"/>
    <w:rsid w:val="09DC2DB3"/>
    <w:rsid w:val="0A0C3321"/>
    <w:rsid w:val="0A5C5D88"/>
    <w:rsid w:val="0B055E78"/>
    <w:rsid w:val="0B1161A0"/>
    <w:rsid w:val="0BBF5DE4"/>
    <w:rsid w:val="0BC84D89"/>
    <w:rsid w:val="0C294ACB"/>
    <w:rsid w:val="0CC76E4E"/>
    <w:rsid w:val="0D0429D6"/>
    <w:rsid w:val="0D4E1EA3"/>
    <w:rsid w:val="0DB94EE4"/>
    <w:rsid w:val="0DBA3E77"/>
    <w:rsid w:val="0DED0AD6"/>
    <w:rsid w:val="0DFF531D"/>
    <w:rsid w:val="0E501EF3"/>
    <w:rsid w:val="0EAB6491"/>
    <w:rsid w:val="0F8676D2"/>
    <w:rsid w:val="0FAC300F"/>
    <w:rsid w:val="0FBD5ADA"/>
    <w:rsid w:val="0FF30567"/>
    <w:rsid w:val="0FFFD02D"/>
    <w:rsid w:val="107803D6"/>
    <w:rsid w:val="10AA73F0"/>
    <w:rsid w:val="113C4E6E"/>
    <w:rsid w:val="115B522F"/>
    <w:rsid w:val="117937AD"/>
    <w:rsid w:val="11AE1162"/>
    <w:rsid w:val="11D93C4C"/>
    <w:rsid w:val="11DD7FC0"/>
    <w:rsid w:val="11F028BF"/>
    <w:rsid w:val="11FD6908"/>
    <w:rsid w:val="120347C9"/>
    <w:rsid w:val="121439BD"/>
    <w:rsid w:val="124A2EBE"/>
    <w:rsid w:val="124E024F"/>
    <w:rsid w:val="126E269F"/>
    <w:rsid w:val="129F0334"/>
    <w:rsid w:val="131C599B"/>
    <w:rsid w:val="132A707B"/>
    <w:rsid w:val="1332640C"/>
    <w:rsid w:val="13E434C1"/>
    <w:rsid w:val="13F6720C"/>
    <w:rsid w:val="14675EDC"/>
    <w:rsid w:val="148D505F"/>
    <w:rsid w:val="14A645E1"/>
    <w:rsid w:val="15147FB2"/>
    <w:rsid w:val="15EB45ED"/>
    <w:rsid w:val="15F717B5"/>
    <w:rsid w:val="16762FF3"/>
    <w:rsid w:val="177F5721"/>
    <w:rsid w:val="17AF07BB"/>
    <w:rsid w:val="17BB70C7"/>
    <w:rsid w:val="17BF809B"/>
    <w:rsid w:val="17EF1674"/>
    <w:rsid w:val="17F17C74"/>
    <w:rsid w:val="17F56CFE"/>
    <w:rsid w:val="1867512E"/>
    <w:rsid w:val="1A026843"/>
    <w:rsid w:val="1A473C1D"/>
    <w:rsid w:val="1AD523EB"/>
    <w:rsid w:val="1B2F4288"/>
    <w:rsid w:val="1B7A6169"/>
    <w:rsid w:val="1BB78855"/>
    <w:rsid w:val="1BDB3693"/>
    <w:rsid w:val="1CA218C3"/>
    <w:rsid w:val="1CB04006"/>
    <w:rsid w:val="1CB4286C"/>
    <w:rsid w:val="1D1207F7"/>
    <w:rsid w:val="1D4F2FC4"/>
    <w:rsid w:val="1DC17096"/>
    <w:rsid w:val="1DCB6BF8"/>
    <w:rsid w:val="1DCD6280"/>
    <w:rsid w:val="1EBB7CA2"/>
    <w:rsid w:val="1EDD5144"/>
    <w:rsid w:val="1F196EAC"/>
    <w:rsid w:val="1F3B2E64"/>
    <w:rsid w:val="1F5E41C7"/>
    <w:rsid w:val="1F705CA9"/>
    <w:rsid w:val="1FEF4955"/>
    <w:rsid w:val="1FFFBC8E"/>
    <w:rsid w:val="2010127E"/>
    <w:rsid w:val="20387439"/>
    <w:rsid w:val="2043469B"/>
    <w:rsid w:val="208374CD"/>
    <w:rsid w:val="21DF213E"/>
    <w:rsid w:val="220C7349"/>
    <w:rsid w:val="22FD73E6"/>
    <w:rsid w:val="23694EE9"/>
    <w:rsid w:val="237FD77F"/>
    <w:rsid w:val="23845F13"/>
    <w:rsid w:val="238504CB"/>
    <w:rsid w:val="23D12B20"/>
    <w:rsid w:val="23DBCB5A"/>
    <w:rsid w:val="24062738"/>
    <w:rsid w:val="247839D9"/>
    <w:rsid w:val="248E4666"/>
    <w:rsid w:val="24F1695E"/>
    <w:rsid w:val="25207829"/>
    <w:rsid w:val="25D78446"/>
    <w:rsid w:val="262D66A1"/>
    <w:rsid w:val="26DBD577"/>
    <w:rsid w:val="26FEC4C6"/>
    <w:rsid w:val="273465D4"/>
    <w:rsid w:val="27B32BD6"/>
    <w:rsid w:val="27FFEF79"/>
    <w:rsid w:val="28165954"/>
    <w:rsid w:val="28AC7977"/>
    <w:rsid w:val="28DC5218"/>
    <w:rsid w:val="29FA09FC"/>
    <w:rsid w:val="2A1A0CEB"/>
    <w:rsid w:val="2B253234"/>
    <w:rsid w:val="2B8052F9"/>
    <w:rsid w:val="2B807273"/>
    <w:rsid w:val="2BD96CA5"/>
    <w:rsid w:val="2C6B1A41"/>
    <w:rsid w:val="2CEF823A"/>
    <w:rsid w:val="2D201221"/>
    <w:rsid w:val="2DB703A6"/>
    <w:rsid w:val="2DE7F165"/>
    <w:rsid w:val="2DF65FA7"/>
    <w:rsid w:val="2DFE5850"/>
    <w:rsid w:val="2E057F04"/>
    <w:rsid w:val="2E7B01DB"/>
    <w:rsid w:val="2EFD03C7"/>
    <w:rsid w:val="2F3B5776"/>
    <w:rsid w:val="2F932627"/>
    <w:rsid w:val="2FBF7572"/>
    <w:rsid w:val="2FD914E4"/>
    <w:rsid w:val="2FF31F19"/>
    <w:rsid w:val="2FFD233C"/>
    <w:rsid w:val="30F93D50"/>
    <w:rsid w:val="3159659D"/>
    <w:rsid w:val="317FAC7D"/>
    <w:rsid w:val="31F5C8DF"/>
    <w:rsid w:val="32076A3D"/>
    <w:rsid w:val="322841C1"/>
    <w:rsid w:val="323E597C"/>
    <w:rsid w:val="3258531C"/>
    <w:rsid w:val="326A3527"/>
    <w:rsid w:val="327A2C6E"/>
    <w:rsid w:val="32E3364C"/>
    <w:rsid w:val="333169C9"/>
    <w:rsid w:val="3381002D"/>
    <w:rsid w:val="33B3108D"/>
    <w:rsid w:val="33B757FC"/>
    <w:rsid w:val="33BF72AD"/>
    <w:rsid w:val="33DD1A91"/>
    <w:rsid w:val="33F1CDF8"/>
    <w:rsid w:val="33F5A9B6"/>
    <w:rsid w:val="33F6267C"/>
    <w:rsid w:val="34425A0E"/>
    <w:rsid w:val="344A717E"/>
    <w:rsid w:val="34B81A9F"/>
    <w:rsid w:val="34DD5737"/>
    <w:rsid w:val="3581655E"/>
    <w:rsid w:val="35B9F813"/>
    <w:rsid w:val="36595D78"/>
    <w:rsid w:val="36FE8992"/>
    <w:rsid w:val="374D8FD3"/>
    <w:rsid w:val="375F548A"/>
    <w:rsid w:val="37773C20"/>
    <w:rsid w:val="37B5A3E5"/>
    <w:rsid w:val="37FD256D"/>
    <w:rsid w:val="37FEA16F"/>
    <w:rsid w:val="387E06CB"/>
    <w:rsid w:val="38986833"/>
    <w:rsid w:val="38E50974"/>
    <w:rsid w:val="39557846"/>
    <w:rsid w:val="398447B5"/>
    <w:rsid w:val="39A6259B"/>
    <w:rsid w:val="39BAAC35"/>
    <w:rsid w:val="39C76603"/>
    <w:rsid w:val="39D013C6"/>
    <w:rsid w:val="39D067CB"/>
    <w:rsid w:val="39EF0747"/>
    <w:rsid w:val="39FF5D34"/>
    <w:rsid w:val="3A233369"/>
    <w:rsid w:val="3A8D5509"/>
    <w:rsid w:val="3AAD25D3"/>
    <w:rsid w:val="3B04485A"/>
    <w:rsid w:val="3B345984"/>
    <w:rsid w:val="3B7A0031"/>
    <w:rsid w:val="3B8D6680"/>
    <w:rsid w:val="3B97AFB0"/>
    <w:rsid w:val="3BEF5D79"/>
    <w:rsid w:val="3BF4B1F1"/>
    <w:rsid w:val="3BFFEF58"/>
    <w:rsid w:val="3C4E2A76"/>
    <w:rsid w:val="3C574020"/>
    <w:rsid w:val="3C830972"/>
    <w:rsid w:val="3CED1F6D"/>
    <w:rsid w:val="3CFF4BE9"/>
    <w:rsid w:val="3D776B2B"/>
    <w:rsid w:val="3D7C9F32"/>
    <w:rsid w:val="3D9F75CB"/>
    <w:rsid w:val="3DB1F1ED"/>
    <w:rsid w:val="3DD7A03B"/>
    <w:rsid w:val="3DE419D3"/>
    <w:rsid w:val="3DE796D3"/>
    <w:rsid w:val="3DFD8742"/>
    <w:rsid w:val="3DFFC8A1"/>
    <w:rsid w:val="3E9AF7DE"/>
    <w:rsid w:val="3EBD7A0F"/>
    <w:rsid w:val="3EDB0837"/>
    <w:rsid w:val="3F226562"/>
    <w:rsid w:val="3F2AD43D"/>
    <w:rsid w:val="3F3B3785"/>
    <w:rsid w:val="3F4413CD"/>
    <w:rsid w:val="3F6DB9F7"/>
    <w:rsid w:val="3F77E018"/>
    <w:rsid w:val="3FDAAB4A"/>
    <w:rsid w:val="3FDC6BBE"/>
    <w:rsid w:val="3FDF4042"/>
    <w:rsid w:val="3FDF7869"/>
    <w:rsid w:val="3FE75198"/>
    <w:rsid w:val="3FE9B461"/>
    <w:rsid w:val="3FEE1274"/>
    <w:rsid w:val="3FEF85FD"/>
    <w:rsid w:val="3FFB2602"/>
    <w:rsid w:val="3FFFF69D"/>
    <w:rsid w:val="3FFFFA33"/>
    <w:rsid w:val="400336B4"/>
    <w:rsid w:val="409475F1"/>
    <w:rsid w:val="40CC53F7"/>
    <w:rsid w:val="41E625EB"/>
    <w:rsid w:val="4242307D"/>
    <w:rsid w:val="425B7C9B"/>
    <w:rsid w:val="433BA2E3"/>
    <w:rsid w:val="438374A9"/>
    <w:rsid w:val="43C478E2"/>
    <w:rsid w:val="43D61CCF"/>
    <w:rsid w:val="44033712"/>
    <w:rsid w:val="45656494"/>
    <w:rsid w:val="465402FF"/>
    <w:rsid w:val="46C9567E"/>
    <w:rsid w:val="46FA2178"/>
    <w:rsid w:val="473634AC"/>
    <w:rsid w:val="476111BC"/>
    <w:rsid w:val="47A949C9"/>
    <w:rsid w:val="47AA3B48"/>
    <w:rsid w:val="47BB2788"/>
    <w:rsid w:val="48DE2D62"/>
    <w:rsid w:val="48F21359"/>
    <w:rsid w:val="48F25723"/>
    <w:rsid w:val="49555E24"/>
    <w:rsid w:val="496653C9"/>
    <w:rsid w:val="497CEF28"/>
    <w:rsid w:val="49DD88AA"/>
    <w:rsid w:val="4A487AF9"/>
    <w:rsid w:val="4A8E50B1"/>
    <w:rsid w:val="4AFEC6D9"/>
    <w:rsid w:val="4B325CE7"/>
    <w:rsid w:val="4B5E3BD7"/>
    <w:rsid w:val="4B7818BD"/>
    <w:rsid w:val="4B9761E7"/>
    <w:rsid w:val="4BCE4F7C"/>
    <w:rsid w:val="4BDD1691"/>
    <w:rsid w:val="4BDF3421"/>
    <w:rsid w:val="4C8E00EE"/>
    <w:rsid w:val="4D5C5867"/>
    <w:rsid w:val="4DC849E1"/>
    <w:rsid w:val="4DDEEE85"/>
    <w:rsid w:val="4DFD0E86"/>
    <w:rsid w:val="4E0B1E74"/>
    <w:rsid w:val="4E191136"/>
    <w:rsid w:val="4E4B5067"/>
    <w:rsid w:val="4E9609D8"/>
    <w:rsid w:val="4EE9B60A"/>
    <w:rsid w:val="4F471B69"/>
    <w:rsid w:val="4F4A531F"/>
    <w:rsid w:val="4F61A758"/>
    <w:rsid w:val="4F7A3E56"/>
    <w:rsid w:val="4FA66835"/>
    <w:rsid w:val="4FAF8E62"/>
    <w:rsid w:val="4FB2066C"/>
    <w:rsid w:val="4FBC0B40"/>
    <w:rsid w:val="4FCB5C8E"/>
    <w:rsid w:val="4FD6BDD3"/>
    <w:rsid w:val="4FDFDBCC"/>
    <w:rsid w:val="4FEA26CC"/>
    <w:rsid w:val="50100191"/>
    <w:rsid w:val="50A11AE9"/>
    <w:rsid w:val="50D2381E"/>
    <w:rsid w:val="50D61560"/>
    <w:rsid w:val="51200A2D"/>
    <w:rsid w:val="5174353C"/>
    <w:rsid w:val="5197DA2C"/>
    <w:rsid w:val="51AFB4D8"/>
    <w:rsid w:val="51DF41C9"/>
    <w:rsid w:val="51E33AD4"/>
    <w:rsid w:val="51EA2F73"/>
    <w:rsid w:val="51EA53E9"/>
    <w:rsid w:val="525550F3"/>
    <w:rsid w:val="53161711"/>
    <w:rsid w:val="53191BD8"/>
    <w:rsid w:val="533E0849"/>
    <w:rsid w:val="53595D98"/>
    <w:rsid w:val="53636E85"/>
    <w:rsid w:val="53DBB465"/>
    <w:rsid w:val="54F10841"/>
    <w:rsid w:val="55DBB613"/>
    <w:rsid w:val="55E770E1"/>
    <w:rsid w:val="55EC2C79"/>
    <w:rsid w:val="55FBB21F"/>
    <w:rsid w:val="567C4958"/>
    <w:rsid w:val="56A93273"/>
    <w:rsid w:val="56AE603E"/>
    <w:rsid w:val="570232EE"/>
    <w:rsid w:val="57AD6145"/>
    <w:rsid w:val="57B7D6E3"/>
    <w:rsid w:val="57BC4444"/>
    <w:rsid w:val="57DF7A94"/>
    <w:rsid w:val="58271B39"/>
    <w:rsid w:val="58BD4DB3"/>
    <w:rsid w:val="58E80D86"/>
    <w:rsid w:val="58FB9FB7"/>
    <w:rsid w:val="59470FA6"/>
    <w:rsid w:val="59AB3FF2"/>
    <w:rsid w:val="59BAD228"/>
    <w:rsid w:val="59BE701D"/>
    <w:rsid w:val="59C7413C"/>
    <w:rsid w:val="59EE4D80"/>
    <w:rsid w:val="59F97F19"/>
    <w:rsid w:val="5A7A11AE"/>
    <w:rsid w:val="5AA546AB"/>
    <w:rsid w:val="5B01367D"/>
    <w:rsid w:val="5B35C11D"/>
    <w:rsid w:val="5B643901"/>
    <w:rsid w:val="5B77A453"/>
    <w:rsid w:val="5B9F691C"/>
    <w:rsid w:val="5BBF754A"/>
    <w:rsid w:val="5BDE8947"/>
    <w:rsid w:val="5BE3031F"/>
    <w:rsid w:val="5BE82BF2"/>
    <w:rsid w:val="5BF72C27"/>
    <w:rsid w:val="5C1949AC"/>
    <w:rsid w:val="5C8D7A57"/>
    <w:rsid w:val="5C8FD9CB"/>
    <w:rsid w:val="5CB7C644"/>
    <w:rsid w:val="5CF32A08"/>
    <w:rsid w:val="5CFC2373"/>
    <w:rsid w:val="5D065408"/>
    <w:rsid w:val="5D3F4F33"/>
    <w:rsid w:val="5D7A46B5"/>
    <w:rsid w:val="5D942537"/>
    <w:rsid w:val="5D9B6EDC"/>
    <w:rsid w:val="5DF653DA"/>
    <w:rsid w:val="5DFA24EC"/>
    <w:rsid w:val="5DFA6563"/>
    <w:rsid w:val="5DFE068A"/>
    <w:rsid w:val="5DFF79AA"/>
    <w:rsid w:val="5DFFDECE"/>
    <w:rsid w:val="5E115A20"/>
    <w:rsid w:val="5E236950"/>
    <w:rsid w:val="5E7A669F"/>
    <w:rsid w:val="5E7F2126"/>
    <w:rsid w:val="5EAB402C"/>
    <w:rsid w:val="5EB4BB7C"/>
    <w:rsid w:val="5ECA54FA"/>
    <w:rsid w:val="5F1E2F79"/>
    <w:rsid w:val="5F6762F8"/>
    <w:rsid w:val="5F6F9B2C"/>
    <w:rsid w:val="5F7F6277"/>
    <w:rsid w:val="5F8EDCA7"/>
    <w:rsid w:val="5FAF7422"/>
    <w:rsid w:val="5FAFE563"/>
    <w:rsid w:val="5FBFF377"/>
    <w:rsid w:val="5FCBF0DE"/>
    <w:rsid w:val="5FCD2348"/>
    <w:rsid w:val="5FD3D5D3"/>
    <w:rsid w:val="5FDFAC88"/>
    <w:rsid w:val="5FE62D73"/>
    <w:rsid w:val="5FE6A76E"/>
    <w:rsid w:val="5FF773C3"/>
    <w:rsid w:val="5FF78C68"/>
    <w:rsid w:val="5FFE03F2"/>
    <w:rsid w:val="5FFE6488"/>
    <w:rsid w:val="5FFF15FB"/>
    <w:rsid w:val="601C2C34"/>
    <w:rsid w:val="60530610"/>
    <w:rsid w:val="607448F1"/>
    <w:rsid w:val="60E84ADF"/>
    <w:rsid w:val="612D3879"/>
    <w:rsid w:val="61FA1427"/>
    <w:rsid w:val="62255EA3"/>
    <w:rsid w:val="63116BC9"/>
    <w:rsid w:val="63DC6A36"/>
    <w:rsid w:val="63FB0D49"/>
    <w:rsid w:val="64067EA7"/>
    <w:rsid w:val="647D0A34"/>
    <w:rsid w:val="64A21A2D"/>
    <w:rsid w:val="64D24668"/>
    <w:rsid w:val="64F7EBDB"/>
    <w:rsid w:val="65733C50"/>
    <w:rsid w:val="65AF45CC"/>
    <w:rsid w:val="65B5B9FB"/>
    <w:rsid w:val="663E0BF4"/>
    <w:rsid w:val="66501015"/>
    <w:rsid w:val="66F9FA52"/>
    <w:rsid w:val="670E037F"/>
    <w:rsid w:val="67360257"/>
    <w:rsid w:val="675F24A4"/>
    <w:rsid w:val="67AF0E2F"/>
    <w:rsid w:val="67CC0C67"/>
    <w:rsid w:val="67D764D6"/>
    <w:rsid w:val="67DF4D46"/>
    <w:rsid w:val="67F740F6"/>
    <w:rsid w:val="67FDBE23"/>
    <w:rsid w:val="680E7CB9"/>
    <w:rsid w:val="684B68EC"/>
    <w:rsid w:val="685C2C00"/>
    <w:rsid w:val="68FD47DA"/>
    <w:rsid w:val="69146461"/>
    <w:rsid w:val="693C73F8"/>
    <w:rsid w:val="694201C1"/>
    <w:rsid w:val="69573131"/>
    <w:rsid w:val="69FF0613"/>
    <w:rsid w:val="6A5443E0"/>
    <w:rsid w:val="6A7007DE"/>
    <w:rsid w:val="6A7F636D"/>
    <w:rsid w:val="6AA01C8E"/>
    <w:rsid w:val="6AB6353E"/>
    <w:rsid w:val="6BF95039"/>
    <w:rsid w:val="6BFD1E82"/>
    <w:rsid w:val="6BFFEF94"/>
    <w:rsid w:val="6C03132C"/>
    <w:rsid w:val="6D3B2A1F"/>
    <w:rsid w:val="6DC32451"/>
    <w:rsid w:val="6DFE7B2D"/>
    <w:rsid w:val="6E3B9AC9"/>
    <w:rsid w:val="6E5D31FB"/>
    <w:rsid w:val="6E753704"/>
    <w:rsid w:val="6EDF8612"/>
    <w:rsid w:val="6EEB3FD1"/>
    <w:rsid w:val="6EFF9642"/>
    <w:rsid w:val="6F0155A2"/>
    <w:rsid w:val="6F35524C"/>
    <w:rsid w:val="6F3C60AB"/>
    <w:rsid w:val="6F6FDFA5"/>
    <w:rsid w:val="6F7FE0A2"/>
    <w:rsid w:val="6F9B4C2C"/>
    <w:rsid w:val="6F9E1AED"/>
    <w:rsid w:val="6FBE627E"/>
    <w:rsid w:val="6FC76C84"/>
    <w:rsid w:val="6FD12CA8"/>
    <w:rsid w:val="6FF4AB3D"/>
    <w:rsid w:val="6FFA1860"/>
    <w:rsid w:val="6FFD215F"/>
    <w:rsid w:val="6FFFD66A"/>
    <w:rsid w:val="707D334E"/>
    <w:rsid w:val="709456EF"/>
    <w:rsid w:val="70BE46AA"/>
    <w:rsid w:val="70FC0717"/>
    <w:rsid w:val="714C50EC"/>
    <w:rsid w:val="715B18C8"/>
    <w:rsid w:val="71D64AC4"/>
    <w:rsid w:val="71DB3D9C"/>
    <w:rsid w:val="71EC3F7E"/>
    <w:rsid w:val="72030792"/>
    <w:rsid w:val="72410D78"/>
    <w:rsid w:val="728B745A"/>
    <w:rsid w:val="72AF3D57"/>
    <w:rsid w:val="72EB3DB7"/>
    <w:rsid w:val="737C2993"/>
    <w:rsid w:val="737FF602"/>
    <w:rsid w:val="73B702D9"/>
    <w:rsid w:val="73F7572A"/>
    <w:rsid w:val="73FCDD98"/>
    <w:rsid w:val="73FF7310"/>
    <w:rsid w:val="73FFD621"/>
    <w:rsid w:val="742D385E"/>
    <w:rsid w:val="747F1623"/>
    <w:rsid w:val="74E05F61"/>
    <w:rsid w:val="74E34E50"/>
    <w:rsid w:val="74FC0CE6"/>
    <w:rsid w:val="754F02AE"/>
    <w:rsid w:val="7587C5A9"/>
    <w:rsid w:val="75BF50D8"/>
    <w:rsid w:val="75F29EAF"/>
    <w:rsid w:val="762C33B9"/>
    <w:rsid w:val="763032D5"/>
    <w:rsid w:val="766D79C1"/>
    <w:rsid w:val="76C76C8E"/>
    <w:rsid w:val="76E73A9A"/>
    <w:rsid w:val="76ED5297"/>
    <w:rsid w:val="76FF3EF5"/>
    <w:rsid w:val="770777F4"/>
    <w:rsid w:val="772F6E66"/>
    <w:rsid w:val="773DD319"/>
    <w:rsid w:val="773FAC22"/>
    <w:rsid w:val="773FB1B7"/>
    <w:rsid w:val="775D9F8E"/>
    <w:rsid w:val="7779C16F"/>
    <w:rsid w:val="777B2C99"/>
    <w:rsid w:val="77BBBBD5"/>
    <w:rsid w:val="77BBD1A3"/>
    <w:rsid w:val="77BF5649"/>
    <w:rsid w:val="77BF9F24"/>
    <w:rsid w:val="77DD15E6"/>
    <w:rsid w:val="77DF7761"/>
    <w:rsid w:val="77DF8CD6"/>
    <w:rsid w:val="77E5443B"/>
    <w:rsid w:val="77EB6DF0"/>
    <w:rsid w:val="77FA4A9D"/>
    <w:rsid w:val="77FF94FE"/>
    <w:rsid w:val="77FFF205"/>
    <w:rsid w:val="78454752"/>
    <w:rsid w:val="787A8CEE"/>
    <w:rsid w:val="78FE8D75"/>
    <w:rsid w:val="79061F6E"/>
    <w:rsid w:val="7916634D"/>
    <w:rsid w:val="792F63A5"/>
    <w:rsid w:val="79394F98"/>
    <w:rsid w:val="79415915"/>
    <w:rsid w:val="7946639A"/>
    <w:rsid w:val="79658633"/>
    <w:rsid w:val="796B643A"/>
    <w:rsid w:val="79C1605A"/>
    <w:rsid w:val="79C2188C"/>
    <w:rsid w:val="79D7D6E8"/>
    <w:rsid w:val="79DFBEF9"/>
    <w:rsid w:val="79EFB8CD"/>
    <w:rsid w:val="79F74A35"/>
    <w:rsid w:val="7A010B4C"/>
    <w:rsid w:val="7A213A11"/>
    <w:rsid w:val="7A3E49CA"/>
    <w:rsid w:val="7A7E711E"/>
    <w:rsid w:val="7AC7681B"/>
    <w:rsid w:val="7AFC10C5"/>
    <w:rsid w:val="7AFDA760"/>
    <w:rsid w:val="7B033C88"/>
    <w:rsid w:val="7B275671"/>
    <w:rsid w:val="7B690CEA"/>
    <w:rsid w:val="7B6FFB23"/>
    <w:rsid w:val="7BBA18F4"/>
    <w:rsid w:val="7BBB2E3F"/>
    <w:rsid w:val="7BCF3B5F"/>
    <w:rsid w:val="7BD207AC"/>
    <w:rsid w:val="7BD5706C"/>
    <w:rsid w:val="7BD746FF"/>
    <w:rsid w:val="7BDD5D0B"/>
    <w:rsid w:val="7BE736D8"/>
    <w:rsid w:val="7BEA98BD"/>
    <w:rsid w:val="7BEE87DB"/>
    <w:rsid w:val="7BEF2E92"/>
    <w:rsid w:val="7BF51C2B"/>
    <w:rsid w:val="7BF6EA86"/>
    <w:rsid w:val="7BF74E18"/>
    <w:rsid w:val="7BF75267"/>
    <w:rsid w:val="7BF8D548"/>
    <w:rsid w:val="7BFC4F47"/>
    <w:rsid w:val="7BFCE851"/>
    <w:rsid w:val="7BFF09E6"/>
    <w:rsid w:val="7C8E4478"/>
    <w:rsid w:val="7CB704A5"/>
    <w:rsid w:val="7CFDCE2E"/>
    <w:rsid w:val="7CFF1881"/>
    <w:rsid w:val="7D112E99"/>
    <w:rsid w:val="7D1FC4D0"/>
    <w:rsid w:val="7D421505"/>
    <w:rsid w:val="7D4A45B8"/>
    <w:rsid w:val="7D529FB3"/>
    <w:rsid w:val="7D5FC538"/>
    <w:rsid w:val="7D76135A"/>
    <w:rsid w:val="7D7D80FB"/>
    <w:rsid w:val="7D7F757F"/>
    <w:rsid w:val="7D8BB8F7"/>
    <w:rsid w:val="7DB9BDA7"/>
    <w:rsid w:val="7DCF0805"/>
    <w:rsid w:val="7DD38D03"/>
    <w:rsid w:val="7DD52303"/>
    <w:rsid w:val="7DDA11E9"/>
    <w:rsid w:val="7DEF4AB8"/>
    <w:rsid w:val="7DF73F09"/>
    <w:rsid w:val="7DFA29E7"/>
    <w:rsid w:val="7DFB8B26"/>
    <w:rsid w:val="7DFD81B9"/>
    <w:rsid w:val="7DFDE2C5"/>
    <w:rsid w:val="7DFF08A9"/>
    <w:rsid w:val="7DFF7285"/>
    <w:rsid w:val="7E3FB0FC"/>
    <w:rsid w:val="7E6848F8"/>
    <w:rsid w:val="7E6D23D9"/>
    <w:rsid w:val="7E6DBC06"/>
    <w:rsid w:val="7E7D02B5"/>
    <w:rsid w:val="7E7FBB23"/>
    <w:rsid w:val="7E838AB6"/>
    <w:rsid w:val="7E840DD2"/>
    <w:rsid w:val="7E9246CB"/>
    <w:rsid w:val="7EBCDCD0"/>
    <w:rsid w:val="7EBFB565"/>
    <w:rsid w:val="7ED76191"/>
    <w:rsid w:val="7EE2677A"/>
    <w:rsid w:val="7EE47004"/>
    <w:rsid w:val="7EEA8C82"/>
    <w:rsid w:val="7EF303A1"/>
    <w:rsid w:val="7EFE5E73"/>
    <w:rsid w:val="7EFFD392"/>
    <w:rsid w:val="7F1F2C20"/>
    <w:rsid w:val="7F3F9397"/>
    <w:rsid w:val="7F4D5426"/>
    <w:rsid w:val="7F4E340F"/>
    <w:rsid w:val="7F568CE0"/>
    <w:rsid w:val="7F57DCF1"/>
    <w:rsid w:val="7F6BD295"/>
    <w:rsid w:val="7F75378B"/>
    <w:rsid w:val="7F7BBAEF"/>
    <w:rsid w:val="7F7F08E9"/>
    <w:rsid w:val="7F7F3EF9"/>
    <w:rsid w:val="7F7F7D1D"/>
    <w:rsid w:val="7F87CD48"/>
    <w:rsid w:val="7F972136"/>
    <w:rsid w:val="7F9ACC78"/>
    <w:rsid w:val="7F9F6AB6"/>
    <w:rsid w:val="7F9FB0B2"/>
    <w:rsid w:val="7F9FDA8A"/>
    <w:rsid w:val="7FA9E6ED"/>
    <w:rsid w:val="7FB77795"/>
    <w:rsid w:val="7FB7E481"/>
    <w:rsid w:val="7FBB1452"/>
    <w:rsid w:val="7FC41AF0"/>
    <w:rsid w:val="7FC62E3E"/>
    <w:rsid w:val="7FD7B20A"/>
    <w:rsid w:val="7FDE458D"/>
    <w:rsid w:val="7FDE6E10"/>
    <w:rsid w:val="7FDF4E54"/>
    <w:rsid w:val="7FDF66FE"/>
    <w:rsid w:val="7FDF9AB0"/>
    <w:rsid w:val="7FDFFB88"/>
    <w:rsid w:val="7FE454D1"/>
    <w:rsid w:val="7FE52326"/>
    <w:rsid w:val="7FE72D0F"/>
    <w:rsid w:val="7FEE741B"/>
    <w:rsid w:val="7FF57423"/>
    <w:rsid w:val="7FF7356F"/>
    <w:rsid w:val="7FF86722"/>
    <w:rsid w:val="7FFA0518"/>
    <w:rsid w:val="7FFE5C84"/>
    <w:rsid w:val="7FFEA8DF"/>
    <w:rsid w:val="7FFEF6AE"/>
    <w:rsid w:val="7FFF33E6"/>
    <w:rsid w:val="7FFF3448"/>
    <w:rsid w:val="7FFF451E"/>
    <w:rsid w:val="7FFF6AD7"/>
    <w:rsid w:val="7FFF73F8"/>
    <w:rsid w:val="7FFF7B4A"/>
    <w:rsid w:val="7FFF8472"/>
    <w:rsid w:val="7FFF95D5"/>
    <w:rsid w:val="7FFFFD51"/>
    <w:rsid w:val="87AFFD8A"/>
    <w:rsid w:val="8A36CEA5"/>
    <w:rsid w:val="8DFE0173"/>
    <w:rsid w:val="8F7F2FE0"/>
    <w:rsid w:val="8F9E62D4"/>
    <w:rsid w:val="933F67C7"/>
    <w:rsid w:val="97FB0040"/>
    <w:rsid w:val="97FBF6A6"/>
    <w:rsid w:val="9AF55806"/>
    <w:rsid w:val="9CFF022D"/>
    <w:rsid w:val="9DF3588E"/>
    <w:rsid w:val="9E97499A"/>
    <w:rsid w:val="9EAC83C9"/>
    <w:rsid w:val="9EBF6594"/>
    <w:rsid w:val="9F7F8C04"/>
    <w:rsid w:val="9F7FE74A"/>
    <w:rsid w:val="9F9FC35C"/>
    <w:rsid w:val="9FEB2BAC"/>
    <w:rsid w:val="A3E9FE01"/>
    <w:rsid w:val="AB7BD394"/>
    <w:rsid w:val="ABFFCC32"/>
    <w:rsid w:val="AD07E633"/>
    <w:rsid w:val="ADEE614A"/>
    <w:rsid w:val="ADEE66C2"/>
    <w:rsid w:val="AEDF6283"/>
    <w:rsid w:val="AEF7E0AC"/>
    <w:rsid w:val="AFEB0DA2"/>
    <w:rsid w:val="B2FFCFF3"/>
    <w:rsid w:val="B3FD0713"/>
    <w:rsid w:val="B3FECBF5"/>
    <w:rsid w:val="B4EBB169"/>
    <w:rsid w:val="B72F654C"/>
    <w:rsid w:val="B7772761"/>
    <w:rsid w:val="B7BE598D"/>
    <w:rsid w:val="B7FFCC59"/>
    <w:rsid w:val="B8BEBCA3"/>
    <w:rsid w:val="B9774291"/>
    <w:rsid w:val="B9BDF859"/>
    <w:rsid w:val="BA4F8C68"/>
    <w:rsid w:val="BB793382"/>
    <w:rsid w:val="BB7BE0F2"/>
    <w:rsid w:val="BBB62F70"/>
    <w:rsid w:val="BBB9E34B"/>
    <w:rsid w:val="BBD73098"/>
    <w:rsid w:val="BBDFA66B"/>
    <w:rsid w:val="BBF3D976"/>
    <w:rsid w:val="BBF546F8"/>
    <w:rsid w:val="BC7F19C8"/>
    <w:rsid w:val="BDA33DF9"/>
    <w:rsid w:val="BDBD8596"/>
    <w:rsid w:val="BDCFBCDA"/>
    <w:rsid w:val="BDFF7118"/>
    <w:rsid w:val="BEB72B29"/>
    <w:rsid w:val="BEBF1385"/>
    <w:rsid w:val="BECE046B"/>
    <w:rsid w:val="BEE5414C"/>
    <w:rsid w:val="BEEE5153"/>
    <w:rsid w:val="BF3E89FF"/>
    <w:rsid w:val="BF3F8E83"/>
    <w:rsid w:val="BF5B71C9"/>
    <w:rsid w:val="BF7D5336"/>
    <w:rsid w:val="BF7E4903"/>
    <w:rsid w:val="BF8FADFE"/>
    <w:rsid w:val="BFAE5EE6"/>
    <w:rsid w:val="BFBE721F"/>
    <w:rsid w:val="BFDFDB49"/>
    <w:rsid w:val="BFE38DBD"/>
    <w:rsid w:val="BFFB675C"/>
    <w:rsid w:val="BFFDF13B"/>
    <w:rsid w:val="BFFEFB0D"/>
    <w:rsid w:val="BFFF8499"/>
    <w:rsid w:val="BFFFA59E"/>
    <w:rsid w:val="C63FE02C"/>
    <w:rsid w:val="C9F9601D"/>
    <w:rsid w:val="CB7F15FE"/>
    <w:rsid w:val="CBDA98CC"/>
    <w:rsid w:val="CBFDDA5C"/>
    <w:rsid w:val="CD6B49BA"/>
    <w:rsid w:val="CDEC5734"/>
    <w:rsid w:val="CEE73C3E"/>
    <w:rsid w:val="CF1593B5"/>
    <w:rsid w:val="CFFBD223"/>
    <w:rsid w:val="CFFCB893"/>
    <w:rsid w:val="D3376E00"/>
    <w:rsid w:val="D3B2DAAA"/>
    <w:rsid w:val="D3DD5780"/>
    <w:rsid w:val="D3F2C61E"/>
    <w:rsid w:val="D5776B28"/>
    <w:rsid w:val="D63BCAF8"/>
    <w:rsid w:val="D77B9382"/>
    <w:rsid w:val="D77F2231"/>
    <w:rsid w:val="D78F4988"/>
    <w:rsid w:val="D7DA2A05"/>
    <w:rsid w:val="D7FC207F"/>
    <w:rsid w:val="D8DFC008"/>
    <w:rsid w:val="D9DF0C78"/>
    <w:rsid w:val="D9F3A40E"/>
    <w:rsid w:val="D9FFE3B4"/>
    <w:rsid w:val="DA4DDD98"/>
    <w:rsid w:val="DAABED41"/>
    <w:rsid w:val="DAB63892"/>
    <w:rsid w:val="DBBF2898"/>
    <w:rsid w:val="DBDF70D3"/>
    <w:rsid w:val="DBFDD475"/>
    <w:rsid w:val="DBFFACFD"/>
    <w:rsid w:val="DC1C4A4A"/>
    <w:rsid w:val="DC2F7C2F"/>
    <w:rsid w:val="DCEFDBF3"/>
    <w:rsid w:val="DD6E3EE3"/>
    <w:rsid w:val="DDDB8F1C"/>
    <w:rsid w:val="DDDF6CA1"/>
    <w:rsid w:val="DDEBD818"/>
    <w:rsid w:val="DDFFE9E9"/>
    <w:rsid w:val="DE7B73A7"/>
    <w:rsid w:val="DE7F6E0A"/>
    <w:rsid w:val="DE8B6D8E"/>
    <w:rsid w:val="DEB7185A"/>
    <w:rsid w:val="DEBB0C4E"/>
    <w:rsid w:val="DEBD6456"/>
    <w:rsid w:val="DEBD8BFE"/>
    <w:rsid w:val="DECFC74A"/>
    <w:rsid w:val="DEF73701"/>
    <w:rsid w:val="DF02B39A"/>
    <w:rsid w:val="DF334CA5"/>
    <w:rsid w:val="DF36DA88"/>
    <w:rsid w:val="DF7DAD59"/>
    <w:rsid w:val="DF9E69AD"/>
    <w:rsid w:val="DFAE0747"/>
    <w:rsid w:val="DFBF24C6"/>
    <w:rsid w:val="DFDE51DE"/>
    <w:rsid w:val="DFEBF482"/>
    <w:rsid w:val="DFEDF134"/>
    <w:rsid w:val="DFEFD01F"/>
    <w:rsid w:val="DFF731F1"/>
    <w:rsid w:val="DFF862EA"/>
    <w:rsid w:val="DFFDB2E3"/>
    <w:rsid w:val="DFFF4039"/>
    <w:rsid w:val="DFFF4EEB"/>
    <w:rsid w:val="DFFFB479"/>
    <w:rsid w:val="DFFFE952"/>
    <w:rsid w:val="E0F72003"/>
    <w:rsid w:val="E2BD3F27"/>
    <w:rsid w:val="E5CDC529"/>
    <w:rsid w:val="E6EF703E"/>
    <w:rsid w:val="E6F5A648"/>
    <w:rsid w:val="E72F6368"/>
    <w:rsid w:val="E7BED0D0"/>
    <w:rsid w:val="E7EEA8C1"/>
    <w:rsid w:val="E7F726C0"/>
    <w:rsid w:val="EBB6759E"/>
    <w:rsid w:val="EBBE0586"/>
    <w:rsid w:val="EBE28D81"/>
    <w:rsid w:val="EBFB6530"/>
    <w:rsid w:val="EC9F5F73"/>
    <w:rsid w:val="ECBD0ADB"/>
    <w:rsid w:val="ECDD0781"/>
    <w:rsid w:val="EDBF3063"/>
    <w:rsid w:val="EDD3E173"/>
    <w:rsid w:val="EDE7FBE4"/>
    <w:rsid w:val="EDEBC58E"/>
    <w:rsid w:val="EDF31511"/>
    <w:rsid w:val="EDFFBE7C"/>
    <w:rsid w:val="EE3FCA6D"/>
    <w:rsid w:val="EEAB9AC1"/>
    <w:rsid w:val="EEB74E2F"/>
    <w:rsid w:val="EEFE6E14"/>
    <w:rsid w:val="EEFFB178"/>
    <w:rsid w:val="EF5B4A43"/>
    <w:rsid w:val="EF7F27C7"/>
    <w:rsid w:val="EF7F93B3"/>
    <w:rsid w:val="EF97D1E9"/>
    <w:rsid w:val="EFBE10B0"/>
    <w:rsid w:val="EFCEE7C1"/>
    <w:rsid w:val="EFEB4227"/>
    <w:rsid w:val="EFEFB000"/>
    <w:rsid w:val="EFF432C0"/>
    <w:rsid w:val="EFF69F98"/>
    <w:rsid w:val="EFF7E6CE"/>
    <w:rsid w:val="EFFBF8EC"/>
    <w:rsid w:val="EFFF386E"/>
    <w:rsid w:val="F0D629FC"/>
    <w:rsid w:val="F17FE234"/>
    <w:rsid w:val="F1AF9C8E"/>
    <w:rsid w:val="F1F0F258"/>
    <w:rsid w:val="F1F9F99A"/>
    <w:rsid w:val="F1FFD30C"/>
    <w:rsid w:val="F2BF39DA"/>
    <w:rsid w:val="F377AD21"/>
    <w:rsid w:val="F3BA6AEA"/>
    <w:rsid w:val="F4DEEC0C"/>
    <w:rsid w:val="F587F325"/>
    <w:rsid w:val="F5B928CA"/>
    <w:rsid w:val="F5EFD38A"/>
    <w:rsid w:val="F5FD0FC2"/>
    <w:rsid w:val="F5FF0193"/>
    <w:rsid w:val="F5FFE3A3"/>
    <w:rsid w:val="F67F48BB"/>
    <w:rsid w:val="F69E2F2B"/>
    <w:rsid w:val="F6D19CBE"/>
    <w:rsid w:val="F6DCD21B"/>
    <w:rsid w:val="F6EFCEDC"/>
    <w:rsid w:val="F6FBB500"/>
    <w:rsid w:val="F75BEDB2"/>
    <w:rsid w:val="F75C0CB9"/>
    <w:rsid w:val="F76F6A17"/>
    <w:rsid w:val="F7773FF7"/>
    <w:rsid w:val="F7778D82"/>
    <w:rsid w:val="F77B32B1"/>
    <w:rsid w:val="F77F1E18"/>
    <w:rsid w:val="F7DBA2D8"/>
    <w:rsid w:val="F7DC0E50"/>
    <w:rsid w:val="F7DF198C"/>
    <w:rsid w:val="F7E9A99C"/>
    <w:rsid w:val="F7EF1A76"/>
    <w:rsid w:val="F7EF966E"/>
    <w:rsid w:val="F7F979A3"/>
    <w:rsid w:val="F7F994AF"/>
    <w:rsid w:val="F7FA4E54"/>
    <w:rsid w:val="F7FAC7DB"/>
    <w:rsid w:val="F7FF010D"/>
    <w:rsid w:val="F895F685"/>
    <w:rsid w:val="F8BF6B19"/>
    <w:rsid w:val="F8FF064A"/>
    <w:rsid w:val="F8FF28FB"/>
    <w:rsid w:val="F97F97BB"/>
    <w:rsid w:val="F9F3B165"/>
    <w:rsid w:val="F9F49E91"/>
    <w:rsid w:val="F9F619BB"/>
    <w:rsid w:val="F9FF6402"/>
    <w:rsid w:val="FABCEFFB"/>
    <w:rsid w:val="FAEB9DF0"/>
    <w:rsid w:val="FAFB8619"/>
    <w:rsid w:val="FB2F8C8C"/>
    <w:rsid w:val="FB3BBEEB"/>
    <w:rsid w:val="FB7B664D"/>
    <w:rsid w:val="FB7C3F7F"/>
    <w:rsid w:val="FB7F31F7"/>
    <w:rsid w:val="FB93041A"/>
    <w:rsid w:val="FBAEFE56"/>
    <w:rsid w:val="FBB49139"/>
    <w:rsid w:val="FBBFBE0C"/>
    <w:rsid w:val="FBC07084"/>
    <w:rsid w:val="FBCE5D16"/>
    <w:rsid w:val="FBD64CD2"/>
    <w:rsid w:val="FBED8DD4"/>
    <w:rsid w:val="FBEE20B4"/>
    <w:rsid w:val="FBEF9586"/>
    <w:rsid w:val="FBEFAF3E"/>
    <w:rsid w:val="FBF12D9E"/>
    <w:rsid w:val="FBFDD3A5"/>
    <w:rsid w:val="FBFE5D28"/>
    <w:rsid w:val="FBFF1DD9"/>
    <w:rsid w:val="FBFF4DE2"/>
    <w:rsid w:val="FBFF890F"/>
    <w:rsid w:val="FC1F4FDE"/>
    <w:rsid w:val="FC5F83FB"/>
    <w:rsid w:val="FCFD061B"/>
    <w:rsid w:val="FCFF9D6F"/>
    <w:rsid w:val="FCFFFDB4"/>
    <w:rsid w:val="FD27E784"/>
    <w:rsid w:val="FD3153F9"/>
    <w:rsid w:val="FD77F953"/>
    <w:rsid w:val="FD7BA9C2"/>
    <w:rsid w:val="FDA7C9E6"/>
    <w:rsid w:val="FDBE976E"/>
    <w:rsid w:val="FDDB33D6"/>
    <w:rsid w:val="FDDDFFA9"/>
    <w:rsid w:val="FDDE24F8"/>
    <w:rsid w:val="FDDE6DBA"/>
    <w:rsid w:val="FDDFB1A3"/>
    <w:rsid w:val="FDDFE070"/>
    <w:rsid w:val="FDEB43B3"/>
    <w:rsid w:val="FDEF1A25"/>
    <w:rsid w:val="FDF33B4D"/>
    <w:rsid w:val="FDF7D75E"/>
    <w:rsid w:val="FDF7F2CF"/>
    <w:rsid w:val="FDFCD9D3"/>
    <w:rsid w:val="FDFD2F2F"/>
    <w:rsid w:val="FDFDEEF0"/>
    <w:rsid w:val="FDFDFE1E"/>
    <w:rsid w:val="FDFE3CDB"/>
    <w:rsid w:val="FDFF687D"/>
    <w:rsid w:val="FDFF9464"/>
    <w:rsid w:val="FE7EF5D1"/>
    <w:rsid w:val="FE8EE328"/>
    <w:rsid w:val="FED3550B"/>
    <w:rsid w:val="FEEB85CC"/>
    <w:rsid w:val="FEEF6E45"/>
    <w:rsid w:val="FEF768EA"/>
    <w:rsid w:val="FEF7B4DF"/>
    <w:rsid w:val="FEFE0131"/>
    <w:rsid w:val="FEFE1A93"/>
    <w:rsid w:val="FEFE8950"/>
    <w:rsid w:val="FEFFDC8B"/>
    <w:rsid w:val="FF2AF19C"/>
    <w:rsid w:val="FF2D655A"/>
    <w:rsid w:val="FF3B1BB6"/>
    <w:rsid w:val="FF3FAAA6"/>
    <w:rsid w:val="FF58DD94"/>
    <w:rsid w:val="FF5F9604"/>
    <w:rsid w:val="FF5FBCB9"/>
    <w:rsid w:val="FF6F885B"/>
    <w:rsid w:val="FF75551B"/>
    <w:rsid w:val="FF770E58"/>
    <w:rsid w:val="FF7BE092"/>
    <w:rsid w:val="FF7E5060"/>
    <w:rsid w:val="FF7EAECD"/>
    <w:rsid w:val="FF8FBA7C"/>
    <w:rsid w:val="FF9B3AF7"/>
    <w:rsid w:val="FFA55B1A"/>
    <w:rsid w:val="FFB7D145"/>
    <w:rsid w:val="FFBE0CAA"/>
    <w:rsid w:val="FFBFB399"/>
    <w:rsid w:val="FFBFF53A"/>
    <w:rsid w:val="FFD260D1"/>
    <w:rsid w:val="FFDF123A"/>
    <w:rsid w:val="FFDF2773"/>
    <w:rsid w:val="FFDF5485"/>
    <w:rsid w:val="FFDF5F39"/>
    <w:rsid w:val="FFE79B8A"/>
    <w:rsid w:val="FFEB6A7A"/>
    <w:rsid w:val="FFED4B0E"/>
    <w:rsid w:val="FFEF0A7B"/>
    <w:rsid w:val="FFEF1F77"/>
    <w:rsid w:val="FFEFAE45"/>
    <w:rsid w:val="FFEFCD88"/>
    <w:rsid w:val="FFF29BFE"/>
    <w:rsid w:val="FFF76106"/>
    <w:rsid w:val="FFF79614"/>
    <w:rsid w:val="FFF8A1FD"/>
    <w:rsid w:val="FFFB78B5"/>
    <w:rsid w:val="FFFC8116"/>
    <w:rsid w:val="FFFD0099"/>
    <w:rsid w:val="FFFE6ADA"/>
    <w:rsid w:val="FFFF193C"/>
    <w:rsid w:val="FFFF2A9C"/>
    <w:rsid w:val="FFFF3E33"/>
    <w:rsid w:val="FFFFAC0B"/>
    <w:rsid w:val="FFFFBC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632" w:firstLineChars="200"/>
    </w:pPr>
    <w:rPr>
      <w:rFonts w:ascii="宋体" w:hAnsi="宋体" w:eastAsia="方正仿宋_GBK" w:cs="宋体"/>
      <w:kern w:val="2"/>
      <w:sz w:val="32"/>
      <w:szCs w:val="32"/>
      <w:lang w:val="en-US" w:eastAsia="zh-CN" w:bidi="ar-SA"/>
    </w:rPr>
  </w:style>
  <w:style w:type="paragraph" w:styleId="3">
    <w:name w:val="heading 1"/>
    <w:basedOn w:val="1"/>
    <w:next w:val="1"/>
    <w:qFormat/>
    <w:uiPriority w:val="0"/>
    <w:pPr>
      <w:ind w:firstLine="872"/>
      <w:outlineLvl w:val="0"/>
    </w:pPr>
    <w:rPr>
      <w:rFonts w:eastAsia="方正黑体_GBK"/>
      <w:kern w:val="44"/>
    </w:rPr>
  </w:style>
  <w:style w:type="paragraph" w:styleId="4">
    <w:name w:val="heading 2"/>
    <w:basedOn w:val="1"/>
    <w:next w:val="1"/>
    <w:link w:val="22"/>
    <w:unhideWhenUsed/>
    <w:qFormat/>
    <w:uiPriority w:val="0"/>
    <w:pPr>
      <w:ind w:firstLine="872"/>
      <w:outlineLvl w:val="1"/>
    </w:pPr>
    <w:rPr>
      <w:rFonts w:eastAsia="方正楷体_GBK"/>
    </w:rPr>
  </w:style>
  <w:style w:type="paragraph" w:styleId="5">
    <w:name w:val="heading 3"/>
    <w:basedOn w:val="1"/>
    <w:next w:val="1"/>
    <w:unhideWhenUsed/>
    <w:qFormat/>
    <w:uiPriority w:val="0"/>
    <w:pPr>
      <w:keepNext/>
      <w:keepLines/>
      <w:outlineLvl w:val="2"/>
    </w:pPr>
  </w:style>
  <w:style w:type="paragraph" w:styleId="6">
    <w:name w:val="heading 4"/>
    <w:basedOn w:val="1"/>
    <w:next w:val="1"/>
    <w:unhideWhenUsed/>
    <w:qFormat/>
    <w:uiPriority w:val="0"/>
    <w:pPr>
      <w:outlineLvl w:val="3"/>
    </w:pPr>
  </w:style>
  <w:style w:type="paragraph" w:styleId="7">
    <w:name w:val="heading 5"/>
    <w:basedOn w:val="1"/>
    <w:next w:val="1"/>
    <w:link w:val="35"/>
    <w:semiHidden/>
    <w:unhideWhenUsed/>
    <w:qFormat/>
    <w:uiPriority w:val="0"/>
    <w:pPr>
      <w:keepNext/>
      <w:keepLines/>
      <w:spacing w:line="372" w:lineRule="auto"/>
      <w:outlineLvl w:val="4"/>
    </w:pPr>
    <w:rPr>
      <w:b/>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index 5"/>
    <w:basedOn w:val="1"/>
    <w:next w:val="1"/>
    <w:qFormat/>
    <w:uiPriority w:val="0"/>
    <w:pPr>
      <w:spacing w:before="100" w:beforeAutospacing="1" w:after="100" w:afterAutospacing="1"/>
      <w:ind w:left="1680"/>
      <w:jc w:val="both"/>
    </w:pPr>
    <w:rPr>
      <w:rFonts w:ascii="Times New Roman" w:hAnsi="Times New Roman" w:cs="Times New Roman"/>
    </w:rPr>
  </w:style>
  <w:style w:type="paragraph" w:styleId="9">
    <w:name w:val="Body Text Indent"/>
    <w:basedOn w:val="1"/>
    <w:next w:val="10"/>
    <w:qFormat/>
    <w:uiPriority w:val="0"/>
    <w:pPr>
      <w:ind w:left="400" w:leftChars="100" w:hanging="300" w:hangingChars="300"/>
    </w:pPr>
  </w:style>
  <w:style w:type="paragraph" w:customStyle="1" w:styleId="10">
    <w:name w:val="Char"/>
    <w:basedOn w:val="1"/>
    <w:qFormat/>
    <w:uiPriority w:val="0"/>
    <w:pPr>
      <w:spacing w:before="50" w:after="50"/>
      <w:ind w:firstLine="200"/>
    </w:pPr>
    <w:rPr>
      <w:rFonts w:cs="Courier New"/>
      <w:spacing w:val="-2"/>
      <w:sz w:val="22"/>
    </w:rPr>
  </w:style>
  <w:style w:type="paragraph" w:styleId="11">
    <w:name w:val="Plain Text"/>
    <w:basedOn w:val="1"/>
    <w:qFormat/>
    <w:uiPriority w:val="0"/>
    <w:rPr>
      <w:rFonts w:hAnsi="Courier New"/>
    </w:rPr>
  </w:style>
  <w:style w:type="paragraph" w:styleId="12">
    <w:name w:val="footer"/>
    <w:basedOn w:val="1"/>
    <w:link w:val="36"/>
    <w:qFormat/>
    <w:uiPriority w:val="0"/>
    <w:pPr>
      <w:tabs>
        <w:tab w:val="center" w:pos="4153"/>
        <w:tab w:val="right" w:pos="8306"/>
      </w:tabs>
      <w:snapToGrid w:val="0"/>
      <w:spacing w:line="240" w:lineRule="atLeas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Normal (Web)"/>
    <w:basedOn w:val="1"/>
    <w:qFormat/>
    <w:uiPriority w:val="0"/>
    <w:pPr>
      <w:spacing w:beforeAutospacing="1" w:afterAutospacing="1"/>
    </w:pPr>
    <w:rPr>
      <w:rFonts w:cs="Times New Roman"/>
      <w:kern w:val="0"/>
      <w:sz w:val="24"/>
    </w:rPr>
  </w:style>
  <w:style w:type="paragraph" w:styleId="15">
    <w:name w:val="Body Text First Indent 2"/>
    <w:basedOn w:val="9"/>
    <w:next w:val="8"/>
    <w:qFormat/>
    <w:uiPriority w:val="0"/>
    <w:pPr>
      <w:ind w:left="100" w:firstLine="200" w:firstLineChars="200"/>
    </w:pPr>
    <w:rPr>
      <w:rFonts w:ascii="Calibri" w:hAnsi="Calibri" w:eastAsia="宋体"/>
    </w:r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主标题"/>
    <w:basedOn w:val="1"/>
    <w:qFormat/>
    <w:uiPriority w:val="0"/>
    <w:pPr>
      <w:ind w:firstLine="0" w:firstLineChars="0"/>
      <w:jc w:val="center"/>
    </w:pPr>
    <w:rPr>
      <w:rFonts w:eastAsia="方正小标宋_GBK"/>
      <w:sz w:val="44"/>
      <w:szCs w:val="44"/>
    </w:rPr>
  </w:style>
  <w:style w:type="character" w:customStyle="1" w:styleId="22">
    <w:name w:val="标题 2 Char"/>
    <w:link w:val="4"/>
    <w:qFormat/>
    <w:uiPriority w:val="0"/>
    <w:rPr>
      <w:rFonts w:ascii="宋体" w:hAnsi="宋体" w:eastAsia="方正楷体_GBK"/>
      <w:szCs w:val="32"/>
    </w:rPr>
  </w:style>
  <w:style w:type="paragraph" w:customStyle="1" w:styleId="23">
    <w:name w:val="附件"/>
    <w:basedOn w:val="3"/>
    <w:next w:val="1"/>
    <w:qFormat/>
    <w:uiPriority w:val="0"/>
  </w:style>
  <w:style w:type="paragraph" w:customStyle="1" w:styleId="24">
    <w:name w:val="版记"/>
    <w:basedOn w:val="3"/>
    <w:next w:val="1"/>
    <w:qFormat/>
    <w:uiPriority w:val="0"/>
    <w:pPr>
      <w:pBdr>
        <w:top w:val="inset" w:color="auto" w:sz="6" w:space="0"/>
        <w:bottom w:val="inset" w:color="auto" w:sz="6" w:space="0"/>
      </w:pBdr>
      <w:tabs>
        <w:tab w:val="right" w:pos="8505"/>
      </w:tabs>
      <w:ind w:firstLine="316" w:firstLineChars="100"/>
    </w:pPr>
    <w:rPr>
      <w:rFonts w:eastAsia="方正仿宋_GBK"/>
      <w:sz w:val="28"/>
      <w:szCs w:val="28"/>
    </w:rPr>
  </w:style>
  <w:style w:type="paragraph" w:customStyle="1" w:styleId="25">
    <w:name w:val="落款单位"/>
    <w:basedOn w:val="3"/>
    <w:next w:val="1"/>
    <w:qFormat/>
    <w:uiPriority w:val="0"/>
    <w:pPr>
      <w:ind w:right="632" w:rightChars="200" w:firstLine="0" w:firstLineChars="0"/>
      <w:jc w:val="right"/>
    </w:pPr>
    <w:rPr>
      <w:rFonts w:eastAsia="方正仿宋_GBK"/>
    </w:rPr>
  </w:style>
  <w:style w:type="paragraph" w:customStyle="1" w:styleId="26">
    <w:name w:val="落款日期"/>
    <w:basedOn w:val="3"/>
    <w:next w:val="1"/>
    <w:qFormat/>
    <w:uiPriority w:val="0"/>
    <w:pPr>
      <w:ind w:right="1264" w:rightChars="400" w:firstLine="0" w:firstLineChars="0"/>
      <w:jc w:val="right"/>
    </w:pPr>
    <w:rPr>
      <w:rFonts w:eastAsia="方正仿宋_GBK"/>
    </w:rPr>
  </w:style>
  <w:style w:type="paragraph" w:customStyle="1" w:styleId="27">
    <w:name w:val="发文字号"/>
    <w:basedOn w:val="3"/>
    <w:next w:val="1"/>
    <w:qFormat/>
    <w:uiPriority w:val="0"/>
    <w:pPr>
      <w:ind w:firstLine="0" w:firstLineChars="0"/>
      <w:jc w:val="center"/>
    </w:pPr>
    <w:rPr>
      <w:rFonts w:eastAsia="方正仿宋_GBK"/>
    </w:rPr>
  </w:style>
  <w:style w:type="paragraph" w:customStyle="1" w:styleId="28">
    <w:name w:val="主送单位"/>
    <w:basedOn w:val="1"/>
    <w:qFormat/>
    <w:uiPriority w:val="0"/>
    <w:pPr>
      <w:ind w:firstLine="0" w:firstLineChars="0"/>
    </w:pPr>
  </w:style>
  <w:style w:type="paragraph" w:customStyle="1" w:styleId="29">
    <w:name w:val="发文字号（上行文）"/>
    <w:basedOn w:val="1"/>
    <w:qFormat/>
    <w:uiPriority w:val="0"/>
    <w:pPr>
      <w:ind w:left="632" w:leftChars="200" w:right="632" w:rightChars="200" w:firstLine="0" w:firstLineChars="0"/>
      <w:jc w:val="center"/>
    </w:pPr>
  </w:style>
  <w:style w:type="paragraph" w:customStyle="1" w:styleId="30">
    <w:name w:val="紧急程度"/>
    <w:basedOn w:val="1"/>
    <w:qFormat/>
    <w:uiPriority w:val="0"/>
    <w:rPr>
      <w:rFonts w:eastAsia="方正黑体_GBK"/>
    </w:rPr>
  </w:style>
  <w:style w:type="paragraph" w:customStyle="1" w:styleId="31">
    <w:name w:val="密级"/>
    <w:basedOn w:val="1"/>
    <w:qFormat/>
    <w:uiPriority w:val="0"/>
    <w:rPr>
      <w:rFonts w:eastAsia="方正黑体_GBK"/>
    </w:rPr>
  </w:style>
  <w:style w:type="paragraph" w:customStyle="1" w:styleId="32">
    <w:name w:val="份数"/>
    <w:basedOn w:val="1"/>
    <w:qFormat/>
    <w:uiPriority w:val="0"/>
    <w:pPr>
      <w:ind w:right="632" w:rightChars="200" w:firstLine="0" w:firstLineChars="0"/>
      <w:jc w:val="right"/>
    </w:pPr>
    <w:rPr>
      <w:rFonts w:eastAsia="方正黑体_GBK"/>
    </w:rPr>
  </w:style>
  <w:style w:type="paragraph" w:customStyle="1" w:styleId="33">
    <w:name w:val="正文缩进2"/>
    <w:basedOn w:val="1"/>
    <w:qFormat/>
    <w:uiPriority w:val="0"/>
    <w:rPr>
      <w:kern w:val="0"/>
      <w:sz w:val="24"/>
    </w:rPr>
  </w:style>
  <w:style w:type="paragraph" w:customStyle="1" w:styleId="34">
    <w:name w:val="BodyText"/>
    <w:basedOn w:val="1"/>
    <w:qFormat/>
    <w:uiPriority w:val="0"/>
    <w:pPr>
      <w:spacing w:line="540" w:lineRule="exact"/>
      <w:textAlignment w:val="baseline"/>
    </w:pPr>
    <w:rPr>
      <w:rFonts w:ascii="Calibri" w:hAnsi="Calibri"/>
      <w:kern w:val="0"/>
      <w:sz w:val="20"/>
    </w:rPr>
  </w:style>
  <w:style w:type="character" w:customStyle="1" w:styleId="35">
    <w:name w:val="标题 5 Char"/>
    <w:link w:val="7"/>
    <w:qFormat/>
    <w:uiPriority w:val="0"/>
    <w:rPr>
      <w:b/>
      <w:sz w:val="28"/>
    </w:rPr>
  </w:style>
  <w:style w:type="character" w:customStyle="1" w:styleId="36">
    <w:name w:val="页脚 Char"/>
    <w:basedOn w:val="17"/>
    <w:link w:val="12"/>
    <w:qFormat/>
    <w:uiPriority w:val="0"/>
    <w:rPr>
      <w:rFonts w:ascii="宋体" w:hAnsi="宋体" w:eastAsia="方正仿宋_GBK"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2405</Words>
  <Characters>13714</Characters>
  <Lines>114</Lines>
  <Paragraphs>32</Paragraphs>
  <TotalTime>364</TotalTime>
  <ScaleCrop>false</ScaleCrop>
  <LinksUpToDate>false</LinksUpToDate>
  <CharactersWithSpaces>16087</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2023-11-13T10:38:00Z</dcterms:created>
  <dc:creator>hp</dc:creator>
  <cp:lastModifiedBy>阮心怡</cp:lastModifiedBy>
  <cp:lastPrinted>2024-01-27T01:14:00Z</cp:lastPrinted>
  <dcterms:modified xsi:type="dcterms:W3CDTF">2024-01-26T16:59:43Z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ACD39EF1E11BC32B2642A76570C6B5A2</vt:lpwstr>
  </property>
  <property fmtid="{D5CDD505-2E9C-101B-9397-08002B2CF9AE}" pid="4" name="woSyncTypoMode" linkTarget="0">
    <vt:bool>false</vt:bool>
  </property>
  <property fmtid="{D5CDD505-2E9C-101B-9397-08002B2CF9AE}" pid="5" name="woTypoMode" linkTarget="0">
    <vt:lpwstr/>
  </property>
</Properties>
</file>