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color w:val="auto"/>
        </w:rPr>
      </w:pPr>
      <w:r>
        <w:rPr>
          <w:rFonts w:hint="eastAsia" w:ascii="宋体" w:hAnsi="宋体" w:cs="宋体"/>
          <w:color w:val="auto"/>
        </w:rPr>
        <w:t xml:space="preserve">                         </w:t>
      </w:r>
    </w:p>
    <w:p>
      <w:pPr>
        <w:jc w:val="center"/>
        <w:rPr>
          <w:rFonts w:ascii="宋体" w:hAnsi="宋体" w:cs="宋体"/>
          <w:color w:val="auto"/>
        </w:rPr>
      </w:pPr>
    </w:p>
    <w:p>
      <w:pPr>
        <w:jc w:val="center"/>
        <w:rPr>
          <w:rFonts w:ascii="宋体" w:hAnsi="宋体" w:cs="宋体"/>
          <w:color w:val="auto"/>
        </w:rPr>
      </w:pPr>
    </w:p>
    <w:p>
      <w:pPr>
        <w:jc w:val="center"/>
        <w:rPr>
          <w:rFonts w:ascii="宋体" w:hAnsi="宋体" w:cs="宋体"/>
          <w:color w:val="auto"/>
        </w:rPr>
      </w:pPr>
    </w:p>
    <w:p>
      <w:pPr>
        <w:outlineLvl w:val="0"/>
        <w:rPr>
          <w:rFonts w:ascii="宋体" w:hAnsi="宋体" w:cs="宋体"/>
          <w:color w:val="auto"/>
          <w:spacing w:val="80"/>
          <w:sz w:val="72"/>
          <w:szCs w:val="72"/>
        </w:rPr>
      </w:pPr>
      <w:r>
        <w:rPr>
          <w:rFonts w:hint="eastAsia" w:ascii="宋体" w:hAnsi="宋体" w:cs="宋体"/>
          <w:color w:val="auto"/>
          <w:spacing w:val="80"/>
          <w:sz w:val="72"/>
          <w:szCs w:val="72"/>
        </w:rPr>
        <w:t xml:space="preserve">   竞争性磋商文件</w:t>
      </w:r>
    </w:p>
    <w:p>
      <w:pPr>
        <w:spacing w:line="700" w:lineRule="exact"/>
        <w:jc w:val="center"/>
        <w:rPr>
          <w:rFonts w:ascii="宋体" w:hAnsi="宋体" w:cs="宋体"/>
          <w:color w:val="auto"/>
          <w:sz w:val="32"/>
        </w:rPr>
      </w:pPr>
    </w:p>
    <w:p>
      <w:pPr>
        <w:spacing w:line="700" w:lineRule="exact"/>
        <w:rPr>
          <w:rFonts w:ascii="宋体" w:hAnsi="宋体" w:cs="宋体"/>
          <w:color w:val="auto"/>
          <w:sz w:val="36"/>
          <w:szCs w:val="30"/>
        </w:rPr>
      </w:pPr>
    </w:p>
    <w:p>
      <w:pPr>
        <w:spacing w:line="700" w:lineRule="exact"/>
        <w:rPr>
          <w:rFonts w:ascii="宋体" w:hAnsi="宋体" w:cs="宋体"/>
          <w:color w:val="auto"/>
          <w:sz w:val="36"/>
          <w:szCs w:val="30"/>
        </w:rPr>
      </w:pPr>
    </w:p>
    <w:p>
      <w:pPr>
        <w:spacing w:line="700" w:lineRule="exact"/>
        <w:rPr>
          <w:rFonts w:ascii="宋体" w:hAnsi="宋体" w:cs="宋体"/>
          <w:color w:val="auto"/>
          <w:sz w:val="36"/>
          <w:szCs w:val="30"/>
        </w:rPr>
      </w:pPr>
    </w:p>
    <w:p>
      <w:pPr>
        <w:spacing w:line="700" w:lineRule="exact"/>
        <w:rPr>
          <w:rFonts w:ascii="宋体" w:hAnsi="宋体" w:cs="宋体"/>
          <w:color w:val="auto"/>
          <w:sz w:val="36"/>
          <w:szCs w:val="30"/>
        </w:rPr>
      </w:pPr>
    </w:p>
    <w:p>
      <w:pPr>
        <w:spacing w:line="700" w:lineRule="exact"/>
        <w:rPr>
          <w:rFonts w:ascii="宋体" w:hAnsi="宋体" w:cs="宋体"/>
          <w:color w:val="auto"/>
          <w:sz w:val="36"/>
          <w:szCs w:val="30"/>
        </w:rPr>
      </w:pPr>
    </w:p>
    <w:p>
      <w:pPr>
        <w:spacing w:line="360" w:lineRule="auto"/>
        <w:rPr>
          <w:rFonts w:ascii="宋体" w:hAnsi="宋体" w:cs="宋体"/>
          <w:color w:val="auto"/>
          <w:sz w:val="32"/>
          <w:szCs w:val="32"/>
        </w:rPr>
      </w:pPr>
      <w:r>
        <w:rPr>
          <w:rFonts w:hint="eastAsia" w:ascii="宋体" w:hAnsi="宋体" w:cs="宋体"/>
          <w:color w:val="auto"/>
          <w:sz w:val="36"/>
          <w:szCs w:val="30"/>
        </w:rPr>
        <w:t>磋商项目名称：4艘快艇及四面山7号船舶维修</w:t>
      </w:r>
    </w:p>
    <w:p>
      <w:pPr>
        <w:spacing w:line="480" w:lineRule="auto"/>
        <w:ind w:firstLine="540" w:firstLineChars="150"/>
        <w:rPr>
          <w:rFonts w:ascii="宋体" w:hAnsi="宋体" w:cs="宋体"/>
          <w:color w:val="auto"/>
          <w:sz w:val="36"/>
          <w:szCs w:val="30"/>
        </w:rPr>
      </w:pPr>
    </w:p>
    <w:p>
      <w:pPr>
        <w:pStyle w:val="37"/>
        <w:rPr>
          <w:rFonts w:hAnsi="宋体" w:cs="宋体"/>
          <w:color w:val="auto"/>
          <w:sz w:val="36"/>
          <w:szCs w:val="30"/>
        </w:rPr>
      </w:pPr>
    </w:p>
    <w:p>
      <w:pPr>
        <w:rPr>
          <w:rFonts w:ascii="宋体" w:hAnsi="宋体" w:cs="宋体"/>
          <w:color w:val="auto"/>
          <w:sz w:val="36"/>
          <w:szCs w:val="30"/>
        </w:rPr>
      </w:pPr>
    </w:p>
    <w:p>
      <w:pPr>
        <w:pStyle w:val="37"/>
        <w:rPr>
          <w:rFonts w:hAnsi="宋体" w:cs="宋体"/>
          <w:color w:val="auto"/>
          <w:sz w:val="36"/>
          <w:szCs w:val="30"/>
        </w:rPr>
      </w:pPr>
    </w:p>
    <w:p>
      <w:pPr>
        <w:rPr>
          <w:rFonts w:ascii="宋体" w:hAnsi="宋体" w:cs="宋体"/>
          <w:color w:val="auto"/>
        </w:rPr>
      </w:pPr>
    </w:p>
    <w:p>
      <w:pPr>
        <w:widowControl/>
        <w:snapToGrid w:val="0"/>
        <w:spacing w:line="360" w:lineRule="auto"/>
        <w:textAlignment w:val="baseline"/>
        <w:rPr>
          <w:rFonts w:ascii="宋体" w:hAnsi="宋体" w:cs="宋体"/>
          <w:color w:val="auto"/>
          <w:sz w:val="36"/>
          <w:szCs w:val="30"/>
        </w:rPr>
      </w:pPr>
      <w:r>
        <w:rPr>
          <w:rFonts w:hint="eastAsia" w:ascii="宋体" w:hAnsi="宋体" w:cs="宋体"/>
          <w:color w:val="auto"/>
          <w:sz w:val="36"/>
          <w:szCs w:val="30"/>
        </w:rPr>
        <w:t>采   购   人：重庆四面山水文化旅游有限公司</w:t>
      </w:r>
    </w:p>
    <w:p>
      <w:pPr>
        <w:spacing w:line="360" w:lineRule="auto"/>
        <w:rPr>
          <w:rFonts w:ascii="宋体" w:hAnsi="宋体" w:cs="宋体"/>
          <w:color w:val="auto"/>
          <w:sz w:val="36"/>
          <w:szCs w:val="30"/>
        </w:rPr>
      </w:pPr>
      <w:r>
        <w:rPr>
          <w:rFonts w:hint="eastAsia" w:ascii="宋体" w:hAnsi="宋体" w:cs="宋体"/>
          <w:color w:val="auto"/>
          <w:sz w:val="36"/>
          <w:szCs w:val="30"/>
        </w:rPr>
        <w:t>采购代理机构：重庆渝强工程项目管理有限公司</w:t>
      </w:r>
    </w:p>
    <w:p>
      <w:pPr>
        <w:spacing w:line="700" w:lineRule="exact"/>
        <w:ind w:firstLine="1080" w:firstLineChars="300"/>
        <w:rPr>
          <w:rFonts w:ascii="宋体" w:hAnsi="宋体" w:cs="宋体"/>
          <w:color w:val="auto"/>
          <w:sz w:val="36"/>
          <w:szCs w:val="30"/>
        </w:rPr>
      </w:pPr>
    </w:p>
    <w:p>
      <w:pPr>
        <w:spacing w:line="700" w:lineRule="exact"/>
        <w:ind w:firstLine="3240" w:firstLineChars="900"/>
        <w:rPr>
          <w:rFonts w:ascii="宋体" w:hAnsi="宋体" w:cs="宋体"/>
          <w:color w:val="auto"/>
          <w:sz w:val="36"/>
          <w:szCs w:val="36"/>
        </w:rPr>
      </w:pPr>
      <w:r>
        <w:rPr>
          <w:rFonts w:hint="eastAsia" w:ascii="宋体" w:hAnsi="宋体" w:cs="宋体"/>
          <w:color w:val="auto"/>
          <w:sz w:val="36"/>
          <w:szCs w:val="30"/>
        </w:rPr>
        <w:t>二〇二三年六月</w:t>
      </w:r>
    </w:p>
    <w:p>
      <w:pPr>
        <w:spacing w:line="480" w:lineRule="exact"/>
        <w:jc w:val="center"/>
        <w:outlineLvl w:val="0"/>
        <w:rPr>
          <w:rFonts w:ascii="宋体" w:hAnsi="宋体" w:cs="宋体"/>
          <w:color w:val="auto"/>
          <w:sz w:val="44"/>
          <w:szCs w:val="28"/>
        </w:rPr>
      </w:pPr>
      <w:r>
        <w:rPr>
          <w:rFonts w:hint="eastAsia" w:ascii="宋体" w:hAnsi="宋体" w:cs="宋体"/>
          <w:color w:val="auto"/>
          <w:sz w:val="44"/>
          <w:szCs w:val="28"/>
        </w:rPr>
        <w:br w:type="page"/>
      </w:r>
    </w:p>
    <w:p>
      <w:pPr>
        <w:spacing w:line="600" w:lineRule="auto"/>
        <w:jc w:val="center"/>
        <w:outlineLvl w:val="0"/>
        <w:rPr>
          <w:rFonts w:ascii="宋体" w:hAnsi="宋体" w:cs="宋体"/>
          <w:color w:val="auto"/>
          <w:sz w:val="44"/>
          <w:szCs w:val="28"/>
        </w:rPr>
      </w:pPr>
      <w:r>
        <w:rPr>
          <w:rFonts w:hint="eastAsia" w:ascii="宋体" w:hAnsi="宋体" w:cs="宋体"/>
          <w:color w:val="auto"/>
          <w:sz w:val="44"/>
          <w:szCs w:val="28"/>
        </w:rPr>
        <w:t>目   录</w:t>
      </w:r>
    </w:p>
    <w:p>
      <w:pPr>
        <w:pStyle w:val="45"/>
        <w:tabs>
          <w:tab w:val="right" w:leader="dot" w:pos="9073"/>
        </w:tabs>
        <w:spacing w:line="600" w:lineRule="auto"/>
        <w:ind w:left="560"/>
        <w:rPr>
          <w:rFonts w:ascii="宋体" w:hAnsi="宋体" w:cs="宋体"/>
          <w:color w:val="auto"/>
        </w:rPr>
      </w:pP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TOC \o "1-3" \h \z </w:instrText>
      </w:r>
      <w:r>
        <w:rPr>
          <w:rFonts w:hint="eastAsia" w:ascii="宋体" w:hAnsi="宋体" w:cs="宋体"/>
          <w:color w:val="auto"/>
          <w:sz w:val="21"/>
          <w:szCs w:val="21"/>
        </w:rPr>
        <w:fldChar w:fldCharType="separate"/>
      </w:r>
      <w:r>
        <w:rPr>
          <w:color w:val="auto"/>
        </w:rPr>
        <w:fldChar w:fldCharType="begin"/>
      </w:r>
      <w:r>
        <w:rPr>
          <w:color w:val="auto"/>
        </w:rPr>
        <w:instrText xml:space="preserve"> HYPERLINK \l "_Toc23659" </w:instrText>
      </w:r>
      <w:r>
        <w:rPr>
          <w:color w:val="auto"/>
        </w:rPr>
        <w:fldChar w:fldCharType="separate"/>
      </w:r>
      <w:r>
        <w:rPr>
          <w:rFonts w:hint="eastAsia" w:ascii="宋体" w:hAnsi="宋体" w:cs="宋体"/>
          <w:color w:val="auto"/>
          <w:szCs w:val="30"/>
        </w:rPr>
        <w:t>第一篇  采购邀请书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_Toc23659 </w:instrText>
      </w:r>
      <w:r>
        <w:rPr>
          <w:rFonts w:hint="eastAsia" w:ascii="宋体" w:hAnsi="宋体" w:cs="宋体"/>
          <w:color w:val="auto"/>
        </w:rPr>
        <w:fldChar w:fldCharType="separate"/>
      </w:r>
      <w:r>
        <w:rPr>
          <w:rFonts w:hint="eastAsia" w:ascii="宋体" w:hAnsi="宋体" w:cs="宋体"/>
          <w:color w:val="auto"/>
        </w:rPr>
        <w:t>3</w:t>
      </w:r>
      <w:r>
        <w:rPr>
          <w:rFonts w:hint="eastAsia" w:ascii="宋体" w:hAnsi="宋体" w:cs="宋体"/>
          <w:color w:val="auto"/>
        </w:rPr>
        <w:fldChar w:fldCharType="end"/>
      </w:r>
      <w:r>
        <w:rPr>
          <w:rFonts w:hint="eastAsia" w:ascii="宋体" w:hAnsi="宋体" w:cs="宋体"/>
          <w:color w:val="auto"/>
        </w:rPr>
        <w:fldChar w:fldCharType="end"/>
      </w:r>
    </w:p>
    <w:p>
      <w:pPr>
        <w:pStyle w:val="45"/>
        <w:tabs>
          <w:tab w:val="right" w:leader="dot" w:pos="9073"/>
        </w:tabs>
        <w:spacing w:line="600" w:lineRule="auto"/>
        <w:ind w:left="560"/>
        <w:rPr>
          <w:rFonts w:ascii="宋体" w:hAnsi="宋体" w:cs="宋体"/>
          <w:color w:val="auto"/>
        </w:rPr>
      </w:pPr>
      <w:r>
        <w:rPr>
          <w:color w:val="auto"/>
        </w:rPr>
        <w:fldChar w:fldCharType="begin"/>
      </w:r>
      <w:r>
        <w:rPr>
          <w:color w:val="auto"/>
        </w:rPr>
        <w:instrText xml:space="preserve"> HYPERLINK \l "_Toc21773" </w:instrText>
      </w:r>
      <w:r>
        <w:rPr>
          <w:color w:val="auto"/>
        </w:rPr>
        <w:fldChar w:fldCharType="separate"/>
      </w:r>
      <w:r>
        <w:rPr>
          <w:rFonts w:hint="eastAsia" w:ascii="宋体" w:hAnsi="宋体" w:cs="宋体"/>
          <w:color w:val="auto"/>
          <w:szCs w:val="30"/>
        </w:rPr>
        <w:t>第二篇  项目服务需求</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_Toc21773 </w:instrText>
      </w:r>
      <w:r>
        <w:rPr>
          <w:rFonts w:hint="eastAsia" w:ascii="宋体" w:hAnsi="宋体" w:cs="宋体"/>
          <w:color w:val="auto"/>
        </w:rPr>
        <w:fldChar w:fldCharType="separate"/>
      </w:r>
      <w:r>
        <w:rPr>
          <w:rFonts w:hint="eastAsia" w:ascii="宋体" w:hAnsi="宋体" w:cs="宋体"/>
          <w:color w:val="auto"/>
        </w:rPr>
        <w:t>5</w:t>
      </w:r>
      <w:r>
        <w:rPr>
          <w:rFonts w:hint="eastAsia" w:ascii="宋体" w:hAnsi="宋体" w:cs="宋体"/>
          <w:color w:val="auto"/>
        </w:rPr>
        <w:fldChar w:fldCharType="end"/>
      </w:r>
      <w:r>
        <w:rPr>
          <w:rFonts w:hint="eastAsia" w:ascii="宋体" w:hAnsi="宋体" w:cs="宋体"/>
          <w:color w:val="auto"/>
        </w:rPr>
        <w:fldChar w:fldCharType="end"/>
      </w:r>
    </w:p>
    <w:p>
      <w:pPr>
        <w:pStyle w:val="45"/>
        <w:tabs>
          <w:tab w:val="right" w:leader="dot" w:pos="9073"/>
        </w:tabs>
        <w:spacing w:line="600" w:lineRule="auto"/>
        <w:ind w:left="560"/>
        <w:rPr>
          <w:rFonts w:ascii="宋体" w:hAnsi="宋体" w:cs="宋体"/>
          <w:color w:val="auto"/>
        </w:rPr>
      </w:pPr>
      <w:r>
        <w:rPr>
          <w:color w:val="auto"/>
        </w:rPr>
        <w:fldChar w:fldCharType="begin"/>
      </w:r>
      <w:r>
        <w:rPr>
          <w:color w:val="auto"/>
        </w:rPr>
        <w:instrText xml:space="preserve"> HYPERLINK \l "_Toc1973" </w:instrText>
      </w:r>
      <w:r>
        <w:rPr>
          <w:color w:val="auto"/>
        </w:rPr>
        <w:fldChar w:fldCharType="separate"/>
      </w:r>
      <w:r>
        <w:rPr>
          <w:rFonts w:hint="eastAsia" w:ascii="宋体" w:hAnsi="宋体" w:cs="宋体"/>
          <w:color w:val="auto"/>
          <w:szCs w:val="30"/>
        </w:rPr>
        <w:t>第三篇  项目商务需求</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_Toc1973 </w:instrText>
      </w:r>
      <w:r>
        <w:rPr>
          <w:rFonts w:hint="eastAsia" w:ascii="宋体" w:hAnsi="宋体" w:cs="宋体"/>
          <w:color w:val="auto"/>
        </w:rPr>
        <w:fldChar w:fldCharType="separate"/>
      </w:r>
      <w:r>
        <w:rPr>
          <w:rFonts w:hint="eastAsia" w:ascii="宋体" w:hAnsi="宋体" w:cs="宋体"/>
          <w:color w:val="auto"/>
        </w:rPr>
        <w:t>- 8 -</w:t>
      </w:r>
      <w:r>
        <w:rPr>
          <w:rFonts w:hint="eastAsia" w:ascii="宋体" w:hAnsi="宋体" w:cs="宋体"/>
          <w:color w:val="auto"/>
        </w:rPr>
        <w:fldChar w:fldCharType="end"/>
      </w:r>
      <w:r>
        <w:rPr>
          <w:rFonts w:hint="eastAsia" w:ascii="宋体" w:hAnsi="宋体" w:cs="宋体"/>
          <w:color w:val="auto"/>
        </w:rPr>
        <w:fldChar w:fldCharType="end"/>
      </w:r>
    </w:p>
    <w:p>
      <w:pPr>
        <w:pStyle w:val="45"/>
        <w:tabs>
          <w:tab w:val="right" w:leader="dot" w:pos="9073"/>
        </w:tabs>
        <w:spacing w:line="600" w:lineRule="auto"/>
        <w:ind w:left="560"/>
        <w:rPr>
          <w:rFonts w:ascii="宋体" w:hAnsi="宋体" w:cs="宋体"/>
          <w:color w:val="auto"/>
        </w:rPr>
      </w:pPr>
      <w:r>
        <w:rPr>
          <w:color w:val="auto"/>
        </w:rPr>
        <w:fldChar w:fldCharType="begin"/>
      </w:r>
      <w:r>
        <w:rPr>
          <w:color w:val="auto"/>
        </w:rPr>
        <w:instrText xml:space="preserve"> HYPERLINK \l "_Toc10261" </w:instrText>
      </w:r>
      <w:r>
        <w:rPr>
          <w:color w:val="auto"/>
        </w:rPr>
        <w:fldChar w:fldCharType="separate"/>
      </w:r>
      <w:r>
        <w:rPr>
          <w:rFonts w:hint="eastAsia" w:ascii="宋体" w:hAnsi="宋体" w:cs="宋体"/>
          <w:color w:val="auto"/>
          <w:szCs w:val="30"/>
        </w:rPr>
        <w:t>第四篇  磋商程序及方法、评审标准、无效响应和</w:t>
      </w:r>
      <w:r>
        <w:rPr>
          <w:rFonts w:hint="eastAsia" w:ascii="宋体" w:hAnsi="宋体" w:cs="宋体"/>
          <w:color w:val="auto"/>
          <w:szCs w:val="36"/>
        </w:rPr>
        <w:t>采购终止</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_Toc10261 </w:instrText>
      </w:r>
      <w:r>
        <w:rPr>
          <w:rFonts w:hint="eastAsia" w:ascii="宋体" w:hAnsi="宋体" w:cs="宋体"/>
          <w:color w:val="auto"/>
        </w:rPr>
        <w:fldChar w:fldCharType="separate"/>
      </w:r>
      <w:r>
        <w:rPr>
          <w:rFonts w:hint="eastAsia" w:ascii="宋体" w:hAnsi="宋体" w:cs="宋体"/>
          <w:color w:val="auto"/>
        </w:rPr>
        <w:t>- 10 -</w:t>
      </w:r>
      <w:r>
        <w:rPr>
          <w:rFonts w:hint="eastAsia" w:ascii="宋体" w:hAnsi="宋体" w:cs="宋体"/>
          <w:color w:val="auto"/>
        </w:rPr>
        <w:fldChar w:fldCharType="end"/>
      </w:r>
      <w:r>
        <w:rPr>
          <w:rFonts w:hint="eastAsia" w:ascii="宋体" w:hAnsi="宋体" w:cs="宋体"/>
          <w:color w:val="auto"/>
        </w:rPr>
        <w:fldChar w:fldCharType="end"/>
      </w:r>
    </w:p>
    <w:p>
      <w:pPr>
        <w:pStyle w:val="45"/>
        <w:tabs>
          <w:tab w:val="right" w:leader="dot" w:pos="9073"/>
        </w:tabs>
        <w:spacing w:line="600" w:lineRule="auto"/>
        <w:ind w:left="560"/>
        <w:rPr>
          <w:rFonts w:ascii="宋体" w:hAnsi="宋体" w:cs="宋体"/>
          <w:color w:val="auto"/>
        </w:rPr>
      </w:pPr>
      <w:r>
        <w:rPr>
          <w:color w:val="auto"/>
        </w:rPr>
        <w:fldChar w:fldCharType="begin"/>
      </w:r>
      <w:r>
        <w:rPr>
          <w:color w:val="auto"/>
        </w:rPr>
        <w:instrText xml:space="preserve"> HYPERLINK \l "_Toc32406" </w:instrText>
      </w:r>
      <w:r>
        <w:rPr>
          <w:color w:val="auto"/>
        </w:rPr>
        <w:fldChar w:fldCharType="separate"/>
      </w:r>
      <w:r>
        <w:rPr>
          <w:rFonts w:hint="eastAsia" w:ascii="宋体" w:hAnsi="宋体" w:cs="宋体"/>
          <w:color w:val="auto"/>
          <w:szCs w:val="30"/>
        </w:rPr>
        <w:t>第五篇  供应商须知</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_Toc32406 </w:instrText>
      </w:r>
      <w:r>
        <w:rPr>
          <w:rFonts w:hint="eastAsia" w:ascii="宋体" w:hAnsi="宋体" w:cs="宋体"/>
          <w:color w:val="auto"/>
        </w:rPr>
        <w:fldChar w:fldCharType="separate"/>
      </w:r>
      <w:r>
        <w:rPr>
          <w:rFonts w:hint="eastAsia" w:ascii="宋体" w:hAnsi="宋体" w:cs="宋体"/>
          <w:color w:val="auto"/>
        </w:rPr>
        <w:t>- 13 -</w:t>
      </w:r>
      <w:r>
        <w:rPr>
          <w:rFonts w:hint="eastAsia" w:ascii="宋体" w:hAnsi="宋体" w:cs="宋体"/>
          <w:color w:val="auto"/>
        </w:rPr>
        <w:fldChar w:fldCharType="end"/>
      </w:r>
      <w:r>
        <w:rPr>
          <w:rFonts w:hint="eastAsia" w:ascii="宋体" w:hAnsi="宋体" w:cs="宋体"/>
          <w:color w:val="auto"/>
        </w:rPr>
        <w:fldChar w:fldCharType="end"/>
      </w:r>
    </w:p>
    <w:p>
      <w:pPr>
        <w:pStyle w:val="37"/>
        <w:tabs>
          <w:tab w:val="right" w:leader="dot" w:pos="9073"/>
        </w:tabs>
        <w:spacing w:line="600" w:lineRule="auto"/>
        <w:rPr>
          <w:rFonts w:hAnsi="宋体" w:cs="宋体"/>
          <w:color w:val="auto"/>
          <w:sz w:val="28"/>
          <w:szCs w:val="30"/>
          <w:lang w:val="zh-CN"/>
        </w:rPr>
      </w:pPr>
      <w:r>
        <w:rPr>
          <w:rFonts w:hint="eastAsia" w:hAnsi="宋体" w:cs="宋体"/>
          <w:color w:val="auto"/>
          <w:szCs w:val="21"/>
        </w:rPr>
        <w:t xml:space="preserve">  </w:t>
      </w:r>
      <w:r>
        <w:rPr>
          <w:rFonts w:hint="eastAsia" w:hAnsi="宋体" w:cs="宋体"/>
          <w:color w:val="auto"/>
          <w:sz w:val="28"/>
          <w:szCs w:val="30"/>
        </w:rPr>
        <w:t xml:space="preserve">  </w:t>
      </w:r>
      <w:r>
        <w:rPr>
          <w:color w:val="auto"/>
        </w:rPr>
        <w:fldChar w:fldCharType="begin"/>
      </w:r>
      <w:r>
        <w:rPr>
          <w:color w:val="auto"/>
        </w:rPr>
        <w:instrText xml:space="preserve"> HYPERLINK \l "_Toc2267" </w:instrText>
      </w:r>
      <w:r>
        <w:rPr>
          <w:color w:val="auto"/>
        </w:rPr>
        <w:fldChar w:fldCharType="separate"/>
      </w:r>
      <w:r>
        <w:rPr>
          <w:rFonts w:hint="eastAsia" w:hAnsi="宋体" w:cs="宋体"/>
          <w:color w:val="auto"/>
          <w:sz w:val="28"/>
          <w:szCs w:val="30"/>
        </w:rPr>
        <w:t>第六篇 合同主要条款和格式合同</w:t>
      </w:r>
      <w:r>
        <w:rPr>
          <w:rFonts w:hint="eastAsia" w:hAnsi="宋体" w:cs="宋体"/>
          <w:color w:val="auto"/>
          <w:sz w:val="28"/>
          <w:szCs w:val="30"/>
        </w:rPr>
        <w:tab/>
      </w:r>
      <w:r>
        <w:rPr>
          <w:rFonts w:hint="eastAsia" w:hAnsi="宋体" w:cs="宋体"/>
          <w:color w:val="auto"/>
          <w:sz w:val="28"/>
          <w:szCs w:val="30"/>
        </w:rPr>
        <w:fldChar w:fldCharType="begin"/>
      </w:r>
      <w:r>
        <w:rPr>
          <w:rFonts w:hint="eastAsia" w:hAnsi="宋体" w:cs="宋体"/>
          <w:color w:val="auto"/>
          <w:sz w:val="28"/>
          <w:szCs w:val="30"/>
        </w:rPr>
        <w:instrText xml:space="preserve"> PAGEREF _Toc2267 </w:instrText>
      </w:r>
      <w:r>
        <w:rPr>
          <w:rFonts w:hint="eastAsia" w:hAnsi="宋体" w:cs="宋体"/>
          <w:color w:val="auto"/>
          <w:sz w:val="28"/>
          <w:szCs w:val="30"/>
        </w:rPr>
        <w:fldChar w:fldCharType="separate"/>
      </w:r>
      <w:r>
        <w:rPr>
          <w:rFonts w:hint="eastAsia" w:hAnsi="宋体" w:cs="宋体"/>
          <w:color w:val="auto"/>
          <w:sz w:val="28"/>
          <w:szCs w:val="30"/>
        </w:rPr>
        <w:t>- 19 -</w:t>
      </w:r>
      <w:r>
        <w:rPr>
          <w:rFonts w:hint="eastAsia" w:hAnsi="宋体" w:cs="宋体"/>
          <w:color w:val="auto"/>
          <w:sz w:val="28"/>
          <w:szCs w:val="30"/>
        </w:rPr>
        <w:fldChar w:fldCharType="end"/>
      </w:r>
      <w:r>
        <w:rPr>
          <w:rFonts w:hint="eastAsia" w:hAnsi="宋体" w:cs="宋体"/>
          <w:color w:val="auto"/>
          <w:sz w:val="28"/>
          <w:szCs w:val="30"/>
        </w:rPr>
        <w:fldChar w:fldCharType="end"/>
      </w:r>
    </w:p>
    <w:p>
      <w:pPr>
        <w:pStyle w:val="45"/>
        <w:tabs>
          <w:tab w:val="right" w:leader="dot" w:pos="9073"/>
        </w:tabs>
        <w:spacing w:line="600" w:lineRule="auto"/>
        <w:ind w:left="0" w:leftChars="0"/>
        <w:rPr>
          <w:rFonts w:ascii="宋体" w:hAnsi="宋体" w:cs="宋体"/>
          <w:color w:val="auto"/>
        </w:rPr>
      </w:pPr>
      <w:r>
        <w:rPr>
          <w:rFonts w:hint="eastAsia" w:ascii="宋体" w:hAnsi="宋体" w:cs="宋体"/>
          <w:color w:val="auto"/>
          <w:szCs w:val="21"/>
        </w:rPr>
        <w:t xml:space="preserve">    </w:t>
      </w:r>
      <w:r>
        <w:rPr>
          <w:color w:val="auto"/>
        </w:rPr>
        <w:fldChar w:fldCharType="begin"/>
      </w:r>
      <w:r>
        <w:rPr>
          <w:color w:val="auto"/>
        </w:rPr>
        <w:instrText xml:space="preserve"> HYPERLINK \l "_Toc13345" </w:instrText>
      </w:r>
      <w:r>
        <w:rPr>
          <w:color w:val="auto"/>
        </w:rPr>
        <w:fldChar w:fldCharType="separate"/>
      </w:r>
      <w:r>
        <w:rPr>
          <w:rFonts w:hint="eastAsia" w:ascii="宋体" w:hAnsi="宋体" w:cs="宋体"/>
          <w:color w:val="auto"/>
          <w:szCs w:val="30"/>
        </w:rPr>
        <w:t>第七篇  响应文件编制要求</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_Toc13345 </w:instrText>
      </w:r>
      <w:r>
        <w:rPr>
          <w:rFonts w:hint="eastAsia" w:ascii="宋体" w:hAnsi="宋体" w:cs="宋体"/>
          <w:color w:val="auto"/>
        </w:rPr>
        <w:fldChar w:fldCharType="separate"/>
      </w:r>
      <w:r>
        <w:rPr>
          <w:rFonts w:hint="eastAsia" w:ascii="宋体" w:hAnsi="宋体" w:cs="宋体"/>
          <w:color w:val="auto"/>
        </w:rPr>
        <w:t>- 23 -</w:t>
      </w:r>
      <w:r>
        <w:rPr>
          <w:rFonts w:hint="eastAsia" w:ascii="宋体" w:hAnsi="宋体" w:cs="宋体"/>
          <w:color w:val="auto"/>
        </w:rPr>
        <w:fldChar w:fldCharType="end"/>
      </w:r>
      <w:r>
        <w:rPr>
          <w:rFonts w:hint="eastAsia" w:ascii="宋体" w:hAnsi="宋体" w:cs="宋体"/>
          <w:color w:val="auto"/>
        </w:rPr>
        <w:fldChar w:fldCharType="end"/>
      </w:r>
    </w:p>
    <w:p>
      <w:pPr>
        <w:spacing w:line="600" w:lineRule="auto"/>
        <w:rPr>
          <w:rFonts w:ascii="宋体" w:hAnsi="宋体" w:cs="宋体"/>
          <w:color w:val="auto"/>
        </w:rPr>
      </w:pPr>
    </w:p>
    <w:p>
      <w:pPr>
        <w:pStyle w:val="45"/>
        <w:tabs>
          <w:tab w:val="right" w:leader="dot" w:pos="9402"/>
        </w:tabs>
        <w:spacing w:line="600" w:lineRule="auto"/>
        <w:ind w:left="560"/>
        <w:jc w:val="center"/>
        <w:rPr>
          <w:rFonts w:ascii="宋体" w:hAnsi="宋体" w:cs="宋体"/>
          <w:color w:val="auto"/>
          <w:sz w:val="18"/>
          <w:szCs w:val="22"/>
        </w:rPr>
        <w:sectPr>
          <w:headerReference r:id="rId4" w:type="first"/>
          <w:footerReference r:id="rId7" w:type="first"/>
          <w:headerReference r:id="rId3" w:type="default"/>
          <w:footerReference r:id="rId5" w:type="default"/>
          <w:footerReference r:id="rId6" w:type="even"/>
          <w:pgSz w:w="11907" w:h="16840"/>
          <w:pgMar w:top="1134" w:right="1417" w:bottom="1134" w:left="1417" w:header="851" w:footer="992" w:gutter="0"/>
          <w:pgNumType w:fmt="numberInDash" w:start="1"/>
          <w:cols w:space="720" w:num="1"/>
          <w:docGrid w:linePitch="380" w:charSpace="-5735"/>
        </w:sectPr>
      </w:pPr>
      <w:r>
        <w:rPr>
          <w:rFonts w:hint="eastAsia" w:ascii="宋体" w:hAnsi="宋体" w:cs="宋体"/>
          <w:color w:val="auto"/>
          <w:szCs w:val="21"/>
        </w:rPr>
        <w:fldChar w:fldCharType="end"/>
      </w:r>
    </w:p>
    <w:p>
      <w:pPr>
        <w:pStyle w:val="4"/>
        <w:spacing w:line="240" w:lineRule="auto"/>
        <w:jc w:val="center"/>
        <w:rPr>
          <w:rFonts w:ascii="宋体" w:hAnsi="宋体" w:eastAsia="宋体" w:cs="宋体"/>
          <w:b w:val="0"/>
          <w:color w:val="auto"/>
          <w:szCs w:val="30"/>
        </w:rPr>
      </w:pPr>
      <w:bookmarkStart w:id="0" w:name="_Toc11641050"/>
      <w:bookmarkStart w:id="1" w:name="_Toc8707"/>
      <w:bookmarkStart w:id="2" w:name="_Toc12789052"/>
      <w:bookmarkStart w:id="3" w:name="_Toc23659"/>
      <w:r>
        <w:rPr>
          <w:rFonts w:hint="eastAsia" w:ascii="宋体" w:hAnsi="宋体" w:eastAsia="宋体" w:cs="宋体"/>
          <w:b w:val="0"/>
          <w:color w:val="auto"/>
          <w:sz w:val="36"/>
          <w:szCs w:val="30"/>
        </w:rPr>
        <w:t>第一篇  采购邀请书</w:t>
      </w:r>
      <w:bookmarkEnd w:id="0"/>
      <w:bookmarkEnd w:id="1"/>
      <w:bookmarkEnd w:id="2"/>
      <w:bookmarkEnd w:id="3"/>
    </w:p>
    <w:p>
      <w:pPr>
        <w:spacing w:line="440" w:lineRule="exact"/>
        <w:ind w:firstLine="315" w:firstLineChars="150"/>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u w:val="single"/>
        </w:rPr>
        <w:t>重庆渝强工程项目管理有限公司</w:t>
      </w:r>
      <w:r>
        <w:rPr>
          <w:rFonts w:hint="eastAsia" w:ascii="宋体" w:hAnsi="宋体" w:cs="宋体"/>
          <w:color w:val="auto"/>
          <w:sz w:val="21"/>
          <w:szCs w:val="21"/>
        </w:rPr>
        <w:t>（以下简称：采购代理机构）接受</w:t>
      </w:r>
      <w:r>
        <w:rPr>
          <w:rFonts w:hint="eastAsia" w:ascii="宋体" w:hAnsi="宋体" w:cs="宋体"/>
          <w:color w:val="auto"/>
          <w:sz w:val="21"/>
          <w:szCs w:val="21"/>
          <w:u w:val="single"/>
        </w:rPr>
        <w:t>重庆四面山水文化旅游有限公司</w:t>
      </w:r>
      <w:r>
        <w:rPr>
          <w:rFonts w:hint="eastAsia" w:ascii="宋体" w:hAnsi="宋体" w:cs="宋体"/>
          <w:color w:val="auto"/>
          <w:sz w:val="21"/>
          <w:szCs w:val="21"/>
        </w:rPr>
        <w:t>（以下简称：采购人）的委托，对</w:t>
      </w:r>
      <w:r>
        <w:rPr>
          <w:rFonts w:hint="eastAsia" w:ascii="宋体" w:hAnsi="宋体" w:cs="宋体"/>
          <w:color w:val="auto"/>
          <w:sz w:val="21"/>
          <w:szCs w:val="21"/>
          <w:u w:val="single"/>
        </w:rPr>
        <w:t>4艘快艇及四面山7号船舶维修</w:t>
      </w:r>
      <w:r>
        <w:rPr>
          <w:rFonts w:hint="eastAsia" w:ascii="宋体" w:hAnsi="宋体" w:cs="宋体"/>
          <w:color w:val="auto"/>
          <w:sz w:val="21"/>
          <w:szCs w:val="21"/>
        </w:rPr>
        <w:t>进行竞争性磋商采购,欢迎有资格的供应商前来参与磋商。</w:t>
      </w:r>
    </w:p>
    <w:p>
      <w:pPr>
        <w:pStyle w:val="5"/>
        <w:spacing w:before="0" w:after="0" w:line="440" w:lineRule="exact"/>
        <w:ind w:firstLine="422" w:firstLineChars="200"/>
        <w:rPr>
          <w:rFonts w:ascii="宋体" w:hAnsi="宋体" w:cs="宋体"/>
          <w:color w:val="auto"/>
          <w:sz w:val="21"/>
          <w:szCs w:val="21"/>
        </w:rPr>
      </w:pPr>
      <w:bookmarkStart w:id="4" w:name="_Toc313893526"/>
      <w:bookmarkStart w:id="5" w:name="_Toc19057"/>
      <w:bookmarkStart w:id="6" w:name="_Toc317775175"/>
      <w:bookmarkStart w:id="7" w:name="_Toc15230"/>
      <w:r>
        <w:rPr>
          <w:rFonts w:hint="eastAsia" w:ascii="宋体" w:hAnsi="宋体" w:cs="宋体"/>
          <w:color w:val="auto"/>
          <w:sz w:val="21"/>
          <w:szCs w:val="21"/>
        </w:rPr>
        <w:t>一、竞争性磋商内容</w:t>
      </w:r>
      <w:bookmarkEnd w:id="4"/>
      <w:bookmarkEnd w:id="5"/>
      <w:bookmarkEnd w:id="6"/>
      <w:bookmarkEnd w:id="7"/>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3"/>
        <w:gridCol w:w="1665"/>
        <w:gridCol w:w="96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53" w:type="dxa"/>
            <w:tcBorders>
              <w:top w:val="single" w:color="auto" w:sz="4" w:space="0"/>
              <w:left w:val="single" w:color="auto" w:sz="4" w:space="0"/>
              <w:right w:val="single" w:color="auto" w:sz="4" w:space="0"/>
            </w:tcBorders>
            <w:vAlign w:val="center"/>
          </w:tcPr>
          <w:p>
            <w:pPr>
              <w:widowControl/>
              <w:spacing w:line="44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项目名称</w:t>
            </w:r>
          </w:p>
        </w:tc>
        <w:tc>
          <w:tcPr>
            <w:tcW w:w="1665" w:type="dxa"/>
            <w:tcBorders>
              <w:top w:val="single" w:color="auto" w:sz="4" w:space="0"/>
              <w:left w:val="single" w:color="auto" w:sz="4" w:space="0"/>
              <w:right w:val="single" w:color="auto" w:sz="4" w:space="0"/>
            </w:tcBorders>
            <w:vAlign w:val="center"/>
          </w:tcPr>
          <w:p>
            <w:pPr>
              <w:widowControl/>
              <w:spacing w:line="44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最高限价</w:t>
            </w:r>
          </w:p>
          <w:p>
            <w:pPr>
              <w:spacing w:line="44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（万元）</w:t>
            </w:r>
          </w:p>
        </w:tc>
        <w:tc>
          <w:tcPr>
            <w:tcW w:w="962"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保证金（万元）</w:t>
            </w:r>
          </w:p>
        </w:tc>
        <w:tc>
          <w:tcPr>
            <w:tcW w:w="1276"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153" w:type="dxa"/>
            <w:tcBorders>
              <w:top w:val="single" w:color="auto" w:sz="4" w:space="0"/>
              <w:left w:val="single" w:color="auto" w:sz="4" w:space="0"/>
              <w:right w:val="single" w:color="auto" w:sz="4" w:space="0"/>
            </w:tcBorders>
            <w:vAlign w:val="center"/>
          </w:tcPr>
          <w:p>
            <w:pPr>
              <w:widowControl/>
              <w:tabs>
                <w:tab w:val="left" w:pos="3840"/>
                <w:tab w:val="left" w:pos="5300"/>
              </w:tabs>
              <w:snapToGrid w:val="0"/>
              <w:spacing w:line="440" w:lineRule="exact"/>
              <w:jc w:val="center"/>
              <w:textAlignment w:val="baseline"/>
              <w:rPr>
                <w:rFonts w:ascii="宋体" w:hAnsi="宋体" w:cs="宋体"/>
                <w:b/>
                <w:color w:val="auto"/>
                <w:sz w:val="21"/>
                <w:szCs w:val="21"/>
              </w:rPr>
            </w:pPr>
            <w:bookmarkStart w:id="8" w:name="_Hlk344477914"/>
            <w:r>
              <w:rPr>
                <w:rStyle w:val="82"/>
                <w:rFonts w:hint="eastAsia" w:ascii="宋体" w:hAnsi="宋体" w:cs="宋体"/>
                <w:b/>
                <w:color w:val="auto"/>
                <w:kern w:val="0"/>
                <w:sz w:val="21"/>
                <w:szCs w:val="21"/>
              </w:rPr>
              <w:t>4艘快艇及四面山7号船舶维修</w:t>
            </w:r>
          </w:p>
        </w:tc>
        <w:tc>
          <w:tcPr>
            <w:tcW w:w="1665"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b/>
                <w:color w:val="auto"/>
                <w:sz w:val="21"/>
                <w:szCs w:val="21"/>
              </w:rPr>
            </w:pPr>
            <w:r>
              <w:rPr>
                <w:rFonts w:hint="eastAsia" w:ascii="宋体" w:hAnsi="宋体" w:cs="宋体"/>
                <w:b/>
                <w:color w:val="auto"/>
                <w:sz w:val="21"/>
                <w:szCs w:val="21"/>
              </w:rPr>
              <w:t>19.16</w:t>
            </w:r>
          </w:p>
        </w:tc>
        <w:tc>
          <w:tcPr>
            <w:tcW w:w="962"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b/>
                <w:color w:val="auto"/>
                <w:sz w:val="21"/>
                <w:szCs w:val="21"/>
              </w:rPr>
            </w:pPr>
            <w:r>
              <w:rPr>
                <w:rFonts w:hint="eastAsia" w:ascii="宋体" w:hAnsi="宋体" w:cs="宋体"/>
                <w:b/>
                <w:color w:val="auto"/>
                <w:sz w:val="21"/>
                <w:szCs w:val="21"/>
              </w:rPr>
              <w:t>0.3</w:t>
            </w:r>
          </w:p>
        </w:tc>
        <w:tc>
          <w:tcPr>
            <w:tcW w:w="1276"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b/>
                <w:color w:val="auto"/>
                <w:sz w:val="21"/>
                <w:szCs w:val="21"/>
              </w:rPr>
            </w:pPr>
            <w:r>
              <w:rPr>
                <w:rFonts w:hint="eastAsia" w:ascii="宋体" w:hAnsi="宋体" w:cs="宋体"/>
                <w:b/>
                <w:color w:val="auto"/>
                <w:sz w:val="21"/>
                <w:szCs w:val="21"/>
              </w:rPr>
              <w:t>1</w:t>
            </w:r>
          </w:p>
        </w:tc>
      </w:tr>
      <w:bookmarkEnd w:id="8"/>
    </w:tbl>
    <w:p>
      <w:pPr>
        <w:pStyle w:val="5"/>
        <w:spacing w:before="0" w:after="0" w:line="440" w:lineRule="exact"/>
        <w:ind w:firstLine="422" w:firstLineChars="200"/>
        <w:rPr>
          <w:rFonts w:ascii="宋体" w:hAnsi="宋体" w:cs="宋体"/>
          <w:color w:val="auto"/>
          <w:sz w:val="21"/>
          <w:szCs w:val="21"/>
        </w:rPr>
      </w:pPr>
      <w:bookmarkStart w:id="9" w:name="_Toc632"/>
      <w:bookmarkStart w:id="10" w:name="_Toc15438"/>
      <w:bookmarkStart w:id="11" w:name="_Toc373860293"/>
      <w:bookmarkStart w:id="12" w:name="_Toc317775178"/>
      <w:r>
        <w:rPr>
          <w:rFonts w:hint="eastAsia" w:ascii="宋体" w:hAnsi="宋体" w:cs="宋体"/>
          <w:color w:val="auto"/>
          <w:sz w:val="21"/>
          <w:szCs w:val="21"/>
        </w:rPr>
        <w:t>二、资金来源</w:t>
      </w:r>
      <w:bookmarkEnd w:id="9"/>
      <w:bookmarkEnd w:id="10"/>
    </w:p>
    <w:p>
      <w:pPr>
        <w:snapToGrid w:val="0"/>
        <w:spacing w:line="440" w:lineRule="exact"/>
        <w:ind w:firstLine="420" w:firstLineChars="200"/>
        <w:rPr>
          <w:rFonts w:ascii="宋体" w:hAnsi="宋体" w:cs="宋体"/>
          <w:color w:val="auto"/>
          <w:sz w:val="21"/>
          <w:szCs w:val="21"/>
        </w:rPr>
      </w:pPr>
      <w:bookmarkStart w:id="13" w:name="_Toc11016"/>
      <w:bookmarkStart w:id="14" w:name="_Toc14025"/>
      <w:r>
        <w:rPr>
          <w:rFonts w:hint="eastAsia" w:ascii="宋体" w:hAnsi="宋体" w:cs="宋体"/>
          <w:color w:val="auto"/>
          <w:sz w:val="21"/>
          <w:szCs w:val="21"/>
        </w:rPr>
        <w:t xml:space="preserve">   单位自筹资金。</w:t>
      </w:r>
    </w:p>
    <w:p>
      <w:pPr>
        <w:pStyle w:val="5"/>
        <w:spacing w:before="0" w:after="0" w:line="440" w:lineRule="exact"/>
        <w:ind w:firstLine="422" w:firstLineChars="200"/>
        <w:rPr>
          <w:rFonts w:ascii="宋体" w:hAnsi="宋体" w:cs="宋体"/>
          <w:color w:val="auto"/>
          <w:sz w:val="21"/>
          <w:szCs w:val="21"/>
        </w:rPr>
      </w:pPr>
      <w:r>
        <w:rPr>
          <w:rFonts w:hint="eastAsia" w:ascii="宋体" w:hAnsi="宋体" w:cs="宋体"/>
          <w:color w:val="auto"/>
          <w:sz w:val="21"/>
          <w:szCs w:val="21"/>
        </w:rPr>
        <w:t>三、供应商资格条件</w:t>
      </w:r>
      <w:bookmarkEnd w:id="13"/>
      <w:bookmarkEnd w:id="14"/>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（一）满足《中华人民共和国政府采购法》第二十二条规定；</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（二）落实政府采购政策需满足的资格要求：无。</w:t>
      </w:r>
    </w:p>
    <w:p>
      <w:pPr>
        <w:spacing w:line="440" w:lineRule="exact"/>
        <w:ind w:firstLine="420" w:firstLineChars="200"/>
        <w:rPr>
          <w:color w:val="auto"/>
        </w:rPr>
      </w:pPr>
      <w:r>
        <w:rPr>
          <w:rFonts w:hint="eastAsia" w:ascii="宋体" w:hAnsi="宋体" w:cs="宋体"/>
          <w:color w:val="auto"/>
          <w:sz w:val="21"/>
          <w:szCs w:val="21"/>
        </w:rPr>
        <w:t>（三）本项目的特定资格要求：</w:t>
      </w:r>
      <w:r>
        <w:rPr>
          <w:rFonts w:hint="eastAsia" w:ascii="宋体" w:hAnsi="宋体" w:cs="宋体"/>
          <w:color w:val="auto"/>
          <w:sz w:val="21"/>
          <w:szCs w:val="21"/>
        </w:rPr>
        <w:t>无</w:t>
      </w:r>
    </w:p>
    <w:bookmarkEnd w:id="11"/>
    <w:p>
      <w:pPr>
        <w:pStyle w:val="5"/>
        <w:spacing w:before="0" w:after="0" w:line="440" w:lineRule="exact"/>
        <w:ind w:firstLine="422" w:firstLineChars="200"/>
        <w:rPr>
          <w:rFonts w:ascii="宋体" w:hAnsi="宋体" w:cs="宋体"/>
          <w:color w:val="auto"/>
          <w:sz w:val="21"/>
          <w:szCs w:val="21"/>
        </w:rPr>
      </w:pPr>
      <w:r>
        <w:rPr>
          <w:rFonts w:hint="eastAsia" w:ascii="宋体" w:hAnsi="宋体" w:cs="宋体"/>
          <w:color w:val="auto"/>
          <w:sz w:val="21"/>
          <w:szCs w:val="21"/>
        </w:rPr>
        <w:t>四、投标、开标有关说明</w:t>
      </w:r>
    </w:p>
    <w:p>
      <w:pPr>
        <w:wordWrap w:val="0"/>
        <w:spacing w:line="440" w:lineRule="exact"/>
        <w:ind w:firstLine="420" w:firstLineChars="200"/>
        <w:jc w:val="left"/>
        <w:rPr>
          <w:rFonts w:ascii="宋体" w:hAnsi="宋体" w:cs="宋体"/>
          <w:color w:val="auto"/>
          <w:sz w:val="21"/>
          <w:szCs w:val="21"/>
        </w:rPr>
      </w:pPr>
      <w:bookmarkStart w:id="15" w:name="_Toc23321"/>
      <w:bookmarkStart w:id="16" w:name="_Toc31604"/>
      <w:bookmarkStart w:id="17" w:name="_Toc373860294"/>
      <w:r>
        <w:rPr>
          <w:rFonts w:hint="eastAsia" w:ascii="宋体" w:hAnsi="宋体" w:cs="宋体"/>
          <w:color w:val="auto"/>
          <w:sz w:val="21"/>
          <w:szCs w:val="21"/>
        </w:rPr>
        <w:t>（一）凡有意参加磋商的供应商，请在</w:t>
      </w:r>
      <w:r>
        <w:rPr>
          <w:rFonts w:hint="eastAsia" w:ascii="宋体" w:hAnsi="宋体" w:cs="宋体"/>
          <w:color w:val="auto"/>
          <w:sz w:val="21"/>
          <w:szCs w:val="21"/>
        </w:rPr>
        <w:t>重庆市江津区人民政府官网站上（http://www.jiangjin.gov.cn/）</w:t>
      </w:r>
      <w:r>
        <w:rPr>
          <w:rFonts w:hint="eastAsia" w:ascii="宋体" w:hAnsi="宋体" w:cs="宋体"/>
          <w:color w:val="auto"/>
          <w:sz w:val="21"/>
          <w:szCs w:val="21"/>
        </w:rPr>
        <w:t>上下载本项目竞争性磋商文件以及图纸、澄清等磋商前公布的所有项目资料，无论供应商下载与否，均视为已知晓所有磋商实质性要求内容。</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（三）竞争性磋商公告期限：自采购公告发布之日（2023年6月</w:t>
      </w:r>
      <w:r>
        <w:rPr>
          <w:rFonts w:hint="eastAsia" w:ascii="宋体" w:hAnsi="宋体" w:cs="宋体"/>
          <w:color w:val="auto"/>
          <w:sz w:val="21"/>
          <w:szCs w:val="21"/>
          <w:lang w:val="en-US" w:eastAsia="zh-CN"/>
        </w:rPr>
        <w:t>9</w:t>
      </w:r>
      <w:r>
        <w:rPr>
          <w:rFonts w:hint="eastAsia" w:ascii="宋体" w:hAnsi="宋体" w:cs="宋体"/>
          <w:color w:val="auto"/>
          <w:sz w:val="21"/>
          <w:szCs w:val="21"/>
        </w:rPr>
        <w:t>日</w:t>
      </w:r>
      <w:r>
        <w:rPr>
          <w:rStyle w:val="103"/>
          <w:rFonts w:hint="eastAsia" w:ascii="微软雅黑" w:hAnsi="微软雅黑" w:eastAsia="微软雅黑" w:cs="微软雅黑"/>
          <w:color w:val="auto"/>
          <w:sz w:val="24"/>
          <w:szCs w:val="24"/>
        </w:rPr>
        <w:t>）</w:t>
      </w:r>
      <w:r>
        <w:rPr>
          <w:rFonts w:hint="eastAsia" w:ascii="宋体" w:hAnsi="宋体" w:cs="宋体"/>
          <w:color w:val="auto"/>
          <w:sz w:val="21"/>
          <w:szCs w:val="21"/>
        </w:rPr>
        <w:t>起三个工作日。</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（四）竞争性磋商文件发售期限： </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竞争性磋商文件发售期：2023年</w:t>
      </w:r>
      <w:r>
        <w:rPr>
          <w:rFonts w:hint="eastAsia" w:ascii="宋体" w:hAnsi="宋体" w:cs="宋体"/>
          <w:color w:val="auto"/>
          <w:sz w:val="21"/>
          <w:szCs w:val="21"/>
          <w:u w:val="single"/>
        </w:rPr>
        <w:t xml:space="preserve"> 6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9</w:t>
      </w:r>
      <w:r>
        <w:rPr>
          <w:rFonts w:hint="eastAsia" w:ascii="宋体" w:hAnsi="宋体" w:cs="宋体"/>
          <w:color w:val="auto"/>
          <w:sz w:val="21"/>
          <w:szCs w:val="21"/>
          <w:u w:val="single"/>
        </w:rPr>
        <w:t xml:space="preserve"> </w:t>
      </w:r>
      <w:r>
        <w:rPr>
          <w:rFonts w:hint="eastAsia" w:ascii="宋体" w:hAnsi="宋体" w:cs="宋体"/>
          <w:color w:val="auto"/>
          <w:sz w:val="21"/>
          <w:szCs w:val="21"/>
        </w:rPr>
        <w:t>日至2023年</w:t>
      </w:r>
      <w:r>
        <w:rPr>
          <w:rFonts w:hint="eastAsia" w:ascii="宋体" w:hAnsi="宋体" w:cs="宋体"/>
          <w:color w:val="auto"/>
          <w:sz w:val="21"/>
          <w:szCs w:val="21"/>
          <w:u w:val="single"/>
        </w:rPr>
        <w:t xml:space="preserve"> 6 </w:t>
      </w:r>
      <w:r>
        <w:rPr>
          <w:rFonts w:hint="eastAsia" w:ascii="宋体" w:hAnsi="宋体" w:cs="宋体"/>
          <w:color w:val="auto"/>
          <w:sz w:val="21"/>
          <w:szCs w:val="21"/>
        </w:rPr>
        <w:t>月</w:t>
      </w:r>
      <w:r>
        <w:rPr>
          <w:rFonts w:hint="eastAsia" w:ascii="宋体" w:hAnsi="宋体" w:cs="宋体"/>
          <w:color w:val="auto"/>
          <w:sz w:val="21"/>
          <w:szCs w:val="21"/>
          <w:u w:val="single"/>
        </w:rPr>
        <w:t xml:space="preserve"> 19 </w:t>
      </w:r>
      <w:r>
        <w:rPr>
          <w:rFonts w:hint="eastAsia" w:ascii="宋体" w:hAnsi="宋体" w:cs="宋体"/>
          <w:color w:val="auto"/>
          <w:sz w:val="21"/>
          <w:szCs w:val="21"/>
        </w:rPr>
        <w:t>日。</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（五）递交响应文件地点：</w:t>
      </w:r>
      <w:r>
        <w:rPr>
          <w:rFonts w:hint="eastAsia" w:ascii="宋体" w:hAnsi="宋体" w:cs="宋体"/>
          <w:color w:val="auto"/>
          <w:sz w:val="21"/>
          <w:szCs w:val="21"/>
        </w:rPr>
        <w:t>江津区几江街道北固门街世豪大厦斜对面（东方摄影处）重庆市四面山旅游（集团）有限公司办事处。</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（六）响应文件递交截止时间：2023年</w:t>
      </w:r>
      <w:r>
        <w:rPr>
          <w:rFonts w:hint="eastAsia" w:ascii="宋体" w:hAnsi="宋体" w:cs="宋体"/>
          <w:color w:val="auto"/>
          <w:sz w:val="21"/>
          <w:szCs w:val="21"/>
          <w:u w:val="single"/>
        </w:rPr>
        <w:t xml:space="preserve"> 6 </w:t>
      </w:r>
      <w:r>
        <w:rPr>
          <w:rFonts w:hint="eastAsia" w:ascii="宋体" w:hAnsi="宋体" w:cs="宋体"/>
          <w:color w:val="auto"/>
          <w:sz w:val="21"/>
          <w:szCs w:val="21"/>
        </w:rPr>
        <w:t>月</w:t>
      </w:r>
      <w:r>
        <w:rPr>
          <w:rFonts w:hint="eastAsia" w:ascii="宋体" w:hAnsi="宋体" w:cs="宋体"/>
          <w:color w:val="auto"/>
          <w:sz w:val="21"/>
          <w:szCs w:val="21"/>
          <w:u w:val="single"/>
        </w:rPr>
        <w:t xml:space="preserve"> 19 </w:t>
      </w:r>
      <w:r>
        <w:rPr>
          <w:rFonts w:hint="eastAsia" w:ascii="宋体" w:hAnsi="宋体" w:cs="宋体"/>
          <w:color w:val="auto"/>
          <w:sz w:val="21"/>
          <w:szCs w:val="21"/>
        </w:rPr>
        <w:t>日北京时间</w:t>
      </w:r>
      <w:r>
        <w:rPr>
          <w:rFonts w:ascii="宋体" w:hAnsi="宋体" w:cs="宋体"/>
          <w:color w:val="auto"/>
          <w:sz w:val="21"/>
          <w:szCs w:val="21"/>
        </w:rPr>
        <w:t>10</w:t>
      </w:r>
      <w:r>
        <w:rPr>
          <w:rFonts w:hint="eastAsia" w:ascii="宋体" w:hAnsi="宋体" w:cs="宋体"/>
          <w:color w:val="auto"/>
          <w:sz w:val="21"/>
          <w:szCs w:val="21"/>
        </w:rPr>
        <w:t>:00</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（七）磋商开始时间：2023年</w:t>
      </w:r>
      <w:r>
        <w:rPr>
          <w:rFonts w:hint="eastAsia" w:ascii="宋体" w:hAnsi="宋体" w:cs="宋体"/>
          <w:color w:val="auto"/>
          <w:sz w:val="21"/>
          <w:szCs w:val="21"/>
          <w:u w:val="single"/>
        </w:rPr>
        <w:t xml:space="preserve"> 6 </w:t>
      </w:r>
      <w:r>
        <w:rPr>
          <w:rFonts w:hint="eastAsia" w:ascii="宋体" w:hAnsi="宋体" w:cs="宋体"/>
          <w:color w:val="auto"/>
          <w:sz w:val="21"/>
          <w:szCs w:val="21"/>
        </w:rPr>
        <w:t>月</w:t>
      </w:r>
      <w:r>
        <w:rPr>
          <w:rFonts w:hint="eastAsia" w:ascii="宋体" w:hAnsi="宋体" w:cs="宋体"/>
          <w:color w:val="auto"/>
          <w:sz w:val="21"/>
          <w:szCs w:val="21"/>
          <w:u w:val="single"/>
        </w:rPr>
        <w:t xml:space="preserve"> 19 </w:t>
      </w:r>
      <w:r>
        <w:rPr>
          <w:rFonts w:hint="eastAsia" w:ascii="宋体" w:hAnsi="宋体" w:cs="宋体"/>
          <w:color w:val="auto"/>
          <w:sz w:val="21"/>
          <w:szCs w:val="21"/>
        </w:rPr>
        <w:t>日北京时间</w:t>
      </w:r>
      <w:r>
        <w:rPr>
          <w:rFonts w:ascii="宋体" w:hAnsi="宋体" w:cs="宋体"/>
          <w:color w:val="auto"/>
          <w:sz w:val="21"/>
          <w:szCs w:val="21"/>
        </w:rPr>
        <w:t>10</w:t>
      </w:r>
      <w:r>
        <w:rPr>
          <w:rFonts w:hint="eastAsia" w:ascii="宋体" w:hAnsi="宋体" w:cs="宋体"/>
          <w:color w:val="auto"/>
          <w:sz w:val="21"/>
          <w:szCs w:val="21"/>
        </w:rPr>
        <w:t>:</w:t>
      </w:r>
      <w:r>
        <w:rPr>
          <w:rFonts w:ascii="宋体" w:hAnsi="宋体" w:cs="宋体"/>
          <w:color w:val="auto"/>
          <w:sz w:val="21"/>
          <w:szCs w:val="21"/>
        </w:rPr>
        <w:t>0</w:t>
      </w:r>
      <w:r>
        <w:rPr>
          <w:rFonts w:hint="eastAsia" w:ascii="宋体" w:hAnsi="宋体" w:cs="宋体"/>
          <w:color w:val="auto"/>
          <w:sz w:val="21"/>
          <w:szCs w:val="21"/>
        </w:rPr>
        <w:t>0</w:t>
      </w:r>
    </w:p>
    <w:bookmarkEnd w:id="12"/>
    <w:bookmarkEnd w:id="15"/>
    <w:bookmarkEnd w:id="16"/>
    <w:bookmarkEnd w:id="17"/>
    <w:p>
      <w:pPr>
        <w:pStyle w:val="4"/>
        <w:spacing w:before="0" w:after="0" w:line="440" w:lineRule="exact"/>
        <w:ind w:firstLine="422" w:firstLineChars="200"/>
        <w:rPr>
          <w:rFonts w:ascii="宋体" w:hAnsi="宋体" w:eastAsia="宋体" w:cs="宋体"/>
          <w:color w:val="auto"/>
          <w:sz w:val="21"/>
          <w:szCs w:val="21"/>
        </w:rPr>
      </w:pPr>
      <w:bookmarkStart w:id="18" w:name="_Toc3476"/>
      <w:bookmarkStart w:id="19" w:name="_Toc12663"/>
      <w:bookmarkStart w:id="20" w:name="_Toc30895"/>
      <w:bookmarkStart w:id="21" w:name="_Toc11844"/>
      <w:bookmarkStart w:id="22" w:name="_Toc23960"/>
      <w:bookmarkStart w:id="23" w:name="_Toc7836"/>
      <w:bookmarkStart w:id="24" w:name="_Toc524"/>
      <w:bookmarkStart w:id="25" w:name="_Toc18100"/>
      <w:bookmarkStart w:id="26" w:name="_Toc12090"/>
      <w:bookmarkStart w:id="27" w:name="_Toc24604"/>
      <w:bookmarkStart w:id="28" w:name="_Toc22111"/>
      <w:bookmarkStart w:id="29" w:name="_Toc25854"/>
      <w:bookmarkStart w:id="30" w:name="_Toc9290"/>
      <w:bookmarkStart w:id="31" w:name="_Toc15717"/>
      <w:bookmarkStart w:id="32" w:name="_Toc3048"/>
      <w:bookmarkStart w:id="33" w:name="_Toc75793500"/>
      <w:bookmarkStart w:id="34" w:name="_Toc26013"/>
      <w:bookmarkStart w:id="35" w:name="_Toc480466700"/>
      <w:bookmarkStart w:id="36" w:name="_Toc25247"/>
      <w:r>
        <w:rPr>
          <w:rFonts w:hint="eastAsia" w:ascii="宋体" w:hAnsi="宋体" w:eastAsia="宋体" w:cs="宋体"/>
          <w:color w:val="auto"/>
          <w:sz w:val="21"/>
          <w:szCs w:val="21"/>
        </w:rPr>
        <w:t>五、投标保证金</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（一）缴纳投标保证金方式</w:t>
      </w:r>
      <w:bookmarkStart w:id="154" w:name="_GoBack"/>
      <w:bookmarkEnd w:id="154"/>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投标保证金只能通过电汇或网银方式缴纳，从投标人基本账户提交，转款时汇出账号必须与开户许可证上的账号一致，不得使用其它方式进账，否则投标无效。转款时在备注或用途栏注明项目名称。</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投标保证金账户</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开户行：重庆农村商业银行江津支行四面山分理处</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户名：重庆四面山水文化旅游有限公司</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账号：1556010120010003634 </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（三）投标保证金缴纳截止时间：2023年6月 18 日17:00前（以到账时间为准）。</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（四）保证金退还方式</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在成交通知书发出后10个工作日内，无息退还未成交供应商的投标保证金。成交供应商的投标保证金在采购合同签订后10个工作日内无息退还。保证金不退还现金，只能转账退还投标单位账户，不能转委托退还其它单位或个人。</w:t>
      </w:r>
    </w:p>
    <w:p>
      <w:pPr>
        <w:pStyle w:val="4"/>
        <w:adjustRightInd w:val="0"/>
        <w:snapToGrid w:val="0"/>
        <w:spacing w:before="0" w:after="0" w:line="440" w:lineRule="exact"/>
        <w:ind w:firstLine="422" w:firstLineChars="200"/>
        <w:rPr>
          <w:rFonts w:ascii="宋体" w:hAnsi="宋体" w:eastAsia="宋体" w:cs="宋体"/>
          <w:color w:val="auto"/>
          <w:sz w:val="21"/>
          <w:szCs w:val="21"/>
        </w:rPr>
      </w:pPr>
      <w:bookmarkStart w:id="37" w:name="_Toc76462321"/>
      <w:bookmarkStart w:id="38" w:name="_Toc106030875"/>
      <w:r>
        <w:rPr>
          <w:rFonts w:hint="eastAsia" w:ascii="宋体" w:hAnsi="宋体" w:eastAsia="宋体" w:cs="宋体"/>
          <w:color w:val="auto"/>
          <w:sz w:val="21"/>
          <w:szCs w:val="21"/>
        </w:rPr>
        <w:t>六、</w:t>
      </w:r>
      <w:bookmarkStart w:id="39" w:name="_Toc479668114"/>
      <w:bookmarkStart w:id="40" w:name="_Toc480466698"/>
      <w:r>
        <w:rPr>
          <w:rFonts w:hint="eastAsia" w:ascii="宋体" w:hAnsi="宋体" w:eastAsia="宋体" w:cs="宋体"/>
          <w:color w:val="auto"/>
          <w:sz w:val="21"/>
          <w:szCs w:val="21"/>
        </w:rPr>
        <w:t>采购项目需落实的政府采购政策</w:t>
      </w:r>
      <w:bookmarkEnd w:id="37"/>
      <w:bookmarkEnd w:id="38"/>
      <w:bookmarkEnd w:id="39"/>
      <w:bookmarkEnd w:id="40"/>
    </w:p>
    <w:p>
      <w:pPr>
        <w:snapToGrid w:val="0"/>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（二）按照财政部、工业和信息化部关于印发《政府采购促进中小企业发展管理办法》的通知（财库〔2020〕46号）的规定，落实促进中小企业发展政策。</w:t>
      </w:r>
    </w:p>
    <w:p>
      <w:pPr>
        <w:snapToGrid w:val="0"/>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（三）按照《财政部、司法部关于政府采购支持监狱企业发展有关问题的通知》（财库〔2014〕68号）的规定，落实支持监狱企业发展政策。</w:t>
      </w:r>
    </w:p>
    <w:p>
      <w:pPr>
        <w:snapToGrid w:val="0"/>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（四）按照《三部门联合发布关于促进残疾人就业政府采购政策的通知》（财库〔2017〕 141号）的规定，落实支持残疾人福利性单位发展政策。</w:t>
      </w:r>
    </w:p>
    <w:p>
      <w:pPr>
        <w:pStyle w:val="4"/>
        <w:adjustRightInd w:val="0"/>
        <w:snapToGrid w:val="0"/>
        <w:spacing w:before="0" w:after="0" w:line="440" w:lineRule="exact"/>
        <w:ind w:firstLine="422" w:firstLineChars="200"/>
        <w:rPr>
          <w:rFonts w:ascii="宋体" w:hAnsi="宋体" w:eastAsia="宋体" w:cs="宋体"/>
          <w:color w:val="auto"/>
          <w:sz w:val="21"/>
          <w:szCs w:val="21"/>
        </w:rPr>
      </w:pPr>
      <w:bookmarkStart w:id="41" w:name="_Toc480466699"/>
      <w:bookmarkStart w:id="42" w:name="_Toc106030876"/>
      <w:bookmarkStart w:id="43" w:name="_Toc76462322"/>
      <w:r>
        <w:rPr>
          <w:rFonts w:hint="eastAsia" w:ascii="宋体" w:hAnsi="宋体" w:eastAsia="宋体" w:cs="宋体"/>
          <w:color w:val="auto"/>
          <w:sz w:val="21"/>
          <w:szCs w:val="21"/>
        </w:rPr>
        <w:t>七、其它有关规定</w:t>
      </w:r>
      <w:bookmarkEnd w:id="41"/>
      <w:bookmarkEnd w:id="42"/>
      <w:bookmarkEnd w:id="43"/>
    </w:p>
    <w:p>
      <w:pPr>
        <w:snapToGrid w:val="0"/>
        <w:spacing w:line="440" w:lineRule="exact"/>
        <w:ind w:firstLine="315" w:firstLineChars="150"/>
        <w:rPr>
          <w:rFonts w:ascii="宋体" w:hAnsi="宋体" w:cs="宋体"/>
          <w:color w:val="auto"/>
          <w:sz w:val="21"/>
          <w:szCs w:val="21"/>
        </w:rPr>
      </w:pPr>
      <w:r>
        <w:rPr>
          <w:rFonts w:hint="eastAsia" w:ascii="宋体" w:hAnsi="宋体" w:cs="宋体"/>
          <w:color w:val="auto"/>
          <w:sz w:val="21"/>
          <w:szCs w:val="21"/>
        </w:rPr>
        <w:t>（一）单位负责人为同一人或者存在直接控股、管理关系的不同供应商，不得参加同一合同项（包）下的政府采购活动，否则均为无效响应。</w:t>
      </w:r>
    </w:p>
    <w:p>
      <w:pPr>
        <w:snapToGrid w:val="0"/>
        <w:spacing w:line="440" w:lineRule="exact"/>
        <w:ind w:firstLine="315" w:firstLineChars="150"/>
        <w:rPr>
          <w:rFonts w:ascii="宋体" w:hAnsi="宋体" w:cs="宋体"/>
          <w:color w:val="auto"/>
          <w:sz w:val="21"/>
          <w:szCs w:val="21"/>
        </w:rPr>
      </w:pPr>
      <w:r>
        <w:rPr>
          <w:rFonts w:hint="eastAsia" w:ascii="宋体" w:hAnsi="宋体" w:cs="宋体"/>
          <w:color w:val="auto"/>
          <w:sz w:val="21"/>
          <w:szCs w:val="21"/>
        </w:rPr>
        <w:t>（二）为采购项目提供整体设计、规范编制或者项目管理、监理、检测等服务的供应商，不得再参加该采购项目的其他采购活动。</w:t>
      </w:r>
    </w:p>
    <w:p>
      <w:pPr>
        <w:wordWrap w:val="0"/>
        <w:snapToGrid w:val="0"/>
        <w:spacing w:line="440" w:lineRule="exact"/>
        <w:ind w:firstLine="315" w:firstLineChars="150"/>
        <w:rPr>
          <w:rFonts w:ascii="宋体" w:hAnsi="宋体" w:cs="宋体"/>
          <w:color w:val="auto"/>
          <w:sz w:val="21"/>
          <w:szCs w:val="21"/>
        </w:rPr>
      </w:pPr>
      <w:r>
        <w:rPr>
          <w:rFonts w:hint="eastAsia" w:ascii="宋体" w:hAnsi="宋体" w:cs="宋体"/>
          <w:color w:val="auto"/>
          <w:sz w:val="21"/>
          <w:szCs w:val="21"/>
        </w:rPr>
        <w:t>（三）本项目的澄清文件（如果有）一律在</w:t>
      </w:r>
      <w:r>
        <w:rPr>
          <w:rFonts w:hint="eastAsia" w:ascii="宋体" w:hAnsi="宋体" w:cs="宋体"/>
          <w:color w:val="auto"/>
          <w:sz w:val="21"/>
          <w:szCs w:val="21"/>
        </w:rPr>
        <w:t>重庆市江津区人民政府官网站上（http://www.jiangjin.gov.cn/）</w:t>
      </w:r>
      <w:r>
        <w:rPr>
          <w:rFonts w:hint="eastAsia" w:ascii="宋体" w:hAnsi="宋体" w:cs="宋体"/>
          <w:color w:val="auto"/>
          <w:sz w:val="21"/>
          <w:szCs w:val="21"/>
        </w:rPr>
        <w:t>发布，请各供应商注意下载；无论供应商下载与否，均视同供应商已知晓本项目澄清文件（如果有）的内容。</w:t>
      </w:r>
    </w:p>
    <w:p>
      <w:pPr>
        <w:snapToGrid w:val="0"/>
        <w:spacing w:line="440" w:lineRule="exact"/>
        <w:ind w:firstLine="315" w:firstLineChars="150"/>
        <w:rPr>
          <w:rFonts w:ascii="宋体" w:hAnsi="宋体" w:cs="宋体"/>
          <w:color w:val="auto"/>
          <w:sz w:val="21"/>
          <w:szCs w:val="21"/>
        </w:rPr>
      </w:pPr>
      <w:r>
        <w:rPr>
          <w:rFonts w:hint="eastAsia" w:ascii="宋体" w:hAnsi="宋体" w:cs="宋体"/>
          <w:color w:val="auto"/>
          <w:sz w:val="21"/>
          <w:szCs w:val="21"/>
        </w:rPr>
        <w:t>（四）超过响应文件截止时间递交的响应文件，恕不接收。</w:t>
      </w:r>
    </w:p>
    <w:p>
      <w:pPr>
        <w:snapToGrid w:val="0"/>
        <w:spacing w:line="440" w:lineRule="exact"/>
        <w:ind w:firstLine="315" w:firstLineChars="150"/>
        <w:rPr>
          <w:rFonts w:ascii="宋体" w:hAnsi="宋体" w:cs="宋体"/>
          <w:color w:val="auto"/>
          <w:sz w:val="21"/>
          <w:szCs w:val="21"/>
        </w:rPr>
      </w:pPr>
      <w:r>
        <w:rPr>
          <w:rFonts w:hint="eastAsia" w:ascii="宋体" w:hAnsi="宋体" w:cs="宋体"/>
          <w:color w:val="auto"/>
          <w:sz w:val="21"/>
          <w:szCs w:val="21"/>
        </w:rPr>
        <w:t>（五）磋商费用：无论磋商结果如何，供应商参与本项目磋商的所有费用均应由供应商自行承担。</w:t>
      </w:r>
    </w:p>
    <w:p>
      <w:pPr>
        <w:snapToGrid w:val="0"/>
        <w:spacing w:line="440" w:lineRule="exact"/>
        <w:ind w:firstLine="315" w:firstLineChars="150"/>
        <w:rPr>
          <w:rFonts w:ascii="宋体" w:hAnsi="宋体" w:cs="宋体"/>
          <w:b/>
          <w:color w:val="auto"/>
          <w:sz w:val="21"/>
          <w:szCs w:val="21"/>
        </w:rPr>
      </w:pPr>
      <w:r>
        <w:rPr>
          <w:rFonts w:hint="eastAsia" w:ascii="宋体" w:hAnsi="宋体" w:cs="宋体"/>
          <w:color w:val="auto"/>
          <w:sz w:val="21"/>
          <w:szCs w:val="21"/>
        </w:rPr>
        <w:t>（六）</w:t>
      </w:r>
      <w:r>
        <w:rPr>
          <w:rFonts w:hint="eastAsia" w:ascii="宋体" w:hAnsi="宋体" w:cs="宋体"/>
          <w:b/>
          <w:color w:val="auto"/>
          <w:sz w:val="21"/>
          <w:szCs w:val="21"/>
        </w:rPr>
        <w:t>本项目不接受联合体参与磋商，否则按无效处理。</w:t>
      </w:r>
    </w:p>
    <w:p>
      <w:pPr>
        <w:snapToGrid w:val="0"/>
        <w:spacing w:line="440" w:lineRule="exact"/>
        <w:ind w:firstLine="315" w:firstLineChars="150"/>
        <w:rPr>
          <w:rFonts w:ascii="宋体" w:hAnsi="宋体" w:cs="宋体"/>
          <w:color w:val="auto"/>
          <w:sz w:val="21"/>
          <w:szCs w:val="21"/>
        </w:rPr>
      </w:pPr>
      <w:r>
        <w:rPr>
          <w:rFonts w:hint="eastAsia" w:ascii="宋体" w:hAnsi="宋体" w:cs="宋体"/>
          <w:color w:val="auto"/>
          <w:sz w:val="21"/>
          <w:szCs w:val="21"/>
        </w:rPr>
        <w:t>（七）</w:t>
      </w:r>
      <w:r>
        <w:rPr>
          <w:rFonts w:hint="eastAsia" w:ascii="宋体" w:hAnsi="宋体" w:cs="宋体"/>
          <w:b/>
          <w:color w:val="auto"/>
          <w:sz w:val="21"/>
          <w:szCs w:val="21"/>
        </w:rPr>
        <w:t>本项目不接受合同分包，否则按无效处理。</w:t>
      </w:r>
    </w:p>
    <w:p>
      <w:pPr>
        <w:snapToGrid w:val="0"/>
        <w:spacing w:line="440" w:lineRule="exact"/>
        <w:ind w:firstLine="315" w:firstLineChars="150"/>
        <w:rPr>
          <w:rFonts w:ascii="宋体" w:hAnsi="宋体" w:cs="宋体"/>
          <w:color w:val="auto"/>
          <w:sz w:val="21"/>
          <w:szCs w:val="21"/>
        </w:rPr>
      </w:pPr>
      <w:r>
        <w:rPr>
          <w:rFonts w:hint="eastAsia" w:ascii="宋体" w:hAnsi="宋体" w:cs="宋体"/>
          <w:color w:val="auto"/>
          <w:sz w:val="21"/>
          <w:szCs w:val="21"/>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5"/>
        <w:spacing w:before="0" w:after="0" w:line="440" w:lineRule="exact"/>
        <w:ind w:firstLine="422" w:firstLineChars="200"/>
        <w:rPr>
          <w:rFonts w:ascii="宋体" w:hAnsi="宋体" w:cs="宋体"/>
          <w:color w:val="auto"/>
          <w:sz w:val="21"/>
          <w:szCs w:val="21"/>
        </w:rPr>
      </w:pPr>
      <w:r>
        <w:rPr>
          <w:rFonts w:hint="eastAsia" w:ascii="宋体" w:hAnsi="宋体" w:cs="宋体"/>
          <w:color w:val="auto"/>
          <w:sz w:val="21"/>
          <w:szCs w:val="21"/>
        </w:rPr>
        <w:t>八、联系方式</w:t>
      </w:r>
      <w:bookmarkEnd w:id="34"/>
      <w:bookmarkEnd w:id="35"/>
      <w:bookmarkEnd w:id="36"/>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（一）采购人：重庆四面山水文化旅游有限公司   </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联系人：岳老师</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电  话：15111902514</w:t>
      </w:r>
    </w:p>
    <w:p>
      <w:pPr>
        <w:spacing w:line="440" w:lineRule="exact"/>
        <w:ind w:firstLine="420" w:firstLineChars="200"/>
        <w:rPr>
          <w:rFonts w:ascii="宋体" w:hAnsi="宋体" w:cs="宋体"/>
          <w:color w:val="auto"/>
          <w:sz w:val="21"/>
          <w:szCs w:val="21"/>
        </w:rPr>
      </w:pPr>
      <w:bookmarkStart w:id="44" w:name="_Toc6341"/>
      <w:bookmarkStart w:id="45" w:name="_Toc21773"/>
      <w:r>
        <w:rPr>
          <w:rFonts w:hint="eastAsia" w:ascii="宋体" w:hAnsi="宋体" w:cs="宋体"/>
          <w:color w:val="auto"/>
          <w:sz w:val="21"/>
          <w:szCs w:val="21"/>
        </w:rPr>
        <w:t>采购代理机构：重庆渝强工程项目管理有限公司</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联系人：夏老师   </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电  话：（023）85574847、18983816836</w:t>
      </w:r>
    </w:p>
    <w:p>
      <w:pPr>
        <w:pStyle w:val="4"/>
        <w:spacing w:before="0" w:after="0" w:line="360" w:lineRule="auto"/>
        <w:jc w:val="center"/>
        <w:rPr>
          <w:rFonts w:ascii="宋体" w:hAnsi="宋体" w:eastAsia="宋体" w:cs="宋体"/>
          <w:b w:val="0"/>
          <w:color w:val="auto"/>
          <w:sz w:val="30"/>
          <w:szCs w:val="30"/>
        </w:rPr>
      </w:pPr>
      <w:r>
        <w:rPr>
          <w:rFonts w:hint="eastAsia" w:ascii="宋体" w:hAnsi="宋体" w:eastAsia="宋体" w:cs="宋体"/>
          <w:b w:val="0"/>
          <w:color w:val="auto"/>
          <w:sz w:val="36"/>
          <w:szCs w:val="30"/>
        </w:rPr>
        <w:br w:type="page"/>
      </w:r>
      <w:r>
        <w:rPr>
          <w:rFonts w:hint="eastAsia" w:ascii="宋体" w:hAnsi="宋体" w:eastAsia="宋体" w:cs="宋体"/>
          <w:b w:val="0"/>
          <w:color w:val="auto"/>
          <w:sz w:val="36"/>
          <w:szCs w:val="30"/>
        </w:rPr>
        <w:t xml:space="preserve">第二篇  </w:t>
      </w:r>
      <w:bookmarkEnd w:id="44"/>
      <w:bookmarkEnd w:id="45"/>
      <w:r>
        <w:rPr>
          <w:rFonts w:hint="eastAsia" w:ascii="宋体" w:hAnsi="宋体" w:eastAsia="宋体" w:cs="宋体"/>
          <w:b w:val="0"/>
          <w:color w:val="auto"/>
          <w:sz w:val="36"/>
          <w:szCs w:val="30"/>
        </w:rPr>
        <w:t>项目服务需求</w:t>
      </w:r>
    </w:p>
    <w:p>
      <w:pPr>
        <w:pStyle w:val="5"/>
        <w:spacing w:before="0" w:after="0" w:line="400" w:lineRule="exact"/>
        <w:ind w:firstLine="422" w:firstLineChars="200"/>
        <w:rPr>
          <w:rFonts w:ascii="宋体" w:hAnsi="宋体" w:cs="宋体"/>
          <w:color w:val="auto"/>
          <w:sz w:val="21"/>
          <w:szCs w:val="21"/>
        </w:rPr>
      </w:pPr>
      <w:bookmarkStart w:id="46" w:name="_Toc3622"/>
      <w:bookmarkStart w:id="47" w:name="_Toc4083"/>
      <w:bookmarkStart w:id="48" w:name="_Toc12789058"/>
      <w:r>
        <w:rPr>
          <w:rFonts w:hint="eastAsia" w:ascii="宋体" w:hAnsi="宋体" w:cs="宋体"/>
          <w:color w:val="auto"/>
          <w:sz w:val="21"/>
          <w:szCs w:val="21"/>
        </w:rPr>
        <w:t>一、项目基本概况介绍</w:t>
      </w:r>
      <w:bookmarkEnd w:id="46"/>
      <w:bookmarkEnd w:id="47"/>
    </w:p>
    <w:tbl>
      <w:tblPr>
        <w:tblStyle w:val="57"/>
        <w:tblW w:w="0" w:type="auto"/>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4"/>
        <w:gridCol w:w="38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 w:val="21"/>
                <w:szCs w:val="21"/>
              </w:rPr>
            </w:pPr>
            <w:r>
              <w:rPr>
                <w:rFonts w:hint="eastAsia" w:ascii="宋体" w:hAnsi="宋体" w:cs="宋体"/>
                <w:b/>
                <w:bCs/>
                <w:color w:val="auto"/>
                <w:sz w:val="21"/>
                <w:szCs w:val="21"/>
              </w:rPr>
              <w:t>项目名称</w:t>
            </w:r>
          </w:p>
        </w:tc>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 w:val="21"/>
                <w:szCs w:val="21"/>
              </w:rPr>
            </w:pPr>
            <w:r>
              <w:rPr>
                <w:rFonts w:hint="eastAsia" w:ascii="宋体" w:hAnsi="宋体" w:cs="宋体"/>
                <w:b/>
                <w:bCs/>
                <w:color w:val="auto"/>
                <w:sz w:val="21"/>
                <w:szCs w:val="21"/>
              </w:rPr>
              <w:t>最高限价</w:t>
            </w:r>
          </w:p>
          <w:p>
            <w:pPr>
              <w:jc w:val="center"/>
              <w:rPr>
                <w:rFonts w:ascii="宋体" w:hAnsi="宋体" w:cs="宋体"/>
                <w:b/>
                <w:bCs/>
                <w:color w:val="auto"/>
                <w:sz w:val="21"/>
                <w:szCs w:val="21"/>
              </w:rPr>
            </w:pPr>
            <w:r>
              <w:rPr>
                <w:rFonts w:hint="eastAsia" w:ascii="宋体" w:hAnsi="宋体" w:cs="宋体"/>
                <w:b/>
                <w:bCs/>
                <w:color w:val="auto"/>
                <w:sz w:val="21"/>
                <w:szCs w:val="21"/>
              </w:rPr>
              <w:t>（万元）</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 w:val="21"/>
                <w:szCs w:val="21"/>
              </w:rPr>
            </w:pPr>
            <w:r>
              <w:rPr>
                <w:rFonts w:hint="eastAsia" w:ascii="宋体" w:hAnsi="宋体"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87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1"/>
                <w:szCs w:val="21"/>
              </w:rPr>
            </w:pPr>
            <w:r>
              <w:rPr>
                <w:rStyle w:val="82"/>
                <w:rFonts w:hint="eastAsia" w:ascii="宋体" w:hAnsi="宋体"/>
                <w:bCs/>
                <w:color w:val="auto"/>
                <w:kern w:val="0"/>
                <w:sz w:val="21"/>
                <w:szCs w:val="21"/>
              </w:rPr>
              <w:t>4艘快艇及四面山7号船舶维修</w:t>
            </w:r>
          </w:p>
        </w:tc>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1"/>
                <w:szCs w:val="21"/>
              </w:rPr>
            </w:pPr>
            <w:r>
              <w:rPr>
                <w:rFonts w:hint="eastAsia" w:ascii="宋体" w:hAnsi="宋体" w:cs="宋体"/>
                <w:b/>
                <w:color w:val="auto"/>
                <w:sz w:val="21"/>
                <w:szCs w:val="21"/>
              </w:rPr>
              <w:t>19.16</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1"/>
                <w:szCs w:val="21"/>
              </w:rPr>
            </w:pPr>
            <w:r>
              <w:rPr>
                <w:rFonts w:hint="eastAsia" w:ascii="宋体" w:hAnsi="宋体" w:cs="宋体"/>
                <w:color w:val="auto"/>
                <w:sz w:val="21"/>
                <w:szCs w:val="21"/>
              </w:rPr>
              <w:t>包含完成该项目的所有费用</w:t>
            </w:r>
          </w:p>
        </w:tc>
      </w:tr>
    </w:tbl>
    <w:p>
      <w:pPr>
        <w:pStyle w:val="5"/>
        <w:spacing w:before="0" w:after="0" w:line="360" w:lineRule="auto"/>
        <w:ind w:firstLine="422" w:firstLineChars="200"/>
        <w:rPr>
          <w:rFonts w:ascii="宋体" w:hAnsi="宋体" w:cs="宋体"/>
          <w:color w:val="auto"/>
          <w:sz w:val="21"/>
          <w:szCs w:val="21"/>
        </w:rPr>
      </w:pPr>
      <w:bookmarkStart w:id="49" w:name="_Toc28156"/>
      <w:bookmarkStart w:id="50" w:name="_Toc16465"/>
      <w:r>
        <w:rPr>
          <w:rFonts w:hint="eastAsia" w:ascii="宋体" w:hAnsi="宋体" w:cs="宋体"/>
          <w:color w:val="auto"/>
          <w:sz w:val="21"/>
          <w:szCs w:val="21"/>
        </w:rPr>
        <w:t>二、</w:t>
      </w:r>
      <w:bookmarkEnd w:id="49"/>
      <w:bookmarkEnd w:id="50"/>
      <w:bookmarkStart w:id="51" w:name="_Toc30066"/>
      <w:r>
        <w:rPr>
          <w:rFonts w:hint="eastAsia" w:ascii="宋体" w:hAnsi="宋体" w:cs="宋体"/>
          <w:color w:val="auto"/>
          <w:sz w:val="21"/>
          <w:szCs w:val="21"/>
        </w:rPr>
        <w:t>服务内容</w:t>
      </w:r>
    </w:p>
    <w:bookmarkEnd w:id="51"/>
    <w:p>
      <w:pPr>
        <w:keepNext/>
        <w:keepLines/>
        <w:adjustRightInd w:val="0"/>
        <w:snapToGrid w:val="0"/>
        <w:spacing w:after="120" w:line="380" w:lineRule="exact"/>
        <w:ind w:firstLine="560" w:firstLineChars="200"/>
        <w:jc w:val="left"/>
        <w:outlineLvl w:val="1"/>
        <w:rPr>
          <w:rFonts w:ascii="宋体" w:hAnsi="宋体"/>
          <w:color w:val="auto"/>
          <w:sz w:val="24"/>
        </w:rPr>
      </w:pPr>
      <w:bookmarkStart w:id="52" w:name="_Toc27137"/>
      <w:r>
        <w:rPr>
          <w:rFonts w:hint="eastAsia" w:ascii="宋体" w:hAnsi="宋体" w:cs="方正仿宋_GBK"/>
          <w:color w:val="auto"/>
          <w:szCs w:val="28"/>
        </w:rPr>
        <w:t>（一）项目一览表</w:t>
      </w:r>
      <w:bookmarkEnd w:id="52"/>
    </w:p>
    <w:tbl>
      <w:tblPr>
        <w:tblStyle w:val="57"/>
        <w:tblW w:w="5000" w:type="pct"/>
        <w:tblInd w:w="0" w:type="dxa"/>
        <w:tblLayout w:type="fixed"/>
        <w:tblCellMar>
          <w:top w:w="0" w:type="dxa"/>
          <w:left w:w="108" w:type="dxa"/>
          <w:bottom w:w="0" w:type="dxa"/>
          <w:right w:w="108" w:type="dxa"/>
        </w:tblCellMar>
      </w:tblPr>
      <w:tblGrid>
        <w:gridCol w:w="1134"/>
        <w:gridCol w:w="1847"/>
        <w:gridCol w:w="3501"/>
        <w:gridCol w:w="3146"/>
      </w:tblGrid>
      <w:tr>
        <w:tblPrEx>
          <w:tblCellMar>
            <w:top w:w="0" w:type="dxa"/>
            <w:left w:w="108" w:type="dxa"/>
            <w:bottom w:w="0" w:type="dxa"/>
            <w:right w:w="108" w:type="dxa"/>
          </w:tblCellMar>
        </w:tblPrEx>
        <w:trPr>
          <w:trHeight w:val="500"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序号</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工作内容</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计量单位</w:t>
            </w:r>
          </w:p>
        </w:tc>
        <w:tc>
          <w:tcPr>
            <w:tcW w:w="1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工程量</w:t>
            </w:r>
          </w:p>
        </w:tc>
      </w:tr>
      <w:tr>
        <w:tblPrEx>
          <w:tblCellMar>
            <w:top w:w="0" w:type="dxa"/>
            <w:left w:w="108" w:type="dxa"/>
            <w:bottom w:w="0" w:type="dxa"/>
            <w:right w:w="108" w:type="dxa"/>
          </w:tblCellMar>
        </w:tblPrEx>
        <w:trPr>
          <w:trHeight w:val="500"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一</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4艘快艇维修</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船</w:t>
            </w:r>
          </w:p>
        </w:tc>
        <w:tc>
          <w:tcPr>
            <w:tcW w:w="1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4</w:t>
            </w:r>
          </w:p>
        </w:tc>
      </w:tr>
      <w:tr>
        <w:tblPrEx>
          <w:tblCellMar>
            <w:top w:w="0" w:type="dxa"/>
            <w:left w:w="108" w:type="dxa"/>
            <w:bottom w:w="0" w:type="dxa"/>
            <w:right w:w="108" w:type="dxa"/>
          </w:tblCellMar>
        </w:tblPrEx>
        <w:trPr>
          <w:trHeight w:val="500" w:hRule="atLeast"/>
        </w:trPr>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r>
              <w:rPr>
                <w:rFonts w:hint="eastAsia" w:ascii="宋体" w:hAnsi="宋体" w:cs="宋体"/>
                <w:color w:val="auto"/>
                <w:sz w:val="24"/>
                <w:szCs w:val="24"/>
              </w:rPr>
              <w:t>检修项目</w:t>
            </w: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船体玻璃钢表面打磨（129㎡）</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船体玻璃钢修补（无碱玻纤、船用不饱和树脂）</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地台板与侧板恢复（木板、无碱玻纤、船用不饱和树脂）</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4</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玻璃钢外表面平整修补</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5</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玻璃钢外喷涂保护</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6</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玻璃钢外表面底涂</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7</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玻璃钢喷涂面漆、抛光打蜡</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护舷修补恢复</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9</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全船栏杆恢复</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10</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玻璃恢复基座加有机玻璃</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11</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发动机及轮机养护</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12</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cs="宋体"/>
                <w:color w:val="auto"/>
                <w:kern w:val="0"/>
                <w:sz w:val="24"/>
                <w:szCs w:val="24"/>
                <w:lang w:bidi="ar"/>
              </w:rPr>
            </w:pPr>
            <w:r>
              <w:rPr>
                <w:rFonts w:hint="eastAsia" w:ascii="宋体" w:hAnsi="宋体" w:cs="宋体"/>
                <w:color w:val="auto"/>
                <w:kern w:val="0"/>
                <w:sz w:val="24"/>
                <w:szCs w:val="24"/>
                <w:lang w:bidi="ar"/>
              </w:rPr>
              <w:t>环保处置</w:t>
            </w:r>
          </w:p>
        </w:tc>
      </w:tr>
      <w:tr>
        <w:tblPrEx>
          <w:tblCellMar>
            <w:top w:w="0" w:type="dxa"/>
            <w:left w:w="108" w:type="dxa"/>
            <w:bottom w:w="0" w:type="dxa"/>
            <w:right w:w="108" w:type="dxa"/>
          </w:tblCellMar>
        </w:tblPrEx>
        <w:trPr>
          <w:trHeight w:val="500"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二</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画舫船四面山7号维修</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船</w:t>
            </w:r>
          </w:p>
        </w:tc>
        <w:tc>
          <w:tcPr>
            <w:tcW w:w="1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r>
      <w:tr>
        <w:tblPrEx>
          <w:tblCellMar>
            <w:top w:w="0" w:type="dxa"/>
            <w:left w:w="108" w:type="dxa"/>
            <w:bottom w:w="0" w:type="dxa"/>
            <w:right w:w="108" w:type="dxa"/>
          </w:tblCellMar>
        </w:tblPrEx>
        <w:trPr>
          <w:trHeight w:val="500" w:hRule="atLeast"/>
        </w:trPr>
        <w:tc>
          <w:tcPr>
            <w:tcW w:w="589" w:type="pct"/>
            <w:vMerge w:val="restart"/>
            <w:tcBorders>
              <w:top w:val="single" w:color="000000" w:sz="4" w:space="0"/>
              <w:left w:val="single" w:color="000000" w:sz="4" w:space="0"/>
              <w:bottom w:val="single" w:color="000000" w:sz="4" w:space="0"/>
              <w:right w:val="nil"/>
            </w:tcBorders>
            <w:shd w:val="clear" w:color="auto" w:fill="auto"/>
            <w:noWrap/>
            <w:vAlign w:val="center"/>
          </w:tcPr>
          <w:p>
            <w:pPr>
              <w:jc w:val="center"/>
              <w:rPr>
                <w:rFonts w:ascii="宋体" w:hAnsi="宋体" w:cs="宋体"/>
                <w:color w:val="auto"/>
                <w:sz w:val="24"/>
                <w:szCs w:val="24"/>
              </w:rPr>
            </w:pPr>
            <w:r>
              <w:rPr>
                <w:rFonts w:hint="eastAsia" w:ascii="宋体" w:hAnsi="宋体" w:cs="宋体"/>
                <w:color w:val="auto"/>
                <w:sz w:val="24"/>
                <w:szCs w:val="24"/>
              </w:rPr>
              <w:t>检修项目</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船舱地板更换（长1.2m*宽3.5m)</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隔断、推拉门、吧台制作</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船舷仿古木更换</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4</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船头木扶手制作</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5</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船体玻璃钢清洗、美化</w:t>
            </w:r>
          </w:p>
        </w:tc>
      </w:tr>
      <w:tr>
        <w:tblPrEx>
          <w:tblCellMar>
            <w:top w:w="0" w:type="dxa"/>
            <w:left w:w="108" w:type="dxa"/>
            <w:bottom w:w="0" w:type="dxa"/>
            <w:right w:w="108" w:type="dxa"/>
          </w:tblCellMar>
        </w:tblPrEx>
        <w:trPr>
          <w:trHeight w:val="500" w:hRule="atLeast"/>
        </w:trPr>
        <w:tc>
          <w:tcPr>
            <w:tcW w:w="589"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宋体" w:hAnsi="宋体" w:cs="宋体"/>
                <w:color w:val="auto"/>
                <w:sz w:val="24"/>
                <w:szCs w:val="24"/>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6</w:t>
            </w:r>
          </w:p>
        </w:tc>
        <w:tc>
          <w:tcPr>
            <w:tcW w:w="3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船顶防漏处理</w:t>
            </w:r>
          </w:p>
        </w:tc>
      </w:tr>
    </w:tbl>
    <w:p>
      <w:pPr>
        <w:rPr>
          <w:rFonts w:ascii="宋体" w:hAnsi="宋体"/>
          <w:color w:val="auto"/>
          <w:sz w:val="18"/>
        </w:rPr>
      </w:pPr>
    </w:p>
    <w:p>
      <w:pPr>
        <w:pStyle w:val="5"/>
        <w:spacing w:before="0" w:after="0" w:line="360" w:lineRule="auto"/>
        <w:ind w:firstLine="422" w:firstLineChars="200"/>
        <w:rPr>
          <w:rFonts w:ascii="宋体" w:hAnsi="宋体" w:cs="宋体"/>
          <w:color w:val="auto"/>
          <w:sz w:val="21"/>
          <w:szCs w:val="21"/>
        </w:rPr>
      </w:pPr>
      <w:r>
        <w:rPr>
          <w:rFonts w:hint="eastAsia" w:ascii="宋体" w:hAnsi="宋体" w:cs="宋体"/>
          <w:color w:val="auto"/>
          <w:sz w:val="21"/>
          <w:szCs w:val="21"/>
        </w:rPr>
        <w:t>三、特别说明：</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（1）项目清单中涉及面积、长度、体积、重量等计量单位均为估算，投标供应商需充分理解维修项目内容和要求，自行开展现场复核测算，酌情报价；</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（2）本项目船艇维修期间的施工安全管理由中标人全权负责。</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（3）维修所用材料需报采购人同意方可进行施工。着漆需均匀涂漆、不变色，不脱落、不龟裂、在天气允许且得到现场采购方负责人同意方可油漆。</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（4）关键性节点，重要工序完工后，需由采购人代表验收合格后方可进入下一道工序。</w:t>
      </w:r>
      <w:r>
        <w:rPr>
          <w:rFonts w:hint="eastAsia" w:ascii="宋体" w:hAnsi="宋体" w:cs="宋体"/>
          <w:color w:val="auto"/>
          <w:kern w:val="0"/>
          <w:sz w:val="24"/>
          <w:szCs w:val="24"/>
          <w:lang w:bidi="ar"/>
        </w:rPr>
        <w:t>发动机及轮机</w:t>
      </w:r>
      <w:r>
        <w:rPr>
          <w:rFonts w:hint="eastAsia" w:ascii="宋体" w:hAnsi="宋体"/>
          <w:color w:val="auto"/>
          <w:sz w:val="24"/>
          <w:szCs w:val="24"/>
        </w:rPr>
        <w:t>维修保养配件需采用原厂配件，维修配件不能影响原厂质保。</w:t>
      </w:r>
    </w:p>
    <w:p>
      <w:pPr>
        <w:keepNext/>
        <w:keepLines/>
        <w:adjustRightInd w:val="0"/>
        <w:snapToGrid w:val="0"/>
        <w:spacing w:after="120" w:line="380" w:lineRule="exact"/>
        <w:ind w:firstLine="422" w:firstLineChars="200"/>
        <w:jc w:val="left"/>
        <w:outlineLvl w:val="1"/>
        <w:rPr>
          <w:rFonts w:ascii="宋体" w:hAnsi="宋体" w:cs="宋体"/>
          <w:b/>
          <w:color w:val="auto"/>
          <w:sz w:val="21"/>
          <w:szCs w:val="21"/>
        </w:rPr>
      </w:pPr>
      <w:bookmarkStart w:id="53" w:name="_Toc15281"/>
      <w:r>
        <w:rPr>
          <w:rFonts w:hint="eastAsia" w:ascii="宋体" w:hAnsi="宋体" w:cs="宋体"/>
          <w:b/>
          <w:color w:val="auto"/>
          <w:sz w:val="21"/>
          <w:szCs w:val="21"/>
        </w:rPr>
        <w:t>四、项目技术需求</w:t>
      </w:r>
      <w:bookmarkEnd w:id="53"/>
    </w:p>
    <w:p>
      <w:pPr>
        <w:spacing w:line="400" w:lineRule="exact"/>
        <w:ind w:firstLine="480" w:firstLineChars="200"/>
        <w:rPr>
          <w:rFonts w:ascii="宋体" w:hAnsi="宋体"/>
          <w:color w:val="auto"/>
          <w:sz w:val="24"/>
          <w:szCs w:val="24"/>
        </w:rPr>
      </w:pPr>
      <w:r>
        <w:rPr>
          <w:rFonts w:hint="eastAsia" w:ascii="宋体" w:hAnsi="宋体"/>
          <w:color w:val="auto"/>
          <w:sz w:val="24"/>
          <w:szCs w:val="24"/>
        </w:rPr>
        <w:t>1、施工材料要求</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（1）供应商为本项目使用的材料应选用采购人项目清单中要求的相应材料或不低于同类材料，按国家法规、标准、行业标准以及双方商定的其他细节进行施工。</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（2）供应商必须承诺使用的材料符合船检规范要求</w:t>
      </w:r>
      <w:r>
        <w:rPr>
          <w:rFonts w:hint="eastAsia" w:ascii="宋体" w:hAnsi="宋体"/>
          <w:color w:val="auto"/>
          <w:sz w:val="24"/>
          <w:szCs w:val="24"/>
        </w:rPr>
        <w:t>（响应文件中提供书面承诺函并加盖供应商鲜章，供应商自行承诺，格式自拟</w:t>
      </w:r>
      <w:r>
        <w:rPr>
          <w:rFonts w:hint="eastAsia" w:ascii="宋体" w:hAnsi="宋体"/>
          <w:color w:val="auto"/>
          <w:sz w:val="24"/>
          <w:szCs w:val="24"/>
        </w:rPr>
        <w:t>）。</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2、质量控制</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1）供应商要完善质量检验制度,对本项目建立质量验收报告,确保重点环节和单项完工及时验收,验收工作必须通知采购人代表参加。质量验收须通过采购人的最终验收，但无论采购人是否派相关人员到场，有关本项目的全部质量责任均由供应商承担。</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（2）供应商应对重点部位的隐蔽工程施工拍摄影像资料，并在项目完工后向采购人提供技术交底影像资料电子档案。</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3、现场管理</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（1）为便于现场管理，采购人和成交供应商在项目进行期间的联络，应指定的双方的代表进行。</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（2）供应商须接受采购人对本项目内容的监管和检查。</w:t>
      </w:r>
    </w:p>
    <w:p>
      <w:pPr>
        <w:rPr>
          <w:rFonts w:ascii="宋体" w:hAnsi="宋体"/>
          <w:color w:val="auto"/>
          <w:sz w:val="18"/>
        </w:rPr>
      </w:pPr>
    </w:p>
    <w:p>
      <w:pPr>
        <w:rPr>
          <w:rFonts w:ascii="宋体" w:hAnsi="宋体"/>
          <w:color w:val="auto"/>
          <w:sz w:val="18"/>
        </w:rPr>
      </w:pPr>
    </w:p>
    <w:p>
      <w:pPr>
        <w:rPr>
          <w:rFonts w:ascii="宋体" w:hAnsi="宋体"/>
          <w:color w:val="auto"/>
          <w:sz w:val="18"/>
        </w:rPr>
      </w:pPr>
    </w:p>
    <w:p>
      <w:pPr>
        <w:rPr>
          <w:rFonts w:ascii="宋体" w:hAnsi="宋体"/>
          <w:color w:val="auto"/>
          <w:sz w:val="18"/>
        </w:rPr>
      </w:pPr>
    </w:p>
    <w:p>
      <w:pPr>
        <w:rPr>
          <w:rFonts w:ascii="宋体" w:hAnsi="宋体"/>
          <w:color w:val="auto"/>
          <w:sz w:val="18"/>
        </w:rPr>
        <w:sectPr>
          <w:footerReference r:id="rId8" w:type="default"/>
          <w:pgSz w:w="11907" w:h="16840"/>
          <w:pgMar w:top="1134" w:right="1191" w:bottom="1134" w:left="1304" w:header="680" w:footer="992" w:gutter="0"/>
          <w:cols w:space="720" w:num="1"/>
          <w:docGrid w:linePitch="326" w:charSpace="0"/>
        </w:sectPr>
      </w:pPr>
    </w:p>
    <w:p>
      <w:pPr>
        <w:pStyle w:val="4"/>
        <w:spacing w:before="0" w:after="0" w:line="360" w:lineRule="auto"/>
        <w:jc w:val="center"/>
        <w:rPr>
          <w:rFonts w:ascii="宋体" w:hAnsi="宋体" w:eastAsia="宋体" w:cs="宋体"/>
          <w:b w:val="0"/>
          <w:color w:val="auto"/>
          <w:sz w:val="36"/>
          <w:szCs w:val="30"/>
        </w:rPr>
      </w:pPr>
      <w:bookmarkStart w:id="54" w:name="_Toc679"/>
      <w:bookmarkStart w:id="55" w:name="_Toc1973"/>
      <w:r>
        <w:rPr>
          <w:rFonts w:hint="eastAsia" w:ascii="宋体" w:hAnsi="宋体" w:eastAsia="宋体" w:cs="宋体"/>
          <w:b w:val="0"/>
          <w:color w:val="auto"/>
          <w:sz w:val="36"/>
          <w:szCs w:val="30"/>
        </w:rPr>
        <w:t xml:space="preserve">第三篇  </w:t>
      </w:r>
      <w:bookmarkEnd w:id="48"/>
      <w:r>
        <w:rPr>
          <w:rFonts w:hint="eastAsia" w:ascii="宋体" w:hAnsi="宋体" w:eastAsia="宋体" w:cs="宋体"/>
          <w:b w:val="0"/>
          <w:color w:val="auto"/>
          <w:sz w:val="36"/>
          <w:szCs w:val="30"/>
        </w:rPr>
        <w:t>项目商务需求</w:t>
      </w:r>
      <w:bookmarkEnd w:id="54"/>
      <w:bookmarkEnd w:id="55"/>
    </w:p>
    <w:p>
      <w:pPr>
        <w:pStyle w:val="5"/>
        <w:spacing w:before="0" w:after="0" w:line="440" w:lineRule="exact"/>
        <w:ind w:firstLine="422" w:firstLineChars="200"/>
        <w:rPr>
          <w:rFonts w:ascii="宋体" w:hAnsi="宋体" w:cs="宋体"/>
          <w:color w:val="auto"/>
          <w:sz w:val="21"/>
          <w:szCs w:val="21"/>
        </w:rPr>
      </w:pPr>
      <w:bookmarkStart w:id="56" w:name="_Toc22070"/>
      <w:bookmarkStart w:id="57" w:name="_Toc7084"/>
      <w:bookmarkStart w:id="58" w:name="_Toc344475121"/>
      <w:r>
        <w:rPr>
          <w:rFonts w:hint="eastAsia" w:ascii="宋体" w:hAnsi="宋体" w:cs="宋体"/>
          <w:color w:val="auto"/>
          <w:sz w:val="21"/>
          <w:szCs w:val="21"/>
        </w:rPr>
        <w:t>一、</w:t>
      </w:r>
      <w:bookmarkEnd w:id="56"/>
      <w:bookmarkEnd w:id="57"/>
      <w:r>
        <w:rPr>
          <w:rFonts w:hint="eastAsia" w:ascii="宋体" w:hAnsi="宋体" w:cs="宋体"/>
          <w:color w:val="auto"/>
          <w:sz w:val="21"/>
          <w:szCs w:val="21"/>
        </w:rPr>
        <w:t>服务期、服务地点及验收方式</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（一）服务期</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在采购合同签定后 30个日历日内完成服务。</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（二）服务地点</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采购人指定地点。</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（三）验收方式</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项目完工后，采购人组织验收并给予认可或提出整改意见。成交供应商按要求整改，并承担由自身原因造成整改的费用。</w:t>
      </w:r>
    </w:p>
    <w:p>
      <w:pPr>
        <w:pStyle w:val="5"/>
        <w:spacing w:before="0" w:after="0" w:line="400" w:lineRule="exact"/>
        <w:ind w:firstLine="422" w:firstLineChars="200"/>
        <w:rPr>
          <w:rFonts w:ascii="宋体" w:hAnsi="宋体" w:cs="宋体"/>
          <w:color w:val="auto"/>
          <w:sz w:val="21"/>
          <w:szCs w:val="21"/>
        </w:rPr>
      </w:pPr>
      <w:bookmarkStart w:id="59" w:name="_Toc22036"/>
      <w:bookmarkStart w:id="60" w:name="_Toc3972"/>
      <w:r>
        <w:rPr>
          <w:rFonts w:hint="eastAsia" w:ascii="宋体" w:hAnsi="宋体" w:cs="宋体"/>
          <w:color w:val="auto"/>
          <w:sz w:val="21"/>
          <w:szCs w:val="21"/>
        </w:rPr>
        <w:t>二、</w:t>
      </w:r>
      <w:bookmarkEnd w:id="58"/>
      <w:r>
        <w:rPr>
          <w:rFonts w:hint="eastAsia" w:ascii="宋体" w:hAnsi="宋体" w:cs="宋体"/>
          <w:color w:val="auto"/>
          <w:sz w:val="21"/>
          <w:szCs w:val="21"/>
        </w:rPr>
        <w:t>报价要求</w:t>
      </w:r>
      <w:bookmarkEnd w:id="59"/>
      <w:bookmarkEnd w:id="60"/>
    </w:p>
    <w:p>
      <w:pPr>
        <w:spacing w:line="400" w:lineRule="exact"/>
        <w:ind w:firstLine="420" w:firstLineChars="200"/>
        <w:rPr>
          <w:rFonts w:ascii="宋体" w:hAnsi="宋体" w:cs="宋体"/>
          <w:color w:val="auto"/>
          <w:sz w:val="21"/>
          <w:szCs w:val="21"/>
          <w:lang w:val="zh-TW"/>
        </w:rPr>
      </w:pPr>
      <w:r>
        <w:rPr>
          <w:rFonts w:hint="eastAsia" w:ascii="宋体" w:hAnsi="宋体" w:cs="宋体"/>
          <w:color w:val="auto"/>
          <w:sz w:val="21"/>
          <w:szCs w:val="21"/>
          <w:lang w:val="zh-TW"/>
        </w:rPr>
        <w:t>（一）供应商应根据本项目要求,结合自身实力和市场行情自主确定其投标报价，投标报价不得超出最高限价，否则将被视为无效投标。</w:t>
      </w:r>
    </w:p>
    <w:p>
      <w:pPr>
        <w:spacing w:line="400" w:lineRule="exact"/>
        <w:ind w:firstLine="420" w:firstLineChars="200"/>
        <w:rPr>
          <w:rFonts w:ascii="宋体" w:hAnsi="宋体" w:cs="宋体"/>
          <w:color w:val="auto"/>
          <w:sz w:val="21"/>
          <w:szCs w:val="21"/>
          <w:lang w:val="zh-TW"/>
        </w:rPr>
      </w:pPr>
      <w:r>
        <w:rPr>
          <w:rFonts w:hint="eastAsia" w:ascii="宋体" w:hAnsi="宋体" w:cs="宋体"/>
          <w:color w:val="auto"/>
          <w:sz w:val="21"/>
          <w:szCs w:val="21"/>
          <w:lang w:val="zh-TW"/>
        </w:rPr>
        <w:t>（二）本次报价须为人民币报价，采用包干价的计价和结算方式，包含但不限于以下内容：人工费、</w:t>
      </w:r>
      <w:r>
        <w:rPr>
          <w:rFonts w:hint="eastAsia" w:ascii="宋体" w:hAnsi="宋体" w:cs="宋体"/>
          <w:color w:val="auto"/>
          <w:sz w:val="21"/>
          <w:szCs w:val="21"/>
        </w:rPr>
        <w:t>水电费、</w:t>
      </w:r>
      <w:r>
        <w:rPr>
          <w:rFonts w:hint="eastAsia" w:ascii="宋体" w:hAnsi="宋体" w:cs="宋体"/>
          <w:color w:val="auto"/>
          <w:sz w:val="21"/>
          <w:szCs w:val="21"/>
          <w:lang w:val="zh-TW"/>
        </w:rPr>
        <w:t>材料（含配件）费、机械费用、提供服务所需的设备或货物购买（制造）费、辅材（含耗材）费、修理费、仓储费、运输费、装卸费、保险费、检测费、安装调试费、培训费、管理费、利润、风险费、</w:t>
      </w:r>
      <w:r>
        <w:rPr>
          <w:rFonts w:hint="eastAsia" w:ascii="宋体" w:hAnsi="宋体" w:cs="宋体"/>
          <w:color w:val="auto"/>
          <w:sz w:val="21"/>
          <w:szCs w:val="21"/>
          <w:lang w:val="zh-TW"/>
        </w:rPr>
        <w:t>各种规费、</w:t>
      </w:r>
      <w:r>
        <w:rPr>
          <w:rFonts w:hint="eastAsia" w:ascii="宋体" w:hAnsi="宋体" w:cs="宋体"/>
          <w:color w:val="auto"/>
          <w:sz w:val="21"/>
          <w:szCs w:val="21"/>
        </w:rPr>
        <w:t>检验</w:t>
      </w:r>
      <w:r>
        <w:rPr>
          <w:rFonts w:hint="eastAsia" w:ascii="宋体" w:hAnsi="宋体" w:cs="宋体"/>
          <w:color w:val="auto"/>
          <w:sz w:val="21"/>
          <w:szCs w:val="21"/>
          <w:lang w:val="zh-TW"/>
        </w:rPr>
        <w:t>验收（含第三方验收）费、售后服务、税金</w:t>
      </w:r>
      <w:r>
        <w:rPr>
          <w:rFonts w:hint="eastAsia" w:ascii="宋体" w:hAnsi="宋体" w:cs="宋体"/>
          <w:color w:val="auto"/>
          <w:sz w:val="21"/>
          <w:szCs w:val="21"/>
          <w:lang w:val="zh-TW"/>
        </w:rPr>
        <w:t>等完成本项目的所有费用（含质保期内及实施过程中可能发生的所有费用）。因成交供应商自身原因造成漏报、少报皆由其自行承担责任，采购人不再补偿。</w:t>
      </w:r>
    </w:p>
    <w:p>
      <w:pPr>
        <w:spacing w:line="400" w:lineRule="exact"/>
        <w:ind w:firstLine="420" w:firstLineChars="200"/>
        <w:rPr>
          <w:rFonts w:ascii="宋体" w:hAnsi="宋体" w:cs="宋体"/>
          <w:color w:val="auto"/>
          <w:sz w:val="21"/>
          <w:szCs w:val="21"/>
          <w:lang w:val="zh-TW"/>
        </w:rPr>
      </w:pPr>
      <w:r>
        <w:rPr>
          <w:rFonts w:hint="eastAsia" w:ascii="宋体" w:hAnsi="宋体" w:cs="宋体"/>
          <w:color w:val="auto"/>
          <w:sz w:val="21"/>
          <w:szCs w:val="21"/>
          <w:lang w:val="zh-TW"/>
        </w:rPr>
        <w:t>（</w:t>
      </w:r>
      <w:r>
        <w:rPr>
          <w:rFonts w:hint="eastAsia" w:ascii="宋体" w:hAnsi="宋体" w:cs="宋体"/>
          <w:color w:val="auto"/>
          <w:sz w:val="21"/>
          <w:szCs w:val="21"/>
        </w:rPr>
        <w:t>三</w:t>
      </w:r>
      <w:r>
        <w:rPr>
          <w:rFonts w:hint="eastAsia" w:ascii="宋体" w:hAnsi="宋体" w:cs="宋体"/>
          <w:color w:val="auto"/>
          <w:sz w:val="21"/>
          <w:szCs w:val="21"/>
          <w:lang w:val="zh-TW"/>
        </w:rPr>
        <w:t>）船艇维修保养中如涉及更换淘汰的</w:t>
      </w:r>
      <w:r>
        <w:rPr>
          <w:rFonts w:hint="eastAsia" w:ascii="宋体" w:hAnsi="宋体" w:cs="宋体"/>
          <w:color w:val="auto"/>
          <w:sz w:val="21"/>
          <w:szCs w:val="21"/>
        </w:rPr>
        <w:t>设备、设施</w:t>
      </w:r>
      <w:r>
        <w:rPr>
          <w:rFonts w:hint="eastAsia" w:ascii="宋体" w:hAnsi="宋体" w:cs="宋体"/>
          <w:color w:val="auto"/>
          <w:sz w:val="21"/>
          <w:szCs w:val="21"/>
          <w:lang w:val="zh-TW"/>
        </w:rPr>
        <w:t>等残值较大的物件，由中标人根据当时市场价出具残值评估报告并</w:t>
      </w:r>
      <w:r>
        <w:rPr>
          <w:rFonts w:hint="eastAsia" w:ascii="宋体" w:hAnsi="宋体" w:cs="宋体"/>
          <w:color w:val="auto"/>
          <w:sz w:val="21"/>
          <w:szCs w:val="21"/>
        </w:rPr>
        <w:t>交采购人</w:t>
      </w:r>
      <w:r>
        <w:rPr>
          <w:rFonts w:hint="eastAsia" w:ascii="宋体" w:hAnsi="宋体" w:cs="宋体"/>
          <w:color w:val="auto"/>
          <w:sz w:val="21"/>
          <w:szCs w:val="21"/>
          <w:lang w:val="zh-TW"/>
        </w:rPr>
        <w:t>处置；采购人更换、淘汰后的废旧且无残值或低残值配件、物品等，由中标人免费回收并按规定处置。</w:t>
      </w:r>
    </w:p>
    <w:p>
      <w:pPr>
        <w:spacing w:line="400" w:lineRule="exact"/>
        <w:ind w:firstLine="422" w:firstLineChars="200"/>
        <w:rPr>
          <w:rFonts w:ascii="宋体" w:hAnsi="宋体" w:cs="宋体"/>
          <w:b/>
          <w:color w:val="auto"/>
          <w:sz w:val="21"/>
          <w:szCs w:val="21"/>
        </w:rPr>
      </w:pPr>
      <w:r>
        <w:rPr>
          <w:rFonts w:hint="eastAsia" w:ascii="宋体" w:hAnsi="宋体" w:cs="宋体"/>
          <w:b/>
          <w:color w:val="auto"/>
          <w:sz w:val="21"/>
          <w:szCs w:val="21"/>
        </w:rPr>
        <w:t>三、质量保证及售后服务</w:t>
      </w:r>
    </w:p>
    <w:p>
      <w:pPr>
        <w:spacing w:line="400" w:lineRule="exact"/>
        <w:ind w:firstLine="420" w:firstLineChars="200"/>
        <w:rPr>
          <w:rFonts w:ascii="宋体" w:hAnsi="宋体" w:cs="宋体"/>
          <w:color w:val="auto"/>
          <w:sz w:val="21"/>
          <w:szCs w:val="21"/>
          <w:lang w:val="zh-TW"/>
        </w:rPr>
      </w:pPr>
      <w:r>
        <w:rPr>
          <w:rFonts w:hint="eastAsia" w:ascii="宋体" w:hAnsi="宋体" w:cs="宋体"/>
          <w:color w:val="auto"/>
          <w:sz w:val="21"/>
          <w:szCs w:val="21"/>
          <w:lang w:val="zh-TW"/>
        </w:rPr>
        <w:t>1.质保期</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lang w:val="zh-TW"/>
        </w:rPr>
        <w:t>（1）本项目整体质保期为12个月，</w:t>
      </w:r>
      <w:r>
        <w:rPr>
          <w:rFonts w:hint="eastAsia" w:ascii="宋体" w:hAnsi="宋体" w:cs="宋体"/>
          <w:color w:val="auto"/>
          <w:sz w:val="21"/>
          <w:szCs w:val="21"/>
        </w:rPr>
        <w:t>活动部件6个月。</w:t>
      </w:r>
    </w:p>
    <w:p>
      <w:pPr>
        <w:spacing w:line="400" w:lineRule="exact"/>
        <w:ind w:firstLine="420" w:firstLineChars="200"/>
        <w:rPr>
          <w:rFonts w:ascii="宋体" w:hAnsi="宋体" w:cs="宋体"/>
          <w:color w:val="auto"/>
          <w:sz w:val="21"/>
          <w:szCs w:val="21"/>
          <w:lang w:val="zh-TW"/>
        </w:rPr>
      </w:pPr>
      <w:r>
        <w:rPr>
          <w:rFonts w:hint="eastAsia" w:ascii="宋体" w:hAnsi="宋体" w:cs="宋体"/>
          <w:color w:val="auto"/>
          <w:sz w:val="21"/>
          <w:szCs w:val="21"/>
          <w:lang w:val="zh-TW"/>
        </w:rPr>
        <w:t>成交供应商在本项目范围内承担保修责任，保修期自项目竣工验收合格之日起。在保修期内，成交供应商应在接到采购方通知后1个工作日内派人到现场修复，如成交供应商未及时修复，采购人有权另行聘请第三人修复，所产生费用由成交供应商承担。发生紧急事故需抢修的，成交供应商在接到事故通知后，应当立即到达事故现场抢修。</w:t>
      </w:r>
    </w:p>
    <w:p>
      <w:pPr>
        <w:spacing w:line="400" w:lineRule="exact"/>
        <w:ind w:firstLine="420" w:firstLineChars="200"/>
        <w:rPr>
          <w:rFonts w:ascii="宋体" w:hAnsi="宋体" w:cs="宋体"/>
          <w:color w:val="auto"/>
          <w:sz w:val="21"/>
          <w:szCs w:val="21"/>
          <w:lang w:val="zh-TW"/>
        </w:rPr>
      </w:pPr>
      <w:r>
        <w:rPr>
          <w:rFonts w:hint="eastAsia" w:ascii="宋体" w:hAnsi="宋体" w:cs="宋体"/>
          <w:color w:val="auto"/>
          <w:sz w:val="21"/>
          <w:szCs w:val="21"/>
          <w:lang w:val="zh-TW"/>
        </w:rPr>
        <w:t>2.售后服务</w:t>
      </w:r>
    </w:p>
    <w:p>
      <w:pPr>
        <w:spacing w:line="400" w:lineRule="exact"/>
        <w:ind w:firstLine="420" w:firstLineChars="200"/>
        <w:rPr>
          <w:rFonts w:ascii="宋体" w:hAnsi="宋体" w:cs="宋体"/>
          <w:color w:val="auto"/>
          <w:sz w:val="21"/>
          <w:szCs w:val="21"/>
          <w:lang w:val="zh-TW"/>
        </w:rPr>
      </w:pPr>
      <w:r>
        <w:rPr>
          <w:rFonts w:hint="eastAsia" w:ascii="宋体" w:hAnsi="宋体" w:cs="宋体"/>
          <w:color w:val="auto"/>
          <w:sz w:val="21"/>
          <w:szCs w:val="21"/>
          <w:lang w:val="zh-TW"/>
        </w:rPr>
        <w:t>成交供应商在本项目范围内承担保修责任，保修期自项目完工验收合格之日起。在质保期内，成交供应商应在接到采购方报修通知后1个工作日内派人到现场修复，如成交供应商未及时修复，采购人有权另行聘请第三人修复，所产生费用由成交供应商承担。发生紧急事故需抢修的，成交供应商在接到事故通知后，应当立即到达事故现场抢修。</w:t>
      </w:r>
    </w:p>
    <w:p>
      <w:pPr>
        <w:spacing w:line="400" w:lineRule="exact"/>
        <w:ind w:firstLine="422" w:firstLineChars="200"/>
        <w:rPr>
          <w:rFonts w:ascii="宋体" w:hAnsi="宋体" w:cs="宋体"/>
          <w:b/>
          <w:color w:val="auto"/>
          <w:sz w:val="21"/>
          <w:szCs w:val="21"/>
        </w:rPr>
      </w:pPr>
      <w:r>
        <w:rPr>
          <w:rFonts w:hint="eastAsia" w:ascii="宋体" w:hAnsi="宋体" w:cs="宋体"/>
          <w:b/>
          <w:color w:val="auto"/>
          <w:sz w:val="21"/>
          <w:szCs w:val="21"/>
        </w:rPr>
        <w:t>四、付款方式</w:t>
      </w:r>
    </w:p>
    <w:p>
      <w:pPr>
        <w:spacing w:line="400" w:lineRule="exact"/>
        <w:ind w:firstLine="420" w:firstLineChars="200"/>
        <w:rPr>
          <w:color w:val="auto"/>
        </w:rPr>
      </w:pPr>
      <w:r>
        <w:rPr>
          <w:rFonts w:hint="eastAsia" w:ascii="宋体" w:hAnsi="宋体" w:cs="宋体"/>
          <w:color w:val="auto"/>
          <w:sz w:val="21"/>
          <w:szCs w:val="21"/>
        </w:rPr>
        <w:t>双方约定船舶维修费用支付方式和时间：双方签订合同，项目完工50%（即4艘快艇维修完工）后，经甲方验收合格，乙方开具</w:t>
      </w:r>
      <w:r>
        <w:rPr>
          <w:rFonts w:hint="eastAsia" w:ascii="宋体" w:hAnsi="宋体" w:cs="宋体"/>
          <w:color w:val="auto"/>
          <w:sz w:val="21"/>
          <w:szCs w:val="21"/>
          <w:lang w:val="en-US" w:eastAsia="zh-CN"/>
        </w:rPr>
        <w:t>13%</w:t>
      </w:r>
      <w:r>
        <w:rPr>
          <w:rFonts w:hint="eastAsia" w:ascii="宋体" w:hAnsi="宋体" w:cs="宋体"/>
          <w:color w:val="auto"/>
          <w:sz w:val="21"/>
          <w:szCs w:val="21"/>
        </w:rPr>
        <w:t>增值税专用发票给甲方，甲方在15个工作日内支付给乙方项目总额的50%；项目全部完工并通过甲方验收后，乙方开具</w:t>
      </w:r>
      <w:r>
        <w:rPr>
          <w:rFonts w:hint="eastAsia" w:ascii="宋体" w:hAnsi="宋体" w:cs="宋体"/>
          <w:color w:val="auto"/>
          <w:sz w:val="21"/>
          <w:szCs w:val="21"/>
          <w:lang w:val="en-US" w:eastAsia="zh-CN"/>
        </w:rPr>
        <w:t>13%</w:t>
      </w:r>
      <w:r>
        <w:rPr>
          <w:rFonts w:hint="eastAsia" w:ascii="宋体" w:hAnsi="宋体" w:cs="宋体"/>
          <w:color w:val="auto"/>
          <w:sz w:val="21"/>
          <w:szCs w:val="21"/>
        </w:rPr>
        <w:t>增值税专用发票给甲方，甲方在15个工作日内支付给乙方项目总额的45%；余下项目总额的5%作为质保金，一年质保期满后，乙方开具</w:t>
      </w:r>
      <w:r>
        <w:rPr>
          <w:rFonts w:hint="eastAsia" w:ascii="宋体" w:hAnsi="宋体" w:cs="宋体"/>
          <w:color w:val="auto"/>
          <w:sz w:val="21"/>
          <w:szCs w:val="21"/>
          <w:lang w:val="en-US" w:eastAsia="zh-CN"/>
        </w:rPr>
        <w:t>13%</w:t>
      </w:r>
      <w:r>
        <w:rPr>
          <w:rFonts w:hint="eastAsia" w:ascii="宋体" w:hAnsi="宋体" w:cs="宋体"/>
          <w:color w:val="auto"/>
          <w:sz w:val="21"/>
          <w:szCs w:val="21"/>
        </w:rPr>
        <w:t>增值税专用发票给甲方，甲方15个工作日内无息支付。</w:t>
      </w:r>
    </w:p>
    <w:p>
      <w:pPr>
        <w:spacing w:line="400" w:lineRule="exact"/>
        <w:ind w:firstLine="422" w:firstLineChars="200"/>
        <w:rPr>
          <w:rStyle w:val="103"/>
          <w:rFonts w:ascii="宋体" w:hAnsi="宋体" w:cs="宋体"/>
          <w:b/>
          <w:bCs/>
          <w:color w:val="auto"/>
          <w:sz w:val="21"/>
          <w:szCs w:val="21"/>
        </w:rPr>
      </w:pPr>
      <w:bookmarkStart w:id="61" w:name="_Toc24659"/>
      <w:bookmarkStart w:id="62" w:name="_Toc16876"/>
      <w:r>
        <w:rPr>
          <w:rStyle w:val="103"/>
          <w:rFonts w:hint="eastAsia" w:ascii="宋体" w:hAnsi="宋体" w:cs="宋体"/>
          <w:b/>
          <w:bCs/>
          <w:color w:val="auto"/>
          <w:sz w:val="21"/>
          <w:szCs w:val="21"/>
        </w:rPr>
        <w:t>五、知识产权</w:t>
      </w:r>
      <w:bookmarkEnd w:id="61"/>
      <w:bookmarkEnd w:id="62"/>
    </w:p>
    <w:p>
      <w:pPr>
        <w:snapToGrid w:val="0"/>
        <w:spacing w:line="360" w:lineRule="auto"/>
        <w:ind w:firstLine="420" w:firstLineChars="200"/>
        <w:rPr>
          <w:rFonts w:ascii="宋体" w:hAnsi="宋体"/>
          <w:color w:val="auto"/>
          <w:sz w:val="21"/>
          <w:szCs w:val="21"/>
        </w:rPr>
      </w:pPr>
      <w:bookmarkStart w:id="63" w:name="_Toc4092"/>
      <w:bookmarkStart w:id="64" w:name="_Toc28145"/>
      <w:r>
        <w:rPr>
          <w:rFonts w:hint="eastAsia" w:ascii="宋体" w:hAnsi="宋体"/>
          <w:color w:val="auto"/>
          <w:sz w:val="21"/>
          <w:szCs w:val="21"/>
        </w:rPr>
        <w:t>采购人在中华人民共和国境内使用成交供应商提供的服务时免受第三方提出的侵犯其专利权或其它知识产权的起诉。如果第三方提出侵权指控，成交供应商应承担由此而引起的一切法律责任和费用。</w:t>
      </w:r>
    </w:p>
    <w:p>
      <w:pPr>
        <w:snapToGrid w:val="0"/>
        <w:spacing w:line="360" w:lineRule="auto"/>
        <w:ind w:firstLine="420" w:firstLineChars="200"/>
        <w:rPr>
          <w:rFonts w:ascii="宋体" w:hAnsi="宋体"/>
          <w:color w:val="auto"/>
          <w:sz w:val="21"/>
          <w:szCs w:val="21"/>
        </w:rPr>
      </w:pPr>
      <w:r>
        <w:rPr>
          <w:rFonts w:hint="eastAsia" w:ascii="宋体" w:hAnsi="宋体"/>
          <w:color w:val="auto"/>
          <w:sz w:val="21"/>
          <w:szCs w:val="21"/>
        </w:rPr>
        <w:t>本项目知识产权由采购人所有，若有需要，成交供应商应配合采购人对本项目知识产权进行保护。</w:t>
      </w:r>
    </w:p>
    <w:p>
      <w:pPr>
        <w:spacing w:line="400" w:lineRule="exact"/>
        <w:ind w:firstLine="422" w:firstLineChars="200"/>
        <w:rPr>
          <w:rFonts w:ascii="宋体" w:hAnsi="宋体" w:cs="宋体"/>
          <w:b/>
          <w:color w:val="auto"/>
          <w:sz w:val="21"/>
          <w:szCs w:val="21"/>
        </w:rPr>
      </w:pPr>
      <w:r>
        <w:rPr>
          <w:rFonts w:hint="eastAsia" w:ascii="宋体" w:hAnsi="宋体" w:cs="宋体"/>
          <w:b/>
          <w:color w:val="auto"/>
          <w:sz w:val="21"/>
          <w:szCs w:val="21"/>
        </w:rPr>
        <w:t>六、其他</w:t>
      </w:r>
      <w:bookmarkEnd w:id="63"/>
      <w:bookmarkEnd w:id="64"/>
    </w:p>
    <w:p>
      <w:pPr>
        <w:snapToGrid w:val="0"/>
        <w:spacing w:line="360" w:lineRule="auto"/>
        <w:ind w:firstLine="420" w:firstLineChars="200"/>
        <w:rPr>
          <w:rFonts w:ascii="宋体" w:hAnsi="宋体"/>
          <w:color w:val="auto"/>
          <w:sz w:val="21"/>
          <w:szCs w:val="21"/>
        </w:rPr>
      </w:pPr>
      <w:r>
        <w:rPr>
          <w:rFonts w:hint="eastAsia" w:ascii="宋体" w:hAnsi="宋体"/>
          <w:color w:val="auto"/>
          <w:sz w:val="21"/>
          <w:szCs w:val="21"/>
        </w:rPr>
        <w:t>（一）供应商必须在响应文件中对以上条款和服务承诺明确列出，承诺内容必须达到本篇及磋商文件其他条款的要求。</w:t>
      </w:r>
    </w:p>
    <w:p>
      <w:pPr>
        <w:snapToGrid w:val="0"/>
        <w:spacing w:line="360" w:lineRule="auto"/>
        <w:ind w:firstLine="420" w:firstLineChars="200"/>
        <w:rPr>
          <w:rFonts w:ascii="宋体" w:hAnsi="宋体"/>
          <w:color w:val="auto"/>
          <w:sz w:val="21"/>
          <w:szCs w:val="21"/>
        </w:rPr>
      </w:pPr>
      <w:r>
        <w:rPr>
          <w:rFonts w:hint="eastAsia" w:ascii="宋体" w:hAnsi="宋体"/>
          <w:color w:val="auto"/>
          <w:sz w:val="21"/>
          <w:szCs w:val="21"/>
        </w:rPr>
        <w:t>（二）其他未尽事宜由供需双方在采购合同中详细约定。</w:t>
      </w:r>
    </w:p>
    <w:p>
      <w:pPr>
        <w:snapToGrid w:val="0"/>
        <w:spacing w:line="360" w:lineRule="auto"/>
        <w:ind w:firstLine="540"/>
        <w:rPr>
          <w:rFonts w:ascii="宋体" w:hAnsi="宋体" w:cs="宋体"/>
          <w:color w:val="auto"/>
          <w:sz w:val="21"/>
          <w:szCs w:val="21"/>
        </w:rPr>
      </w:pPr>
    </w:p>
    <w:p>
      <w:pPr>
        <w:snapToGrid w:val="0"/>
        <w:spacing w:line="400" w:lineRule="exact"/>
        <w:ind w:firstLine="540"/>
        <w:rPr>
          <w:rFonts w:ascii="宋体" w:hAnsi="宋体" w:cs="宋体"/>
          <w:color w:val="auto"/>
          <w:sz w:val="24"/>
          <w:szCs w:val="24"/>
        </w:rPr>
      </w:pPr>
    </w:p>
    <w:p>
      <w:pPr>
        <w:pStyle w:val="4"/>
        <w:pageBreakBefore/>
        <w:spacing w:before="0" w:after="0" w:line="360" w:lineRule="auto"/>
        <w:ind w:right="-165" w:rightChars="-59"/>
        <w:jc w:val="center"/>
        <w:rPr>
          <w:rFonts w:ascii="宋体" w:hAnsi="宋体" w:eastAsia="宋体" w:cs="宋体"/>
          <w:b w:val="0"/>
          <w:color w:val="auto"/>
          <w:sz w:val="36"/>
          <w:szCs w:val="30"/>
        </w:rPr>
      </w:pPr>
      <w:bookmarkStart w:id="65" w:name="_Toc10261"/>
      <w:bookmarkStart w:id="66" w:name="_Toc9403"/>
      <w:r>
        <w:rPr>
          <w:rFonts w:hint="eastAsia" w:ascii="宋体" w:hAnsi="宋体" w:eastAsia="宋体" w:cs="宋体"/>
          <w:b w:val="0"/>
          <w:color w:val="auto"/>
          <w:sz w:val="36"/>
          <w:szCs w:val="30"/>
        </w:rPr>
        <w:t>第四篇  磋商程序及方法、评审标准、无效响应和</w:t>
      </w:r>
      <w:r>
        <w:rPr>
          <w:rFonts w:hint="eastAsia" w:ascii="宋体" w:hAnsi="宋体" w:eastAsia="宋体" w:cs="宋体"/>
          <w:b w:val="0"/>
          <w:color w:val="auto"/>
          <w:sz w:val="36"/>
          <w:szCs w:val="36"/>
        </w:rPr>
        <w:t>采购终止</w:t>
      </w:r>
      <w:bookmarkEnd w:id="65"/>
      <w:bookmarkEnd w:id="66"/>
    </w:p>
    <w:p>
      <w:pPr>
        <w:pStyle w:val="5"/>
        <w:spacing w:before="0" w:after="0" w:line="440" w:lineRule="exact"/>
        <w:rPr>
          <w:rFonts w:ascii="宋体" w:hAnsi="宋体" w:cs="宋体"/>
          <w:color w:val="auto"/>
          <w:sz w:val="21"/>
          <w:szCs w:val="21"/>
        </w:rPr>
      </w:pPr>
      <w:bookmarkStart w:id="67" w:name="_Toc17747"/>
      <w:bookmarkStart w:id="68" w:name="_Toc28552"/>
      <w:r>
        <w:rPr>
          <w:rFonts w:hint="eastAsia" w:ascii="宋体" w:hAnsi="宋体" w:cs="宋体"/>
          <w:color w:val="auto"/>
          <w:sz w:val="21"/>
          <w:szCs w:val="21"/>
        </w:rPr>
        <w:t xml:space="preserve">     一、磋商程序及方法</w:t>
      </w:r>
      <w:bookmarkEnd w:id="67"/>
      <w:bookmarkEnd w:id="68"/>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（二）磋商小组对各供应商的资格条件、响应文件的有效性、完整性和响应程度进行审查。各供应商只有在完全符合要求的前提下，才能参与正式磋商。</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1.资格性审查。依据法律法规和竞争性磋商文件的规定，对响应文件中的资格证明、等进行审查，以确定供应商是否具备磋商资格。资格性审查资料表如下：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宋体" w:hAnsi="宋体" w:cs="宋体"/>
                <w:color w:val="auto"/>
                <w:sz w:val="21"/>
                <w:szCs w:val="21"/>
              </w:rPr>
            </w:pPr>
            <w:r>
              <w:rPr>
                <w:rFonts w:hint="eastAsia" w:ascii="宋体" w:hAnsi="宋体" w:cs="宋体"/>
                <w:color w:val="auto"/>
                <w:sz w:val="21"/>
                <w:szCs w:val="21"/>
              </w:rPr>
              <w:t>（一）</w:t>
            </w:r>
          </w:p>
        </w:tc>
        <w:tc>
          <w:tcPr>
            <w:tcW w:w="709" w:type="dxa"/>
            <w:vMerge w:val="restart"/>
            <w:vAlign w:val="center"/>
          </w:tcPr>
          <w:p>
            <w:pPr>
              <w:rPr>
                <w:rFonts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3118" w:type="dxa"/>
            <w:vAlign w:val="center"/>
          </w:tcPr>
          <w:p>
            <w:pPr>
              <w:rPr>
                <w:rFonts w:ascii="宋体" w:hAnsi="宋体" w:cs="宋体"/>
                <w:color w:val="auto"/>
                <w:sz w:val="21"/>
                <w:szCs w:val="21"/>
              </w:rPr>
            </w:pPr>
            <w:r>
              <w:rPr>
                <w:rFonts w:hint="eastAsia" w:ascii="宋体" w:hAnsi="宋体" w:cs="宋体"/>
                <w:color w:val="auto"/>
                <w:sz w:val="21"/>
                <w:szCs w:val="21"/>
              </w:rPr>
              <w:t>1.具有独立承担民事责任的能力</w:t>
            </w:r>
          </w:p>
        </w:tc>
        <w:tc>
          <w:tcPr>
            <w:tcW w:w="4984" w:type="dxa"/>
            <w:vAlign w:val="center"/>
          </w:tcPr>
          <w:p>
            <w:pPr>
              <w:rPr>
                <w:rFonts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pPr>
              <w:rPr>
                <w:rFonts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lang w:val="zh-CN"/>
              </w:rPr>
            </w:pPr>
          </w:p>
        </w:tc>
        <w:tc>
          <w:tcPr>
            <w:tcW w:w="3118" w:type="dxa"/>
            <w:vAlign w:val="center"/>
          </w:tcPr>
          <w:p>
            <w:pPr>
              <w:rPr>
                <w:rFonts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984" w:type="dxa"/>
            <w:vMerge w:val="restart"/>
            <w:vAlign w:val="center"/>
          </w:tcPr>
          <w:p>
            <w:pPr>
              <w:rPr>
                <w:rFonts w:ascii="宋体" w:hAnsi="宋体" w:cs="宋体"/>
                <w:b/>
                <w:color w:val="auto"/>
                <w:sz w:val="21"/>
                <w:szCs w:val="21"/>
              </w:rPr>
            </w:pPr>
            <w:r>
              <w:rPr>
                <w:rFonts w:hint="eastAsia" w:ascii="宋体" w:hAnsi="宋体" w:cs="宋体"/>
                <w:color w:val="auto"/>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lang w:val="zh-CN"/>
              </w:rPr>
            </w:pPr>
          </w:p>
        </w:tc>
        <w:tc>
          <w:tcPr>
            <w:tcW w:w="3118" w:type="dxa"/>
            <w:vAlign w:val="center"/>
          </w:tcPr>
          <w:p>
            <w:pPr>
              <w:rPr>
                <w:rFonts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4984" w:type="dxa"/>
            <w:vMerge w:val="continue"/>
            <w:vAlign w:val="center"/>
          </w:tcPr>
          <w:p>
            <w:pP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lang w:val="zh-CN"/>
              </w:rPr>
            </w:pPr>
          </w:p>
        </w:tc>
        <w:tc>
          <w:tcPr>
            <w:tcW w:w="3118" w:type="dxa"/>
            <w:vAlign w:val="center"/>
          </w:tcPr>
          <w:p>
            <w:pPr>
              <w:rPr>
                <w:rFonts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4984" w:type="dxa"/>
            <w:vMerge w:val="continue"/>
            <w:vAlign w:val="center"/>
          </w:tcPr>
          <w:p>
            <w:pP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lang w:val="zh-CN"/>
              </w:rPr>
            </w:pPr>
          </w:p>
        </w:tc>
        <w:tc>
          <w:tcPr>
            <w:tcW w:w="3118" w:type="dxa"/>
            <w:vAlign w:val="center"/>
          </w:tcPr>
          <w:p>
            <w:pPr>
              <w:rPr>
                <w:rFonts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w:t>
            </w:r>
          </w:p>
        </w:tc>
        <w:tc>
          <w:tcPr>
            <w:tcW w:w="4984" w:type="dxa"/>
            <w:vMerge w:val="continue"/>
            <w:vAlign w:val="center"/>
          </w:tcPr>
          <w:p>
            <w:pPr>
              <w:rPr>
                <w:rFonts w:ascii="宋体" w:hAnsi="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rPr>
            </w:pPr>
          </w:p>
        </w:tc>
        <w:tc>
          <w:tcPr>
            <w:tcW w:w="3118" w:type="dxa"/>
            <w:vAlign w:val="center"/>
          </w:tcPr>
          <w:p>
            <w:pPr>
              <w:rPr>
                <w:rFonts w:ascii="宋体" w:hAnsi="宋体" w:cs="宋体"/>
                <w:color w:val="auto"/>
                <w:sz w:val="21"/>
                <w:szCs w:val="21"/>
              </w:rPr>
            </w:pPr>
            <w:r>
              <w:rPr>
                <w:rFonts w:hint="eastAsia" w:ascii="宋体" w:hAnsi="宋体" w:cs="宋体"/>
                <w:color w:val="auto"/>
                <w:sz w:val="21"/>
                <w:szCs w:val="21"/>
              </w:rPr>
              <w:t>6.法律、行政法规规定的其他条件</w:t>
            </w:r>
          </w:p>
        </w:tc>
        <w:tc>
          <w:tcPr>
            <w:tcW w:w="4984" w:type="dxa"/>
            <w:vAlign w:val="center"/>
          </w:tcPr>
          <w:p>
            <w:pP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宋体" w:hAnsi="宋体" w:cs="宋体"/>
                <w:color w:val="auto"/>
                <w:sz w:val="21"/>
                <w:szCs w:val="21"/>
              </w:rPr>
            </w:pPr>
          </w:p>
        </w:tc>
        <w:tc>
          <w:tcPr>
            <w:tcW w:w="709" w:type="dxa"/>
            <w:vMerge w:val="continue"/>
            <w:vAlign w:val="center"/>
          </w:tcPr>
          <w:p>
            <w:pPr>
              <w:rPr>
                <w:rFonts w:ascii="宋体" w:hAnsi="宋体" w:cs="宋体"/>
                <w:color w:val="auto"/>
                <w:sz w:val="21"/>
                <w:szCs w:val="21"/>
              </w:rPr>
            </w:pPr>
          </w:p>
        </w:tc>
        <w:tc>
          <w:tcPr>
            <w:tcW w:w="3118" w:type="dxa"/>
            <w:vAlign w:val="center"/>
          </w:tcPr>
          <w:p>
            <w:pPr>
              <w:rPr>
                <w:rFonts w:ascii="宋体" w:hAnsi="宋体" w:cs="宋体"/>
                <w:color w:val="auto"/>
                <w:sz w:val="21"/>
                <w:szCs w:val="21"/>
              </w:rPr>
            </w:pPr>
            <w:r>
              <w:rPr>
                <w:rFonts w:hint="eastAsia" w:ascii="宋体" w:hAnsi="宋体" w:cs="宋体"/>
                <w:color w:val="auto"/>
                <w:sz w:val="21"/>
                <w:szCs w:val="21"/>
              </w:rPr>
              <w:t>7.本项目的特定资格要求</w:t>
            </w:r>
          </w:p>
        </w:tc>
        <w:tc>
          <w:tcPr>
            <w:tcW w:w="4984" w:type="dxa"/>
            <w:vAlign w:val="center"/>
          </w:tcPr>
          <w:p>
            <w:pPr>
              <w:rPr>
                <w:rFonts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s="宋体"/>
                <w:color w:val="auto"/>
                <w:sz w:val="21"/>
                <w:szCs w:val="21"/>
              </w:rPr>
            </w:pPr>
            <w:r>
              <w:rPr>
                <w:rFonts w:hint="eastAsia" w:ascii="宋体" w:hAnsi="宋体" w:cs="宋体"/>
                <w:color w:val="auto"/>
                <w:sz w:val="21"/>
                <w:szCs w:val="21"/>
              </w:rPr>
              <w:t>（二）</w:t>
            </w:r>
          </w:p>
        </w:tc>
        <w:tc>
          <w:tcPr>
            <w:tcW w:w="3827" w:type="dxa"/>
            <w:gridSpan w:val="2"/>
            <w:vAlign w:val="center"/>
          </w:tcPr>
          <w:p>
            <w:pPr>
              <w:rPr>
                <w:rFonts w:ascii="宋体" w:hAnsi="宋体" w:cs="宋体"/>
                <w:color w:val="auto"/>
                <w:sz w:val="21"/>
                <w:szCs w:val="21"/>
              </w:rPr>
            </w:pPr>
            <w:r>
              <w:rPr>
                <w:rFonts w:hint="eastAsia" w:ascii="宋体" w:hAnsi="宋体" w:cs="宋体"/>
                <w:color w:val="auto"/>
                <w:sz w:val="21"/>
                <w:szCs w:val="21"/>
              </w:rPr>
              <w:t>落实政府采购政策需满足的资格要求</w:t>
            </w:r>
          </w:p>
        </w:tc>
        <w:tc>
          <w:tcPr>
            <w:tcW w:w="4984" w:type="dxa"/>
            <w:vAlign w:val="center"/>
          </w:tcPr>
          <w:p>
            <w:pPr>
              <w:rPr>
                <w:rFonts w:ascii="宋体" w:hAnsi="宋体" w:cs="宋体"/>
                <w:color w:val="auto"/>
                <w:sz w:val="21"/>
                <w:szCs w:val="21"/>
              </w:rPr>
            </w:pPr>
            <w:r>
              <w:rPr>
                <w:rFonts w:hint="eastAsia" w:ascii="宋体" w:hAnsi="宋体" w:cs="宋体"/>
                <w:color w:val="auto"/>
                <w:sz w:val="21"/>
                <w:szCs w:val="21"/>
              </w:rPr>
              <w:t>按“第一篇三、供应商资格要求（二）落实政府采购政策需满足的资格要求”的要求提交（如果有）。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rPr>
                <w:rFonts w:ascii="宋体" w:hAnsi="宋体" w:cs="宋体"/>
                <w:color w:val="auto"/>
                <w:sz w:val="21"/>
                <w:szCs w:val="21"/>
              </w:rPr>
            </w:pPr>
            <w:r>
              <w:rPr>
                <w:rFonts w:hint="eastAsia" w:ascii="宋体" w:hAnsi="宋体" w:cs="宋体"/>
                <w:color w:val="auto"/>
                <w:sz w:val="21"/>
                <w:szCs w:val="21"/>
              </w:rPr>
              <w:t>（三）</w:t>
            </w:r>
          </w:p>
        </w:tc>
        <w:tc>
          <w:tcPr>
            <w:tcW w:w="3827" w:type="dxa"/>
            <w:gridSpan w:val="2"/>
            <w:vAlign w:val="center"/>
          </w:tcPr>
          <w:p>
            <w:pPr>
              <w:rPr>
                <w:rFonts w:ascii="宋体" w:hAnsi="宋体" w:cs="宋体"/>
                <w:color w:val="auto"/>
                <w:sz w:val="21"/>
                <w:szCs w:val="21"/>
              </w:rPr>
            </w:pPr>
            <w:r>
              <w:rPr>
                <w:rFonts w:hint="eastAsia" w:ascii="宋体" w:hAnsi="宋体" w:cs="宋体"/>
                <w:color w:val="auto"/>
                <w:sz w:val="21"/>
                <w:szCs w:val="21"/>
              </w:rPr>
              <w:t>投标保证金</w:t>
            </w:r>
          </w:p>
        </w:tc>
        <w:tc>
          <w:tcPr>
            <w:tcW w:w="4984" w:type="dxa"/>
            <w:vAlign w:val="center"/>
          </w:tcPr>
          <w:p>
            <w:pPr>
              <w:rPr>
                <w:rFonts w:ascii="宋体" w:hAnsi="宋体" w:cs="宋体"/>
                <w:color w:val="auto"/>
                <w:sz w:val="21"/>
                <w:szCs w:val="21"/>
              </w:rPr>
            </w:pPr>
            <w:r>
              <w:rPr>
                <w:rFonts w:hint="eastAsia" w:ascii="宋体" w:hAnsi="宋体" w:cs="宋体"/>
                <w:color w:val="auto"/>
                <w:sz w:val="21"/>
                <w:szCs w:val="21"/>
              </w:rPr>
              <w:t>按照招标文件要求足额交纳所投包的投标保证金。</w:t>
            </w:r>
          </w:p>
        </w:tc>
      </w:tr>
    </w:tbl>
    <w:p>
      <w:pPr>
        <w:snapToGrid w:val="0"/>
        <w:spacing w:line="400" w:lineRule="exact"/>
        <w:ind w:firstLine="420" w:firstLineChars="200"/>
        <w:rPr>
          <w:rFonts w:ascii="宋体" w:hAnsi="宋体" w:cs="宋体"/>
          <w:color w:val="auto"/>
          <w:kern w:val="0"/>
          <w:sz w:val="21"/>
          <w:szCs w:val="21"/>
        </w:rPr>
      </w:pPr>
      <w:r>
        <w:rPr>
          <w:rFonts w:hint="eastAsia" w:ascii="宋体" w:hAnsi="宋体" w:cs="宋体"/>
          <w:color w:val="auto"/>
          <w:kern w:val="0"/>
          <w:sz w:val="21"/>
          <w:szCs w:val="21"/>
        </w:rPr>
        <w:t>注：</w:t>
      </w:r>
    </w:p>
    <w:p>
      <w:pPr>
        <w:snapToGrid w:val="0"/>
        <w:spacing w:line="400" w:lineRule="exact"/>
        <w:ind w:firstLine="420" w:firstLineChars="200"/>
        <w:rPr>
          <w:rFonts w:ascii="宋体" w:hAnsi="宋体" w:cs="宋体"/>
          <w:color w:val="auto"/>
          <w:kern w:val="0"/>
          <w:sz w:val="21"/>
          <w:szCs w:val="21"/>
        </w:rPr>
      </w:pPr>
      <w:r>
        <w:rPr>
          <w:rFonts w:hint="eastAsia" w:ascii="宋体" w:hAnsi="宋体" w:cs="宋体"/>
          <w:color w:val="auto"/>
          <w:kern w:val="0"/>
          <w:sz w:val="21"/>
          <w:szCs w:val="21"/>
        </w:rPr>
        <w:fldChar w:fldCharType="begin"/>
      </w:r>
      <w:r>
        <w:rPr>
          <w:rFonts w:hint="eastAsia" w:ascii="宋体" w:hAnsi="宋体" w:cs="宋体"/>
          <w:color w:val="auto"/>
          <w:kern w:val="0"/>
          <w:sz w:val="21"/>
          <w:szCs w:val="21"/>
        </w:rPr>
        <w:instrText xml:space="preserve"> eq \o\ac(</w:instrText>
      </w:r>
      <w:r>
        <w:rPr>
          <w:rFonts w:hint="eastAsia" w:ascii="宋体" w:hAnsi="宋体" w:cs="宋体"/>
          <w:color w:val="auto"/>
          <w:kern w:val="0"/>
          <w:position w:val="-4"/>
          <w:sz w:val="31"/>
          <w:szCs w:val="21"/>
        </w:rPr>
        <w:instrText xml:space="preserve">○</w:instrText>
      </w:r>
      <w:r>
        <w:rPr>
          <w:rFonts w:hint="eastAsia" w:ascii="宋体" w:hAnsi="宋体" w:cs="宋体"/>
          <w:color w:val="auto"/>
          <w:kern w:val="0"/>
          <w:sz w:val="21"/>
          <w:szCs w:val="21"/>
        </w:rPr>
        <w:instrText xml:space="preserve">,1)</w:instrText>
      </w:r>
      <w:r>
        <w:rPr>
          <w:rFonts w:hint="eastAsia" w:ascii="宋体" w:hAnsi="宋体" w:cs="宋体"/>
          <w:color w:val="auto"/>
          <w:kern w:val="0"/>
          <w:sz w:val="21"/>
          <w:szCs w:val="21"/>
        </w:rPr>
        <w:fldChar w:fldCharType="end"/>
      </w:r>
      <w:r>
        <w:rPr>
          <w:rFonts w:hint="eastAsia" w:ascii="宋体" w:hAnsi="宋体" w:cs="宋体"/>
          <w:color w:val="auto"/>
          <w:kern w:val="0"/>
          <w:sz w:val="21"/>
          <w:szCs w:val="21"/>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400" w:lineRule="exact"/>
        <w:ind w:firstLine="420" w:firstLineChars="200"/>
        <w:rPr>
          <w:rFonts w:ascii="宋体" w:hAnsi="宋体" w:cs="宋体"/>
          <w:color w:val="auto"/>
          <w:kern w:val="0"/>
          <w:sz w:val="21"/>
          <w:szCs w:val="21"/>
        </w:rPr>
      </w:pPr>
      <w:r>
        <w:rPr>
          <w:rFonts w:hint="eastAsia" w:ascii="宋体" w:hAnsi="宋体" w:cs="宋体"/>
          <w:color w:val="auto"/>
          <w:kern w:val="0"/>
          <w:sz w:val="21"/>
          <w:szCs w:val="21"/>
        </w:rPr>
        <w:fldChar w:fldCharType="begin"/>
      </w:r>
      <w:r>
        <w:rPr>
          <w:rFonts w:hint="eastAsia" w:ascii="宋体" w:hAnsi="宋体" w:cs="宋体"/>
          <w:color w:val="auto"/>
          <w:kern w:val="0"/>
          <w:sz w:val="21"/>
          <w:szCs w:val="21"/>
        </w:rPr>
        <w:instrText xml:space="preserve"> eq \o\ac(</w:instrText>
      </w:r>
      <w:r>
        <w:rPr>
          <w:rFonts w:hint="eastAsia" w:ascii="宋体" w:hAnsi="宋体" w:cs="宋体"/>
          <w:color w:val="auto"/>
          <w:kern w:val="0"/>
          <w:position w:val="-4"/>
          <w:sz w:val="31"/>
          <w:szCs w:val="21"/>
        </w:rPr>
        <w:instrText xml:space="preserve">○</w:instrText>
      </w:r>
      <w:r>
        <w:rPr>
          <w:rFonts w:hint="eastAsia" w:ascii="宋体" w:hAnsi="宋体" w:cs="宋体"/>
          <w:color w:val="auto"/>
          <w:kern w:val="0"/>
          <w:sz w:val="21"/>
          <w:szCs w:val="21"/>
        </w:rPr>
        <w:instrText xml:space="preserve">,2)</w:instrText>
      </w:r>
      <w:r>
        <w:rPr>
          <w:rFonts w:hint="eastAsia" w:ascii="宋体" w:hAnsi="宋体" w:cs="宋体"/>
          <w:color w:val="auto"/>
          <w:kern w:val="0"/>
          <w:sz w:val="21"/>
          <w:szCs w:val="21"/>
        </w:rPr>
        <w:fldChar w:fldCharType="end"/>
      </w:r>
      <w:r>
        <w:rPr>
          <w:rFonts w:hint="eastAsia" w:ascii="宋体" w:hAnsi="宋体" w:cs="宋体"/>
          <w:color w:val="auto"/>
          <w:kern w:val="0"/>
          <w:sz w:val="21"/>
          <w:szCs w:val="21"/>
        </w:rPr>
        <w:t>以联合体形式参与磋商的，共同联合协议中应确定主办方（主体），</w:t>
      </w:r>
      <w:r>
        <w:rPr>
          <w:rFonts w:hint="eastAsia" w:ascii="宋体" w:hAnsi="宋体" w:cs="宋体"/>
          <w:color w:val="auto"/>
          <w:sz w:val="21"/>
          <w:szCs w:val="21"/>
        </w:rPr>
        <w:t>代表联合体进行磋商和澄清。</w:t>
      </w:r>
      <w:r>
        <w:rPr>
          <w:rFonts w:hint="eastAsia" w:ascii="宋体" w:hAnsi="宋体" w:cs="宋体"/>
          <w:color w:val="auto"/>
          <w:kern w:val="0"/>
          <w:sz w:val="21"/>
          <w:szCs w:val="21"/>
        </w:rPr>
        <w:t>联合体各方均应满足供应商资格要求（详见“第一篇”）。</w:t>
      </w:r>
    </w:p>
    <w:p>
      <w:pPr>
        <w:snapToGrid w:val="0"/>
        <w:spacing w:line="400" w:lineRule="exact"/>
        <w:ind w:firstLine="420" w:firstLineChars="200"/>
        <w:rPr>
          <w:color w:val="auto"/>
          <w:sz w:val="21"/>
          <w:szCs w:val="21"/>
        </w:rPr>
      </w:pPr>
      <w:r>
        <w:rPr>
          <w:rFonts w:hint="eastAsia" w:ascii="宋体" w:hAnsi="宋体" w:cs="宋体"/>
          <w:color w:val="auto"/>
          <w:kern w:val="0"/>
          <w:sz w:val="21"/>
          <w:szCs w:val="21"/>
        </w:rPr>
        <w:fldChar w:fldCharType="begin"/>
      </w:r>
      <w:r>
        <w:rPr>
          <w:rFonts w:hint="eastAsia" w:ascii="宋体" w:hAnsi="宋体" w:cs="宋体"/>
          <w:color w:val="auto"/>
          <w:kern w:val="0"/>
          <w:sz w:val="21"/>
          <w:szCs w:val="21"/>
        </w:rPr>
        <w:instrText xml:space="preserve"> eq \o\ac(</w:instrText>
      </w:r>
      <w:r>
        <w:rPr>
          <w:rFonts w:hint="eastAsia" w:ascii="宋体" w:hAnsi="宋体" w:cs="宋体"/>
          <w:color w:val="auto"/>
          <w:kern w:val="0"/>
          <w:position w:val="-4"/>
          <w:sz w:val="31"/>
          <w:szCs w:val="21"/>
        </w:rPr>
        <w:instrText xml:space="preserve">○</w:instrText>
      </w:r>
      <w:r>
        <w:rPr>
          <w:rFonts w:hint="eastAsia" w:ascii="宋体" w:hAnsi="宋体" w:cs="宋体"/>
          <w:color w:val="auto"/>
          <w:kern w:val="0"/>
          <w:sz w:val="21"/>
          <w:szCs w:val="21"/>
        </w:rPr>
        <w:instrText xml:space="preserve">,3)</w:instrText>
      </w:r>
      <w:r>
        <w:rPr>
          <w:rFonts w:hint="eastAsia" w:ascii="宋体" w:hAnsi="宋体" w:cs="宋体"/>
          <w:color w:val="auto"/>
          <w:kern w:val="0"/>
          <w:sz w:val="21"/>
          <w:szCs w:val="21"/>
        </w:rPr>
        <w:fldChar w:fldCharType="end"/>
      </w:r>
      <w:r>
        <w:rPr>
          <w:rFonts w:hint="eastAsia" w:ascii="宋体" w:hAnsi="宋体" w:cs="宋体"/>
          <w:color w:val="auto"/>
          <w:sz w:val="21"/>
          <w:szCs w:val="21"/>
        </w:rPr>
        <w:t>以联合体形式参加本项目的，联合体各方均为中小企业的，联合体视同中小企业（其中，联合体各方均为小微企业的，联合体视同小微企业</w:t>
      </w:r>
      <w:r>
        <w:rPr>
          <w:rFonts w:hint="eastAsia" w:ascii="宋体" w:hAnsi="宋体" w:cs="宋体"/>
          <w:color w:val="auto"/>
          <w:kern w:val="0"/>
          <w:sz w:val="21"/>
          <w:szCs w:val="21"/>
        </w:rPr>
        <w:t>）。</w:t>
      </w:r>
    </w:p>
    <w:p>
      <w:pPr>
        <w:snapToGrid w:val="0"/>
        <w:spacing w:line="400" w:lineRule="exact"/>
        <w:ind w:firstLine="420" w:firstLineChars="200"/>
        <w:rPr>
          <w:rFonts w:ascii="宋体" w:hAnsi="宋体" w:cs="宋体"/>
          <w:color w:val="auto"/>
          <w:kern w:val="0"/>
          <w:sz w:val="21"/>
          <w:szCs w:val="21"/>
        </w:rPr>
      </w:pPr>
      <w:r>
        <w:rPr>
          <w:rFonts w:hint="eastAsia" w:ascii="宋体" w:hAnsi="宋体" w:cs="宋体"/>
          <w:color w:val="auto"/>
          <w:kern w:val="0"/>
          <w:sz w:val="21"/>
          <w:szCs w:val="21"/>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评审因素</w:t>
            </w:r>
          </w:p>
        </w:tc>
        <w:tc>
          <w:tcPr>
            <w:tcW w:w="5001" w:type="dxa"/>
            <w:vAlign w:val="center"/>
          </w:tcPr>
          <w:p>
            <w:pPr>
              <w:jc w:val="center"/>
              <w:rPr>
                <w:rFonts w:ascii="宋体" w:hAnsi="宋体" w:cs="宋体"/>
                <w:b/>
                <w:color w:val="auto"/>
                <w:kern w:val="0"/>
                <w:sz w:val="21"/>
                <w:szCs w:val="21"/>
              </w:rPr>
            </w:pPr>
            <w:r>
              <w:rPr>
                <w:rFonts w:hint="eastAsia" w:ascii="宋体" w:hAnsi="宋体" w:cs="宋体"/>
                <w:b/>
                <w:color w:val="auto"/>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1560" w:type="dxa"/>
            <w:vMerge w:val="restart"/>
            <w:vAlign w:val="center"/>
          </w:tcPr>
          <w:p>
            <w:pPr>
              <w:rPr>
                <w:rFonts w:ascii="宋体" w:hAnsi="宋体" w:cs="宋体"/>
                <w:color w:val="auto"/>
                <w:kern w:val="0"/>
                <w:sz w:val="21"/>
                <w:szCs w:val="21"/>
              </w:rPr>
            </w:pPr>
            <w:r>
              <w:rPr>
                <w:rFonts w:hint="eastAsia" w:ascii="宋体" w:hAnsi="宋体" w:cs="宋体"/>
                <w:color w:val="auto"/>
                <w:kern w:val="0"/>
                <w:sz w:val="21"/>
                <w:szCs w:val="21"/>
              </w:rPr>
              <w:t>有效性审查</w:t>
            </w:r>
          </w:p>
        </w:tc>
        <w:tc>
          <w:tcPr>
            <w:tcW w:w="1984" w:type="dxa"/>
            <w:vAlign w:val="center"/>
          </w:tcPr>
          <w:p>
            <w:pPr>
              <w:rPr>
                <w:rFonts w:ascii="宋体" w:hAnsi="宋体" w:cs="宋体"/>
                <w:color w:val="auto"/>
                <w:kern w:val="0"/>
                <w:sz w:val="21"/>
                <w:szCs w:val="21"/>
              </w:rPr>
            </w:pPr>
            <w:r>
              <w:rPr>
                <w:rFonts w:hint="eastAsia" w:ascii="宋体" w:hAnsi="宋体" w:cs="宋体"/>
                <w:color w:val="auto"/>
                <w:sz w:val="21"/>
                <w:szCs w:val="21"/>
              </w:rPr>
              <w:t>响应文件签署或盖章</w:t>
            </w:r>
          </w:p>
        </w:tc>
        <w:tc>
          <w:tcPr>
            <w:tcW w:w="5001" w:type="dxa"/>
            <w:vAlign w:val="center"/>
          </w:tcPr>
          <w:p>
            <w:pPr>
              <w:rPr>
                <w:rFonts w:ascii="宋体" w:hAnsi="宋体" w:cs="宋体"/>
                <w:color w:val="auto"/>
                <w:kern w:val="0"/>
                <w:sz w:val="21"/>
                <w:szCs w:val="21"/>
              </w:rPr>
            </w:pPr>
            <w:r>
              <w:rPr>
                <w:rFonts w:hint="eastAsia" w:ascii="宋体" w:hAnsi="宋体" w:cs="宋体"/>
                <w:color w:val="auto"/>
                <w:sz w:val="21"/>
                <w:szCs w:val="21"/>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宋体" w:hAnsi="宋体" w:cs="宋体"/>
                <w:color w:val="auto"/>
                <w:kern w:val="0"/>
                <w:sz w:val="21"/>
                <w:szCs w:val="21"/>
              </w:rPr>
            </w:pPr>
          </w:p>
        </w:tc>
        <w:tc>
          <w:tcPr>
            <w:tcW w:w="1560" w:type="dxa"/>
            <w:vMerge w:val="continue"/>
            <w:vAlign w:val="center"/>
          </w:tcPr>
          <w:p>
            <w:pPr>
              <w:rPr>
                <w:rFonts w:ascii="宋体" w:hAnsi="宋体" w:cs="宋体"/>
                <w:color w:val="auto"/>
                <w:kern w:val="0"/>
                <w:sz w:val="21"/>
                <w:szCs w:val="21"/>
              </w:rPr>
            </w:pPr>
          </w:p>
        </w:tc>
        <w:tc>
          <w:tcPr>
            <w:tcW w:w="1984" w:type="dxa"/>
            <w:vAlign w:val="center"/>
          </w:tcPr>
          <w:p>
            <w:pPr>
              <w:rPr>
                <w:rFonts w:ascii="宋体" w:hAnsi="宋体" w:cs="宋体"/>
                <w:color w:val="auto"/>
                <w:sz w:val="21"/>
                <w:szCs w:val="21"/>
              </w:rPr>
            </w:pPr>
            <w:r>
              <w:rPr>
                <w:rFonts w:hint="eastAsia" w:ascii="宋体" w:hAnsi="宋体" w:cs="宋体"/>
                <w:color w:val="auto"/>
                <w:sz w:val="21"/>
                <w:szCs w:val="21"/>
              </w:rPr>
              <w:t>法定代表人身份证明及授权委托书</w:t>
            </w:r>
          </w:p>
        </w:tc>
        <w:tc>
          <w:tcPr>
            <w:tcW w:w="5001" w:type="dxa"/>
            <w:vAlign w:val="center"/>
          </w:tcPr>
          <w:p>
            <w:pPr>
              <w:rPr>
                <w:rFonts w:ascii="宋体" w:hAnsi="宋体" w:cs="宋体"/>
                <w:color w:val="auto"/>
                <w:sz w:val="21"/>
                <w:szCs w:val="21"/>
              </w:rPr>
            </w:pPr>
            <w:r>
              <w:rPr>
                <w:rFonts w:hint="eastAsia" w:ascii="宋体" w:hAnsi="宋体" w:cs="宋体"/>
                <w:color w:val="auto"/>
                <w:sz w:val="21"/>
                <w:szCs w:val="21"/>
              </w:rPr>
              <w:t>法定代表人身份证明及授权委托书有效，符合竞争性磋商文件规定的格式，签署或盖章齐全。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宋体" w:hAnsi="宋体" w:cs="宋体"/>
                <w:color w:val="auto"/>
                <w:kern w:val="0"/>
                <w:sz w:val="21"/>
                <w:szCs w:val="21"/>
              </w:rPr>
            </w:pPr>
          </w:p>
        </w:tc>
        <w:tc>
          <w:tcPr>
            <w:tcW w:w="1560" w:type="dxa"/>
            <w:vMerge w:val="continue"/>
            <w:vAlign w:val="center"/>
          </w:tcPr>
          <w:p>
            <w:pPr>
              <w:rPr>
                <w:rFonts w:ascii="宋体" w:hAnsi="宋体" w:cs="宋体"/>
                <w:color w:val="auto"/>
                <w:kern w:val="0"/>
                <w:sz w:val="21"/>
                <w:szCs w:val="21"/>
              </w:rPr>
            </w:pPr>
          </w:p>
        </w:tc>
        <w:tc>
          <w:tcPr>
            <w:tcW w:w="1984" w:type="dxa"/>
            <w:vAlign w:val="center"/>
          </w:tcPr>
          <w:p>
            <w:pPr>
              <w:rPr>
                <w:rFonts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5001" w:type="dxa"/>
            <w:vAlign w:val="center"/>
          </w:tcPr>
          <w:p>
            <w:pPr>
              <w:rPr>
                <w:rFonts w:ascii="宋体" w:hAnsi="宋体" w:cs="宋体"/>
                <w:color w:val="auto"/>
                <w:kern w:val="0"/>
                <w:sz w:val="21"/>
                <w:szCs w:val="21"/>
              </w:rPr>
            </w:pPr>
            <w:r>
              <w:rPr>
                <w:rFonts w:hint="eastAsia" w:ascii="宋体" w:hAnsi="宋体" w:cs="宋体"/>
                <w:color w:val="auto"/>
                <w:sz w:val="21"/>
                <w:szCs w:val="21"/>
                <w:lang w:val="zh-CN"/>
              </w:rPr>
              <w:t>每个包只能有一个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ascii="宋体" w:hAnsi="宋体" w:cs="宋体"/>
                <w:color w:val="auto"/>
                <w:kern w:val="0"/>
                <w:sz w:val="21"/>
                <w:szCs w:val="21"/>
              </w:rPr>
            </w:pPr>
          </w:p>
        </w:tc>
        <w:tc>
          <w:tcPr>
            <w:tcW w:w="1560" w:type="dxa"/>
            <w:vMerge w:val="continue"/>
            <w:vAlign w:val="center"/>
          </w:tcPr>
          <w:p>
            <w:pPr>
              <w:rPr>
                <w:rFonts w:ascii="宋体" w:hAnsi="宋体" w:cs="宋体"/>
                <w:color w:val="auto"/>
                <w:kern w:val="0"/>
                <w:sz w:val="21"/>
                <w:szCs w:val="21"/>
              </w:rPr>
            </w:pPr>
          </w:p>
        </w:tc>
        <w:tc>
          <w:tcPr>
            <w:tcW w:w="1984" w:type="dxa"/>
            <w:vAlign w:val="center"/>
          </w:tcPr>
          <w:p>
            <w:pPr>
              <w:rPr>
                <w:rFonts w:ascii="宋体" w:hAnsi="宋体" w:cs="宋体"/>
                <w:color w:val="auto"/>
                <w:sz w:val="21"/>
                <w:szCs w:val="21"/>
                <w:lang w:val="zh-CN"/>
              </w:rPr>
            </w:pPr>
            <w:r>
              <w:rPr>
                <w:rFonts w:hint="eastAsia" w:ascii="宋体" w:hAnsi="宋体" w:cs="宋体"/>
                <w:color w:val="auto"/>
                <w:sz w:val="21"/>
                <w:szCs w:val="21"/>
              </w:rPr>
              <w:t>报价唯一</w:t>
            </w:r>
          </w:p>
        </w:tc>
        <w:tc>
          <w:tcPr>
            <w:tcW w:w="5001" w:type="dxa"/>
            <w:vAlign w:val="center"/>
          </w:tcPr>
          <w:p>
            <w:pPr>
              <w:rPr>
                <w:rFonts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1560" w:type="dxa"/>
            <w:vAlign w:val="center"/>
          </w:tcPr>
          <w:p>
            <w:pPr>
              <w:rPr>
                <w:rFonts w:ascii="宋体" w:hAnsi="宋体" w:cs="宋体"/>
                <w:color w:val="auto"/>
                <w:kern w:val="0"/>
                <w:sz w:val="21"/>
                <w:szCs w:val="21"/>
              </w:rPr>
            </w:pPr>
            <w:r>
              <w:rPr>
                <w:rFonts w:hint="eastAsia" w:ascii="宋体" w:hAnsi="宋体" w:cs="宋体"/>
                <w:color w:val="auto"/>
                <w:kern w:val="0"/>
                <w:sz w:val="21"/>
                <w:szCs w:val="21"/>
              </w:rPr>
              <w:t>完整性审查</w:t>
            </w:r>
          </w:p>
        </w:tc>
        <w:tc>
          <w:tcPr>
            <w:tcW w:w="1984" w:type="dxa"/>
            <w:vAlign w:val="center"/>
          </w:tcPr>
          <w:p>
            <w:pPr>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5001" w:type="dxa"/>
            <w:vAlign w:val="center"/>
          </w:tcPr>
          <w:p>
            <w:pPr>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文件正、副本数量（含电子文档）符合</w:t>
            </w:r>
            <w:r>
              <w:rPr>
                <w:rFonts w:hint="eastAsia" w:ascii="宋体" w:hAnsi="宋体" w:cs="宋体"/>
                <w:color w:val="auto"/>
                <w:sz w:val="21"/>
                <w:szCs w:val="21"/>
              </w:rPr>
              <w:t>竞争性磋商</w:t>
            </w:r>
            <w:r>
              <w:rPr>
                <w:rFonts w:hint="eastAsia" w:ascii="宋体" w:hAnsi="宋体" w:cs="宋体"/>
                <w:color w:val="auto"/>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1560" w:type="dxa"/>
            <w:vMerge w:val="restart"/>
            <w:vAlign w:val="center"/>
          </w:tcPr>
          <w:p>
            <w:pPr>
              <w:rPr>
                <w:rFonts w:ascii="宋体" w:hAnsi="宋体" w:cs="宋体"/>
                <w:color w:val="auto"/>
                <w:sz w:val="21"/>
                <w:szCs w:val="21"/>
                <w:lang w:val="zh-CN"/>
              </w:rPr>
            </w:pPr>
            <w:r>
              <w:rPr>
                <w:rFonts w:hint="eastAsia" w:ascii="宋体" w:hAnsi="宋体" w:cs="宋体"/>
                <w:color w:val="auto"/>
                <w:kern w:val="0"/>
                <w:sz w:val="21"/>
                <w:szCs w:val="21"/>
              </w:rPr>
              <w:t>响应程度审查</w:t>
            </w:r>
          </w:p>
        </w:tc>
        <w:tc>
          <w:tcPr>
            <w:tcW w:w="1984" w:type="dxa"/>
            <w:vAlign w:val="center"/>
          </w:tcPr>
          <w:p>
            <w:pPr>
              <w:rPr>
                <w:rFonts w:ascii="宋体" w:hAnsi="宋体" w:cs="宋体"/>
                <w:color w:val="auto"/>
                <w:kern w:val="0"/>
                <w:sz w:val="21"/>
                <w:szCs w:val="21"/>
              </w:rPr>
            </w:pPr>
            <w:r>
              <w:rPr>
                <w:rFonts w:hint="eastAsia" w:ascii="宋体" w:hAnsi="宋体" w:cs="宋体"/>
                <w:color w:val="auto"/>
                <w:kern w:val="0"/>
                <w:sz w:val="21"/>
                <w:szCs w:val="21"/>
              </w:rPr>
              <w:t>实质性响应</w:t>
            </w:r>
          </w:p>
        </w:tc>
        <w:tc>
          <w:tcPr>
            <w:tcW w:w="5001" w:type="dxa"/>
            <w:vAlign w:val="center"/>
          </w:tcPr>
          <w:p>
            <w:pPr>
              <w:pStyle w:val="32"/>
              <w:rPr>
                <w:rFonts w:ascii="宋体" w:hAnsi="宋体" w:cs="宋体"/>
                <w:color w:val="auto"/>
                <w:kern w:val="0"/>
                <w:sz w:val="21"/>
                <w:szCs w:val="21"/>
              </w:rPr>
            </w:pPr>
            <w:r>
              <w:rPr>
                <w:rFonts w:hint="eastAsia" w:ascii="宋体" w:hAnsi="宋体" w:cs="宋体"/>
                <w:color w:val="auto"/>
                <w:kern w:val="0"/>
                <w:sz w:val="21"/>
                <w:szCs w:val="21"/>
              </w:rPr>
              <w:t>竞争性磋商文件第二篇、第三篇。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ascii="宋体" w:hAnsi="宋体" w:cs="宋体"/>
                <w:color w:val="auto"/>
                <w:kern w:val="0"/>
                <w:sz w:val="21"/>
                <w:szCs w:val="21"/>
              </w:rPr>
            </w:pPr>
          </w:p>
        </w:tc>
        <w:tc>
          <w:tcPr>
            <w:tcW w:w="1560" w:type="dxa"/>
            <w:vMerge w:val="continue"/>
            <w:vAlign w:val="center"/>
          </w:tcPr>
          <w:p>
            <w:pPr>
              <w:rPr>
                <w:rFonts w:ascii="宋体" w:hAnsi="宋体" w:cs="宋体"/>
                <w:color w:val="auto"/>
                <w:sz w:val="21"/>
                <w:szCs w:val="21"/>
                <w:lang w:val="zh-CN"/>
              </w:rPr>
            </w:pPr>
          </w:p>
        </w:tc>
        <w:tc>
          <w:tcPr>
            <w:tcW w:w="1984" w:type="dxa"/>
            <w:vAlign w:val="center"/>
          </w:tcPr>
          <w:p>
            <w:pPr>
              <w:rPr>
                <w:rFonts w:ascii="宋体" w:hAnsi="宋体" w:cs="宋体"/>
                <w:color w:val="auto"/>
                <w:kern w:val="0"/>
                <w:sz w:val="21"/>
                <w:szCs w:val="21"/>
              </w:rPr>
            </w:pPr>
            <w:r>
              <w:rPr>
                <w:rFonts w:hint="eastAsia" w:ascii="宋体" w:hAnsi="宋体" w:cs="宋体"/>
                <w:color w:val="auto"/>
                <w:kern w:val="0"/>
                <w:sz w:val="21"/>
                <w:szCs w:val="21"/>
              </w:rPr>
              <w:t>磋商有效期</w:t>
            </w:r>
          </w:p>
        </w:tc>
        <w:tc>
          <w:tcPr>
            <w:tcW w:w="5001" w:type="dxa"/>
            <w:vAlign w:val="center"/>
          </w:tcPr>
          <w:p>
            <w:pPr>
              <w:rPr>
                <w:rFonts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pPr>
        <w:spacing w:line="400" w:lineRule="exact"/>
        <w:ind w:firstLine="420" w:firstLineChars="200"/>
        <w:rPr>
          <w:rFonts w:ascii="宋体" w:hAnsi="宋体" w:cs="宋体"/>
          <w:color w:val="auto"/>
          <w:sz w:val="21"/>
          <w:szCs w:val="21"/>
        </w:rPr>
      </w:pPr>
      <w:bookmarkStart w:id="69" w:name="_Toc19164"/>
      <w:bookmarkStart w:id="70" w:name="_Toc29488"/>
      <w:r>
        <w:rPr>
          <w:rFonts w:hint="eastAsia" w:ascii="宋体" w:hAnsi="宋体" w:cs="宋体"/>
          <w:color w:val="auto"/>
          <w:sz w:val="21"/>
          <w:szCs w:val="21"/>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（五）在磋商过程中磋商的任何一方不得向他人透露与磋商有关的服务资料、价格或其他信息。</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（七）供应商在磋商时作出的所有书面承诺须由法定代表人（或其授权代表）或自然人（供应商为自然人）签署。</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（九）磋商小组采用综合评分法对提交最后报价的供应商的响应文件和最后报价（含有效书面承诺）进行综合评分。</w:t>
      </w:r>
      <w:r>
        <w:rPr>
          <w:rFonts w:hint="eastAsia" w:ascii="宋体" w:hAnsi="宋体" w:cs="宋体"/>
          <w:color w:val="auto"/>
          <w:kern w:val="0"/>
          <w:sz w:val="21"/>
          <w:szCs w:val="21"/>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color w:val="auto"/>
          <w:sz w:val="21"/>
          <w:szCs w:val="21"/>
        </w:rPr>
        <w:t>。</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（十）磋商小组各成员独立对每个有效响应（通过资格性审查、</w:t>
      </w:r>
      <w:r>
        <w:rPr>
          <w:rFonts w:hint="eastAsia" w:ascii="宋体" w:hAnsi="宋体" w:cs="宋体"/>
          <w:color w:val="auto"/>
          <w:kern w:val="0"/>
          <w:sz w:val="21"/>
          <w:szCs w:val="21"/>
        </w:rPr>
        <w:t>符合性审查的供应商</w:t>
      </w:r>
      <w:r>
        <w:rPr>
          <w:rFonts w:hint="eastAsia" w:ascii="宋体" w:hAnsi="宋体" w:cs="宋体"/>
          <w:color w:val="auto"/>
          <w:sz w:val="21"/>
          <w:szCs w:val="21"/>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是否推荐服务部分得分为0分的供应商成为成交候选供应商，应在</w:t>
      </w:r>
      <w:r>
        <w:rPr>
          <w:rFonts w:hint="eastAsia" w:ascii="宋体" w:hAnsi="宋体" w:cs="宋体"/>
          <w:color w:val="auto"/>
          <w:kern w:val="0"/>
          <w:sz w:val="21"/>
          <w:szCs w:val="21"/>
        </w:rPr>
        <w:t>竞争性磋商文件</w:t>
      </w:r>
      <w:r>
        <w:rPr>
          <w:rFonts w:hint="eastAsia" w:ascii="宋体" w:hAnsi="宋体" w:cs="宋体"/>
          <w:color w:val="auto"/>
          <w:sz w:val="21"/>
          <w:szCs w:val="21"/>
        </w:rPr>
        <w:t>中对该种情况的处理方式予以明确。）</w:t>
      </w:r>
    </w:p>
    <w:bookmarkEnd w:id="69"/>
    <w:bookmarkEnd w:id="70"/>
    <w:tbl>
      <w:tblPr>
        <w:tblStyle w:val="5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98"/>
        <w:gridCol w:w="883"/>
        <w:gridCol w:w="5733"/>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blHeader/>
          <w:jc w:val="center"/>
        </w:trPr>
        <w:tc>
          <w:tcPr>
            <w:tcW w:w="339" w:type="pct"/>
            <w:vAlign w:val="center"/>
          </w:tcPr>
          <w:p>
            <w:pPr>
              <w:jc w:val="center"/>
              <w:rPr>
                <w:rFonts w:hint="eastAsia" w:ascii="微软雅黑" w:hAnsi="微软雅黑" w:eastAsia="微软雅黑" w:cs="微软雅黑"/>
                <w:color w:val="auto"/>
                <w:sz w:val="21"/>
                <w:szCs w:val="21"/>
              </w:rPr>
            </w:pPr>
            <w:bookmarkStart w:id="71" w:name="_Toc342913394"/>
            <w:bookmarkStart w:id="72" w:name="_Toc102227320"/>
            <w:r>
              <w:rPr>
                <w:rFonts w:hint="eastAsia" w:ascii="微软雅黑" w:hAnsi="微软雅黑" w:eastAsia="微软雅黑" w:cs="微软雅黑"/>
                <w:color w:val="auto"/>
                <w:sz w:val="21"/>
                <w:szCs w:val="21"/>
              </w:rPr>
              <w:t>序号</w:t>
            </w:r>
          </w:p>
        </w:tc>
        <w:tc>
          <w:tcPr>
            <w:tcW w:w="904" w:type="pct"/>
            <w:gridSpan w:val="2"/>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分值</w:t>
            </w:r>
          </w:p>
        </w:tc>
        <w:tc>
          <w:tcPr>
            <w:tcW w:w="3027" w:type="pct"/>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评分标准</w:t>
            </w:r>
          </w:p>
        </w:tc>
        <w:tc>
          <w:tcPr>
            <w:tcW w:w="728" w:type="pct"/>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339" w:type="pct"/>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p>
        </w:tc>
        <w:tc>
          <w:tcPr>
            <w:tcW w:w="595" w:type="pct"/>
            <w:vAlign w:val="center"/>
          </w:tcPr>
          <w:p>
            <w:pPr>
              <w:spacing w:line="240" w:lineRule="atLeast"/>
              <w:ind w:firstLine="28"/>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磋商报价</w:t>
            </w:r>
          </w:p>
          <w:p>
            <w:pPr>
              <w:spacing w:line="240" w:lineRule="atLeast"/>
              <w:ind w:firstLine="28" w:firstLine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（30%）</w:t>
            </w:r>
          </w:p>
        </w:tc>
        <w:tc>
          <w:tcPr>
            <w:tcW w:w="309" w:type="pct"/>
            <w:vAlign w:val="center"/>
          </w:tcPr>
          <w:p>
            <w:pPr>
              <w:spacing w:line="240" w:lineRule="atLeast"/>
              <w:ind w:firstLine="28" w:firstLine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30</w:t>
            </w:r>
          </w:p>
        </w:tc>
        <w:tc>
          <w:tcPr>
            <w:tcW w:w="3027" w:type="pct"/>
            <w:vAlign w:val="center"/>
          </w:tcPr>
          <w:p>
            <w:pPr>
              <w:spacing w:line="240" w:lineRule="atLeas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满足资格性、符合性要求且最后报价最低的供应商的价格为磋商基准价，按照下列公式计算每个供应商的磋商报价得分。</w:t>
            </w:r>
          </w:p>
          <w:p>
            <w:pPr>
              <w:spacing w:line="240" w:lineRule="atLeas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磋商报价得分=（磋商基准价/最后磋商报价）×价格权值×100</w:t>
            </w:r>
          </w:p>
        </w:tc>
        <w:tc>
          <w:tcPr>
            <w:tcW w:w="728" w:type="pct"/>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计算结果保留两位小数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339" w:type="pct"/>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w:t>
            </w:r>
          </w:p>
        </w:tc>
        <w:tc>
          <w:tcPr>
            <w:tcW w:w="595" w:type="pct"/>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服务部分</w:t>
            </w:r>
          </w:p>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（40%）</w:t>
            </w:r>
          </w:p>
        </w:tc>
        <w:tc>
          <w:tcPr>
            <w:tcW w:w="309" w:type="pct"/>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服务方案40分</w:t>
            </w:r>
          </w:p>
        </w:tc>
        <w:tc>
          <w:tcPr>
            <w:tcW w:w="3027" w:type="pct"/>
            <w:vAlign w:val="center"/>
          </w:tcPr>
          <w:p>
            <w:pPr>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根据供应商提供项目的执行方案的优劣进行评审。【优（方案思路清晰、条理清晰、符合项目实际情况）得10分，良（方案思路较清晰、条理较清晰、比较符合项目实际情况）得8分，一般（方案思路有欠清晰、条理有欠清晰、不太符合项目实际情况）得4分，差（方案思路不清晰、条理不清晰、不符合项目实际情况）或无得0分】</w:t>
            </w:r>
          </w:p>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根据供应商提供项目的实施组织方案的优劣进行评审。【优（方案思路清晰、条理清晰、符合项目实际情况）得10分，良（方案思路较清晰、条理较清晰、比较符合项目实际情况）得8分，一般（方案思路有欠清晰、条理有欠清晰、不太符合项目实际情况）得4分，差（方案思路不清晰、条理不清晰、不符合项目实际情况）或无得0分】</w:t>
            </w:r>
          </w:p>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 根据供应商提供项目的培训方案的优劣进行评审。【优（方案思路清晰、条理清晰、符合项目实际情况）得10分，良（方案思路较清晰、条理较清晰、比较符合项目实际情况）得5分，一般（方案思路有欠清晰、条理有欠清晰、不太符合项目实际情况）得1分，差（方案思路不清晰、条理不清晰、不符合项目实际情况）或无得0分】</w:t>
            </w:r>
          </w:p>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4.供应商承诺在质保期内提出供应商质量等问题时，能在6小时之内及时响应解决的得10分，12小时之内响应解决的得5分，否则得0分。</w:t>
            </w:r>
          </w:p>
        </w:tc>
        <w:tc>
          <w:tcPr>
            <w:tcW w:w="728" w:type="pct"/>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提供服务方案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Merge w:val="restart"/>
            <w:tcBorders>
              <w:top w:val="single" w:color="auto" w:sz="4" w:space="0"/>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w:t>
            </w:r>
          </w:p>
        </w:tc>
        <w:tc>
          <w:tcPr>
            <w:tcW w:w="595" w:type="pct"/>
            <w:vMerge w:val="restart"/>
            <w:tcBorders>
              <w:top w:val="single" w:color="auto" w:sz="4" w:space="0"/>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商务部分</w:t>
            </w:r>
          </w:p>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（30%）</w:t>
            </w:r>
          </w:p>
        </w:tc>
        <w:tc>
          <w:tcPr>
            <w:tcW w:w="3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供应商实力5分</w:t>
            </w:r>
          </w:p>
        </w:tc>
        <w:tc>
          <w:tcPr>
            <w:tcW w:w="3027"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具有舷外挂机、玻璃钢艇制造、维修或代理的授权书或授权函每增加一项得2.5，满分5分。</w:t>
            </w:r>
          </w:p>
          <w:p>
            <w:pPr>
              <w:snapToGrid w:val="0"/>
              <w:rPr>
                <w:rFonts w:hint="eastAsia" w:ascii="微软雅黑" w:hAnsi="微软雅黑" w:eastAsia="微软雅黑" w:cs="微软雅黑"/>
                <w:color w:val="auto"/>
              </w:rPr>
            </w:pPr>
            <w:r>
              <w:rPr>
                <w:rFonts w:hint="eastAsia" w:ascii="微软雅黑" w:hAnsi="微软雅黑" w:eastAsia="微软雅黑" w:cs="微软雅黑"/>
                <w:color w:val="auto"/>
                <w:sz w:val="21"/>
                <w:szCs w:val="21"/>
              </w:rPr>
              <w:t>（提供代理证书或授权函</w:t>
            </w:r>
            <w:r>
              <w:rPr>
                <w:rFonts w:hint="eastAsia" w:ascii="微软雅黑" w:hAnsi="微软雅黑" w:eastAsia="微软雅黑" w:cs="微软雅黑"/>
                <w:color w:val="auto"/>
                <w:sz w:val="21"/>
                <w:szCs w:val="21"/>
                <w:lang w:val="en-US" w:eastAsia="zh-CN"/>
              </w:rPr>
              <w:t>复印件并加盖公章</w:t>
            </w:r>
            <w:r>
              <w:rPr>
                <w:rFonts w:hint="eastAsia" w:ascii="微软雅黑" w:hAnsi="微软雅黑" w:eastAsia="微软雅黑" w:cs="微软雅黑"/>
                <w:color w:val="auto"/>
                <w:sz w:val="21"/>
                <w:szCs w:val="21"/>
              </w:rPr>
              <w:t>）</w:t>
            </w:r>
          </w:p>
        </w:tc>
        <w:tc>
          <w:tcPr>
            <w:tcW w:w="728"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339"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c>
          <w:tcPr>
            <w:tcW w:w="595"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c>
          <w:tcPr>
            <w:tcW w:w="309" w:type="pct"/>
            <w:vMerge w:val="restart"/>
            <w:tcBorders>
              <w:top w:val="single" w:color="auto" w:sz="4" w:space="0"/>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团队配置（15分）</w:t>
            </w:r>
          </w:p>
        </w:tc>
        <w:tc>
          <w:tcPr>
            <w:tcW w:w="3027" w:type="pct"/>
            <w:tcBorders>
              <w:top w:val="single" w:color="auto" w:sz="4" w:space="0"/>
              <w:left w:val="single" w:color="auto" w:sz="4" w:space="0"/>
              <w:bottom w:val="single" w:color="auto" w:sz="4" w:space="0"/>
              <w:right w:val="single" w:color="auto" w:sz="4" w:space="0"/>
            </w:tcBorders>
            <w:vAlign w:val="center"/>
          </w:tcPr>
          <w:p>
            <w:pP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具有专业维修人员（舷外挂机或玻璃钢维修）一个4.5分满分9分。（提供特种人员证书复印件，投标截至前3月（不含本月）参保证明复印件）</w:t>
            </w:r>
          </w:p>
        </w:tc>
        <w:tc>
          <w:tcPr>
            <w:tcW w:w="728" w:type="pct"/>
            <w:vMerge w:val="restart"/>
            <w:tcBorders>
              <w:left w:val="single" w:color="auto" w:sz="4" w:space="0"/>
              <w:right w:val="single" w:color="auto" w:sz="4" w:space="0"/>
            </w:tcBorders>
            <w:vAlign w:val="center"/>
          </w:tcPr>
          <w:p>
            <w:pPr>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提供的证明材料需加盖公章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339"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c>
          <w:tcPr>
            <w:tcW w:w="595"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c>
          <w:tcPr>
            <w:tcW w:w="309"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c>
          <w:tcPr>
            <w:tcW w:w="3027"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具有专职服务车辆每增加一个1分，最高3分。（需自行承诺为本次服务使用）</w:t>
            </w:r>
          </w:p>
        </w:tc>
        <w:tc>
          <w:tcPr>
            <w:tcW w:w="728"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jc w:val="center"/>
        </w:trPr>
        <w:tc>
          <w:tcPr>
            <w:tcW w:w="339"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c>
          <w:tcPr>
            <w:tcW w:w="595"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c>
          <w:tcPr>
            <w:tcW w:w="309"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c>
          <w:tcPr>
            <w:tcW w:w="3027"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供应商在重庆市注册有企业或在重庆市设有分支机构或承诺在签订合同时成立在渝分支机构的，得</w:t>
            </w:r>
            <w:r>
              <w:rPr>
                <w:rFonts w:ascii="微软雅黑" w:hAnsi="微软雅黑" w:eastAsia="微软雅黑" w:cs="微软雅黑"/>
                <w:color w:val="auto"/>
                <w:sz w:val="21"/>
                <w:szCs w:val="21"/>
              </w:rPr>
              <w:t>3</w:t>
            </w:r>
            <w:r>
              <w:rPr>
                <w:rFonts w:hint="eastAsia" w:ascii="微软雅黑" w:hAnsi="微软雅黑" w:eastAsia="微软雅黑" w:cs="微软雅黑"/>
                <w:color w:val="auto"/>
                <w:sz w:val="21"/>
                <w:szCs w:val="21"/>
              </w:rPr>
              <w:t>分，否则得0分。提供营业执照</w:t>
            </w:r>
            <w:r>
              <w:rPr>
                <w:rFonts w:hint="eastAsia" w:ascii="微软雅黑" w:hAnsi="微软雅黑" w:eastAsia="微软雅黑" w:cs="微软雅黑"/>
                <w:color w:val="auto"/>
                <w:sz w:val="21"/>
                <w:szCs w:val="21"/>
                <w:lang w:val="en-US" w:eastAsia="zh-CN"/>
              </w:rPr>
              <w:t>复印件</w:t>
            </w:r>
            <w:r>
              <w:rPr>
                <w:rFonts w:hint="eastAsia" w:ascii="微软雅黑" w:hAnsi="微软雅黑" w:eastAsia="微软雅黑" w:cs="微软雅黑"/>
                <w:color w:val="auto"/>
                <w:sz w:val="21"/>
                <w:szCs w:val="21"/>
              </w:rPr>
              <w:t>或租赁合同</w:t>
            </w:r>
            <w:r>
              <w:rPr>
                <w:rFonts w:hint="eastAsia" w:ascii="微软雅黑" w:hAnsi="微软雅黑" w:eastAsia="微软雅黑" w:cs="微软雅黑"/>
                <w:color w:val="auto"/>
                <w:sz w:val="21"/>
                <w:szCs w:val="21"/>
                <w:lang w:val="en-US" w:eastAsia="zh-CN"/>
              </w:rPr>
              <w:t>复印件</w:t>
            </w:r>
            <w:r>
              <w:rPr>
                <w:rFonts w:hint="eastAsia" w:ascii="微软雅黑" w:hAnsi="微软雅黑" w:eastAsia="微软雅黑" w:cs="微软雅黑"/>
                <w:color w:val="auto"/>
                <w:sz w:val="21"/>
                <w:szCs w:val="21"/>
              </w:rPr>
              <w:t>或提供承诺书原件。</w:t>
            </w:r>
          </w:p>
        </w:tc>
        <w:tc>
          <w:tcPr>
            <w:tcW w:w="728"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c>
          <w:tcPr>
            <w:tcW w:w="595" w:type="pct"/>
            <w:vMerge w:val="continue"/>
            <w:tcBorders>
              <w:left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c>
          <w:tcPr>
            <w:tcW w:w="3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业绩</w:t>
            </w:r>
          </w:p>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w:t>
            </w:r>
          </w:p>
        </w:tc>
        <w:tc>
          <w:tcPr>
            <w:tcW w:w="3027"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同类型船舶维修或保养业绩，每一个业绩得2分，最高不超过10分，（提供合同或完工清单等能证明业绩的材料）。</w:t>
            </w:r>
          </w:p>
        </w:tc>
        <w:tc>
          <w:tcPr>
            <w:tcW w:w="728" w:type="pct"/>
            <w:vMerge w:val="continue"/>
            <w:tcBorders>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color w:val="auto"/>
                <w:sz w:val="21"/>
                <w:szCs w:val="21"/>
              </w:rPr>
            </w:pPr>
          </w:p>
        </w:tc>
      </w:tr>
    </w:tbl>
    <w:p>
      <w:pPr>
        <w:pStyle w:val="2"/>
        <w:rPr>
          <w:color w:val="auto"/>
        </w:rPr>
      </w:pPr>
    </w:p>
    <w:p>
      <w:pPr>
        <w:spacing w:line="240" w:lineRule="atLeast"/>
        <w:rPr>
          <w:rFonts w:ascii="宋体" w:hAnsi="宋体" w:cs="宋体"/>
          <w:color w:val="auto"/>
          <w:sz w:val="21"/>
          <w:szCs w:val="21"/>
        </w:rPr>
      </w:pPr>
      <w:r>
        <w:rPr>
          <w:rFonts w:hint="eastAsia" w:ascii="宋体" w:hAnsi="宋体" w:cs="宋体"/>
          <w:color w:val="auto"/>
          <w:sz w:val="21"/>
          <w:szCs w:val="21"/>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bookmarkEnd w:id="71"/>
    <w:bookmarkEnd w:id="72"/>
    <w:p>
      <w:pPr>
        <w:pStyle w:val="4"/>
        <w:adjustRightInd w:val="0"/>
        <w:snapToGrid w:val="0"/>
        <w:spacing w:before="0" w:after="0" w:line="400" w:lineRule="exact"/>
        <w:ind w:firstLine="422" w:firstLineChars="200"/>
        <w:rPr>
          <w:rFonts w:ascii="宋体" w:hAnsi="宋体" w:eastAsia="宋体" w:cs="宋体"/>
          <w:color w:val="auto"/>
          <w:sz w:val="21"/>
          <w:szCs w:val="21"/>
        </w:rPr>
      </w:pPr>
      <w:bookmarkStart w:id="73" w:name="_Toc76462335"/>
      <w:bookmarkStart w:id="74" w:name="_Toc106030890"/>
      <w:bookmarkStart w:id="75" w:name="_Toc28063"/>
      <w:bookmarkStart w:id="76" w:name="_Toc32406"/>
      <w:bookmarkStart w:id="77" w:name="_Toc102227313"/>
      <w:r>
        <w:rPr>
          <w:rFonts w:hint="eastAsia" w:ascii="宋体" w:hAnsi="宋体" w:eastAsia="宋体" w:cs="宋体"/>
          <w:color w:val="auto"/>
          <w:sz w:val="21"/>
          <w:szCs w:val="21"/>
        </w:rPr>
        <w:t>三、无效响应</w:t>
      </w:r>
      <w:bookmarkEnd w:id="73"/>
      <w:bookmarkEnd w:id="74"/>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供应商发生以下条款情况之一者，视为无效响应，其响应文件将被拒绝：</w:t>
      </w:r>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（一）供应商不符合规定的资格条件的；</w:t>
      </w:r>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（二）供应商的法定代表人（或其授权代表）或自然人未参加磋商；</w:t>
      </w:r>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（三）供应商所提交的响应文件不按“第七篇响应文件编制要求”要求签署或盖章；</w:t>
      </w:r>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（四）供应商的最后报价超过采购预算或最高限价的；</w:t>
      </w:r>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（五）法定代表人为同一个人的两个及两个以上法人，母公司、全资子公司及其控股公司，在同一包采购中同时参与磋商；</w:t>
      </w:r>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（六）单位负责人为同一人或者存在直接控股、管理关系的不同供应商，参加同一合同项下的政府采购活动的；</w:t>
      </w:r>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（七）为采购项目提供整体设计、规范编制或者项目管理、监理、检测等服务的供应商，再参加该采购项目的其他采购活动；</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（八）供应商磋商有效期不满足竞争性磋商文件要求的；</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（九）供应商响应文件内容有与国家现行法律法规相违背的内容，或附有采购人无法接受的条件；</w:t>
      </w:r>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（十）法律、法规和竞争性磋商文件规定的其他无效情形。</w:t>
      </w:r>
    </w:p>
    <w:p>
      <w:pPr>
        <w:pStyle w:val="4"/>
        <w:adjustRightInd w:val="0"/>
        <w:snapToGrid w:val="0"/>
        <w:spacing w:before="0" w:after="0" w:line="400" w:lineRule="exact"/>
        <w:ind w:firstLine="422" w:firstLineChars="200"/>
        <w:rPr>
          <w:rFonts w:ascii="宋体" w:hAnsi="宋体" w:eastAsia="宋体" w:cs="宋体"/>
          <w:color w:val="auto"/>
          <w:sz w:val="21"/>
          <w:szCs w:val="21"/>
        </w:rPr>
      </w:pPr>
      <w:bookmarkStart w:id="78" w:name="_Toc76462336"/>
      <w:bookmarkStart w:id="79" w:name="_Toc106030891"/>
      <w:r>
        <w:rPr>
          <w:rFonts w:hint="eastAsia" w:ascii="宋体" w:hAnsi="宋体" w:eastAsia="宋体" w:cs="宋体"/>
          <w:color w:val="auto"/>
          <w:sz w:val="21"/>
          <w:szCs w:val="21"/>
        </w:rPr>
        <w:t>四、采购终止</w:t>
      </w:r>
      <w:bookmarkEnd w:id="78"/>
      <w:bookmarkEnd w:id="79"/>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出现下列情形之一的，采购人或者采购代理机构应当终止竞争性磋商采购活动，发布项目终止公告并说明原因，重新开展采购活动：</w:t>
      </w:r>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（一）因情况变化，不再符合规定的竞争性磋商采购方式适用情形的；</w:t>
      </w:r>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（二）出现影响采购公正的违法、违规行为的；</w:t>
      </w:r>
    </w:p>
    <w:p>
      <w:pPr>
        <w:snapToGrid w:val="0"/>
        <w:spacing w:line="400" w:lineRule="exact"/>
        <w:ind w:firstLine="465"/>
        <w:rPr>
          <w:rFonts w:ascii="宋体" w:hAnsi="宋体" w:cs="宋体"/>
          <w:color w:val="auto"/>
          <w:sz w:val="21"/>
          <w:szCs w:val="21"/>
        </w:rPr>
      </w:pPr>
      <w:r>
        <w:rPr>
          <w:rFonts w:hint="eastAsia" w:ascii="宋体" w:hAnsi="宋体" w:cs="宋体"/>
          <w:color w:val="auto"/>
          <w:sz w:val="21"/>
          <w:szCs w:val="21"/>
        </w:rPr>
        <w:t>（三）在采购过程中符合要求的供应商或者报价未超过采购预算的供应商不足3家的，但《政府采购竞争性磋商采购方式管理暂行办法》第二十一条第三款规定的情形除外。</w:t>
      </w:r>
    </w:p>
    <w:p>
      <w:pPr>
        <w:spacing w:line="400" w:lineRule="exact"/>
        <w:ind w:firstLine="420" w:firstLineChars="200"/>
        <w:rPr>
          <w:rFonts w:ascii="宋体" w:hAnsi="宋体" w:cs="宋体"/>
          <w:color w:val="auto"/>
          <w:sz w:val="21"/>
          <w:szCs w:val="21"/>
        </w:rPr>
        <w:sectPr>
          <w:pgSz w:w="11907" w:h="16840"/>
          <w:pgMar w:top="1134" w:right="1191" w:bottom="1134" w:left="1304" w:header="964" w:footer="992" w:gutter="0"/>
          <w:pgNumType w:fmt="numberInDash"/>
          <w:cols w:space="720" w:num="1"/>
          <w:docGrid w:linePitch="312" w:charSpace="0"/>
        </w:sectPr>
      </w:pPr>
    </w:p>
    <w:p>
      <w:pPr>
        <w:pStyle w:val="4"/>
        <w:spacing w:line="240" w:lineRule="auto"/>
        <w:jc w:val="center"/>
        <w:rPr>
          <w:rFonts w:ascii="宋体" w:hAnsi="宋体" w:eastAsia="宋体" w:cs="宋体"/>
          <w:b w:val="0"/>
          <w:color w:val="auto"/>
          <w:szCs w:val="30"/>
        </w:rPr>
      </w:pPr>
      <w:r>
        <w:rPr>
          <w:rFonts w:hint="eastAsia" w:ascii="宋体" w:hAnsi="宋体" w:eastAsia="宋体" w:cs="宋体"/>
          <w:b w:val="0"/>
          <w:color w:val="auto"/>
          <w:sz w:val="36"/>
          <w:szCs w:val="30"/>
        </w:rPr>
        <w:t>第五篇  供应商须知</w:t>
      </w:r>
      <w:bookmarkEnd w:id="75"/>
      <w:bookmarkEnd w:id="76"/>
      <w:bookmarkEnd w:id="77"/>
    </w:p>
    <w:p>
      <w:pPr>
        <w:pStyle w:val="5"/>
        <w:spacing w:before="0" w:after="0" w:line="440" w:lineRule="exact"/>
        <w:rPr>
          <w:rFonts w:ascii="宋体" w:hAnsi="宋体" w:cs="宋体"/>
          <w:color w:val="auto"/>
          <w:sz w:val="21"/>
          <w:szCs w:val="21"/>
        </w:rPr>
      </w:pPr>
      <w:bookmarkStart w:id="80" w:name="_Toc342913389"/>
      <w:bookmarkStart w:id="81" w:name="_Toc4214"/>
      <w:bookmarkStart w:id="82" w:name="_Toc13663"/>
      <w:r>
        <w:rPr>
          <w:rFonts w:hint="eastAsia" w:ascii="宋体" w:hAnsi="宋体" w:cs="宋体"/>
          <w:color w:val="auto"/>
          <w:sz w:val="21"/>
          <w:szCs w:val="21"/>
        </w:rPr>
        <w:t>一、磋商费用</w:t>
      </w:r>
      <w:bookmarkEnd w:id="80"/>
      <w:bookmarkEnd w:id="81"/>
      <w:bookmarkEnd w:id="82"/>
    </w:p>
    <w:p>
      <w:pPr>
        <w:pStyle w:val="138"/>
        <w:spacing w:line="400" w:lineRule="exact"/>
        <w:ind w:firstLine="420" w:firstLineChars="200"/>
        <w:rPr>
          <w:rFonts w:hAnsi="宋体" w:cs="宋体"/>
          <w:color w:val="auto"/>
          <w:szCs w:val="21"/>
        </w:rPr>
      </w:pPr>
      <w:r>
        <w:rPr>
          <w:rFonts w:hint="eastAsia" w:hAnsi="宋体" w:cs="宋体"/>
          <w:color w:val="auto"/>
          <w:szCs w:val="21"/>
        </w:rPr>
        <w:t>参与磋商的供应商应承担其编制响应文件与递交响应文件所涉及的一切费用，不论磋商结果如何，采购人和采购代理机构在任何情况下无义务也无责任承担这些费用。</w:t>
      </w:r>
    </w:p>
    <w:p>
      <w:pPr>
        <w:pStyle w:val="5"/>
        <w:tabs>
          <w:tab w:val="left" w:pos="2640"/>
        </w:tabs>
        <w:spacing w:before="0" w:after="0" w:line="400" w:lineRule="exact"/>
        <w:rPr>
          <w:rFonts w:ascii="宋体" w:hAnsi="宋体" w:cs="宋体"/>
          <w:color w:val="auto"/>
          <w:sz w:val="21"/>
          <w:szCs w:val="21"/>
        </w:rPr>
      </w:pPr>
      <w:bookmarkStart w:id="83" w:name="_Toc15099"/>
      <w:bookmarkStart w:id="84" w:name="_Toc4247"/>
      <w:bookmarkStart w:id="85" w:name="_Toc342913391"/>
      <w:r>
        <w:rPr>
          <w:rFonts w:hint="eastAsia" w:ascii="宋体" w:hAnsi="宋体" w:cs="宋体"/>
          <w:color w:val="auto"/>
          <w:sz w:val="21"/>
          <w:szCs w:val="21"/>
        </w:rPr>
        <w:t>二、竞争性磋商文件</w:t>
      </w:r>
      <w:bookmarkEnd w:id="83"/>
      <w:bookmarkEnd w:id="84"/>
      <w:bookmarkEnd w:id="85"/>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（一）竞争性磋商文件由采购邀请书、项目服务需求、项目商务需求、磋商程序及方法、评审标准、无效响应和采购终止、供应商须知</w:t>
      </w:r>
      <w:r>
        <w:rPr>
          <w:rFonts w:hint="eastAsia" w:ascii="宋体" w:hAnsi="宋体" w:cs="宋体"/>
          <w:b/>
          <w:color w:val="auto"/>
          <w:sz w:val="21"/>
          <w:szCs w:val="21"/>
        </w:rPr>
        <w:t>、</w:t>
      </w:r>
      <w:r>
        <w:rPr>
          <w:rFonts w:hint="eastAsia" w:ascii="宋体" w:hAnsi="宋体" w:cs="宋体"/>
          <w:color w:val="auto"/>
          <w:sz w:val="21"/>
          <w:szCs w:val="21"/>
        </w:rPr>
        <w:t>政府采购合同</w:t>
      </w:r>
      <w:r>
        <w:rPr>
          <w:rFonts w:hint="eastAsia" w:ascii="宋体" w:hAnsi="宋体" w:cs="宋体"/>
          <w:b/>
          <w:color w:val="auto"/>
          <w:sz w:val="21"/>
          <w:szCs w:val="21"/>
        </w:rPr>
        <w:t>、</w:t>
      </w:r>
      <w:r>
        <w:rPr>
          <w:rFonts w:hint="eastAsia" w:ascii="宋体" w:hAnsi="宋体" w:cs="宋体"/>
          <w:color w:val="auto"/>
          <w:sz w:val="21"/>
          <w:szCs w:val="21"/>
        </w:rPr>
        <w:t>响应文件编制要求七部分组成。</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（二）采购人（或采购代理机构）所作的一切有效的书面通知、修改及补充，都是竞争性磋商文件不可分割的部分。</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（三）竞争性磋商文件的解释</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6" w:name="_Toc318159349"/>
      <w:bookmarkStart w:id="87" w:name="_Toc318166429"/>
      <w:bookmarkStart w:id="88" w:name="_Toc318159780"/>
      <w:bookmarkStart w:id="89" w:name="_Toc318159160"/>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（四）本竞争性磋商文件中，磋商小组根据与供应商进行磋商可能实质性变动的内容为竞争性磋商文件第二、三、四篇全部内容。</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（五）评审的依据为竞争性磋商文件和响应文件（含有效的书面承诺）。磋商小组判断响应文件对竞争性磋商文件的响应，仅基于响应文件本身而不靠外部证据。</w:t>
      </w:r>
    </w:p>
    <w:bookmarkEnd w:id="86"/>
    <w:bookmarkEnd w:id="87"/>
    <w:bookmarkEnd w:id="88"/>
    <w:bookmarkEnd w:id="89"/>
    <w:p>
      <w:pPr>
        <w:pStyle w:val="5"/>
        <w:spacing w:before="0" w:after="0" w:line="400" w:lineRule="exact"/>
        <w:rPr>
          <w:rFonts w:ascii="宋体" w:hAnsi="宋体" w:cs="宋体"/>
          <w:color w:val="auto"/>
          <w:sz w:val="21"/>
          <w:szCs w:val="21"/>
        </w:rPr>
      </w:pPr>
      <w:bookmarkStart w:id="90" w:name="_Toc8251"/>
      <w:bookmarkStart w:id="91" w:name="_Toc15667"/>
      <w:bookmarkStart w:id="92" w:name="_Toc102227318"/>
      <w:bookmarkStart w:id="93" w:name="_Toc179714297"/>
      <w:bookmarkStart w:id="94" w:name="_Toc342913392"/>
      <w:r>
        <w:rPr>
          <w:rFonts w:hint="eastAsia" w:ascii="宋体" w:hAnsi="宋体" w:cs="宋体"/>
          <w:color w:val="auto"/>
          <w:sz w:val="21"/>
          <w:szCs w:val="21"/>
        </w:rPr>
        <w:t>三、磋商要求</w:t>
      </w:r>
      <w:bookmarkEnd w:id="90"/>
      <w:bookmarkEnd w:id="91"/>
      <w:bookmarkEnd w:id="92"/>
      <w:bookmarkEnd w:id="93"/>
      <w:bookmarkEnd w:id="94"/>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（一）响应文件</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1.供应商应当按照竞争性磋商文件的要求编制响应文件，并对竞争性磋商文件提出的要求和条件作出实质性响应，响应文件原则上采用软面订本，同时应编制完整的页码、目录。</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2.响应文件组成</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（二）联合体</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本项目不接受联合体参与磋商。</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（三）磋商有效期：响应文件及有关承诺文件有效期为提交响应文件截止时间起90天。</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（四）修正错误</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1.若供应商所递交的响应文件或最后报价中的价格出现大写金额和小写金额不一致的错误，以大写金额修正为准。</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（五）提交响应文件的份数和签署</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2.响应文件按竞争性磋商文件“第七篇响应文件编制要求”要求签署或盖章。</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（六）响应文件的递交</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响应文件的正本、副本以及电子文档均应密封送达磋商地点，应在封套上注明磋商项目名称、供应商名称。若正本、副本以及电子文档分别进行密封的，还应在封套上注明“正本”、“副本”、“电子文档”字样。</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（七）供应商参与人员</w:t>
      </w:r>
    </w:p>
    <w:p>
      <w:pPr>
        <w:pStyle w:val="5"/>
        <w:spacing w:before="0" w:after="0" w:line="400" w:lineRule="exact"/>
        <w:ind w:firstLine="420" w:firstLineChars="200"/>
        <w:rPr>
          <w:rFonts w:ascii="宋体" w:hAnsi="宋体" w:cs="宋体"/>
          <w:color w:val="auto"/>
          <w:sz w:val="21"/>
          <w:szCs w:val="21"/>
        </w:rPr>
      </w:pPr>
      <w:bookmarkStart w:id="95" w:name="_Toc2724"/>
      <w:bookmarkStart w:id="96" w:name="_Toc9048"/>
      <w:r>
        <w:rPr>
          <w:rFonts w:hint="eastAsia" w:ascii="宋体" w:hAnsi="宋体" w:cs="宋体"/>
          <w:b w:val="0"/>
          <w:bCs/>
          <w:color w:val="auto"/>
          <w:sz w:val="21"/>
          <w:szCs w:val="21"/>
        </w:rPr>
        <w:t>各个供应商应当派1-2名代表参与磋商，至少1人应为法定代表人（或其授权代表）或自然人（供应商为自然人）。</w:t>
      </w:r>
    </w:p>
    <w:p>
      <w:pPr>
        <w:pStyle w:val="5"/>
        <w:spacing w:before="0" w:after="0" w:line="400" w:lineRule="exact"/>
        <w:ind w:firstLine="422" w:firstLineChars="200"/>
        <w:rPr>
          <w:rFonts w:ascii="宋体" w:hAnsi="宋体" w:cs="宋体"/>
          <w:color w:val="auto"/>
          <w:sz w:val="21"/>
          <w:szCs w:val="21"/>
        </w:rPr>
      </w:pPr>
      <w:r>
        <w:rPr>
          <w:rFonts w:hint="eastAsia" w:ascii="宋体" w:hAnsi="宋体" w:cs="宋体"/>
          <w:color w:val="auto"/>
          <w:sz w:val="21"/>
          <w:szCs w:val="21"/>
        </w:rPr>
        <w:t>四、成交供应商的确认和变更</w:t>
      </w:r>
      <w:bookmarkEnd w:id="95"/>
      <w:bookmarkEnd w:id="96"/>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（一）成交供应商的确认</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（二）成交供应商的变更</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成交供应商拒绝与采购人签订合同的，采购人可以按照评标报告推荐的成交候选供应商顺序，确定排名下一位的候选人为成交供应商，也可以重新开展政府采购活动。</w:t>
      </w:r>
    </w:p>
    <w:p>
      <w:pPr>
        <w:pStyle w:val="5"/>
        <w:spacing w:before="0" w:after="0" w:line="400" w:lineRule="exact"/>
        <w:ind w:firstLine="422" w:firstLineChars="200"/>
        <w:rPr>
          <w:rFonts w:ascii="宋体" w:hAnsi="宋体" w:cs="宋体"/>
          <w:color w:val="auto"/>
          <w:sz w:val="21"/>
          <w:szCs w:val="21"/>
        </w:rPr>
      </w:pPr>
      <w:bookmarkStart w:id="97" w:name="_Toc533"/>
      <w:bookmarkStart w:id="98" w:name="_Toc102227321"/>
      <w:bookmarkStart w:id="99" w:name="_Toc22965"/>
      <w:bookmarkStart w:id="100" w:name="_Toc342913395"/>
      <w:r>
        <w:rPr>
          <w:rFonts w:hint="eastAsia" w:ascii="宋体" w:hAnsi="宋体" w:cs="宋体"/>
          <w:color w:val="auto"/>
          <w:sz w:val="21"/>
          <w:szCs w:val="21"/>
        </w:rPr>
        <w:t>五、成交通知</w:t>
      </w:r>
      <w:bookmarkEnd w:id="97"/>
      <w:bookmarkEnd w:id="98"/>
      <w:bookmarkEnd w:id="99"/>
      <w:bookmarkEnd w:id="100"/>
    </w:p>
    <w:p>
      <w:pPr>
        <w:wordWrap w:val="0"/>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（一）成交供应商确定后，采购代理机构将在</w:t>
      </w:r>
      <w:r>
        <w:rPr>
          <w:rFonts w:hint="eastAsia" w:ascii="宋体" w:hAnsi="宋体" w:cs="宋体"/>
          <w:color w:val="auto"/>
          <w:sz w:val="21"/>
          <w:szCs w:val="21"/>
        </w:rPr>
        <w:t>重庆市江津区人民政府官网站上（http://www.jiangjin.gov.cn/）</w:t>
      </w:r>
      <w:r>
        <w:rPr>
          <w:rFonts w:hint="eastAsia" w:ascii="宋体" w:hAnsi="宋体" w:cs="宋体"/>
          <w:color w:val="auto"/>
          <w:sz w:val="21"/>
          <w:szCs w:val="21"/>
        </w:rPr>
        <w:t>上发布成交结果公告。</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（二）结果公告发出同时，采购代理机构将以书面形式发出《成交通知书》。《成交通知书》一经发出即发生法律效力。</w:t>
      </w:r>
    </w:p>
    <w:p>
      <w:pPr>
        <w:snapToGrid w:val="0"/>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（三）《成交通知书》将作为签订合同的依据。</w:t>
      </w:r>
    </w:p>
    <w:p>
      <w:pPr>
        <w:pStyle w:val="5"/>
        <w:spacing w:before="0" w:after="0" w:line="400" w:lineRule="exact"/>
        <w:ind w:firstLine="422" w:firstLineChars="200"/>
        <w:rPr>
          <w:rFonts w:ascii="宋体" w:hAnsi="宋体" w:cs="宋体"/>
          <w:color w:val="auto"/>
          <w:sz w:val="21"/>
          <w:szCs w:val="21"/>
        </w:rPr>
      </w:pPr>
      <w:bookmarkStart w:id="101" w:name="_Toc29460"/>
      <w:bookmarkStart w:id="102" w:name="_Toc27461"/>
      <w:r>
        <w:rPr>
          <w:rFonts w:hint="eastAsia" w:ascii="宋体" w:hAnsi="宋体" w:cs="宋体"/>
          <w:color w:val="auto"/>
          <w:sz w:val="21"/>
          <w:szCs w:val="21"/>
        </w:rPr>
        <w:t>六、关于质疑和投诉</w:t>
      </w:r>
      <w:bookmarkEnd w:id="101"/>
      <w:bookmarkEnd w:id="102"/>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（一）质疑</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供应商认为采购文件、采购过程和成交结果使自己的权益收到伤害的，可向采购人或采购代理机构以书面形式提出质疑。</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提出质疑的应当是参与所质疑项目采购活动的供应商。 </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1.质疑时限、内容</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1.2供应商提出质疑应当提交质疑函和必要的证明材料，质疑函应当包括下列内容：</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1.2.1供应商的姓名或者名称、地址、邮编、联系人及联系电话；</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1.2.2质疑项目的名称、项目号以及磋商项目编号；</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1.2.3具体、明确的质疑事项和与质疑事项相关的请求；</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1.2.4事实依据；</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1.2.5必要的法律依据；</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1.2.6提出质疑的日期；</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1.2.7营业执照（或事业单位法人证书，或个体工商户营业执照或有效的自然人身份证明）复印件；</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1.2.8法定代表人授权委托书原件、法定代表人身份证复印件和其授权代表的身份证复印件（供应商为自然人的提供自然人身份证复印件）；</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2.质疑答复</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采购人、采购代理机构应当在收到供应商的书面质疑后七个工作日内作出答复，并以书面形式通知质疑供应商和其他有关供应商。</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3.其他</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3.1供应商应按照《政府采购质疑和投诉办法》（财政部令第94号）及相关法律法规要求，在法定质疑期内一次性提出针对同一采购程序环节的质疑。</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3.2质疑函范本可在财政部门户网站和中国政府采购网下载。</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（二）投诉</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1.供应商对采购人、采购代理机构的答复不满意，或者采购人、采购代理机构未在规定时间内作出答复的，可以在答复期满后15个工作日内按照相关法律法规向财政部门提起投诉。</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ascii="宋体" w:hAnsi="宋体" w:cs="宋体"/>
          <w:color w:val="auto"/>
          <w:sz w:val="21"/>
          <w:szCs w:val="21"/>
        </w:rPr>
      </w:pPr>
      <w:r>
        <w:rPr>
          <w:rFonts w:hint="eastAsia" w:ascii="宋体" w:hAnsi="宋体" w:cs="宋体"/>
          <w:color w:val="auto"/>
          <w:sz w:val="21"/>
          <w:szCs w:val="21"/>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4.在确定受理投诉后，财政部门自受理投诉之日起30个工作日内（需要检验、检测、鉴定、专家评审以及需要投诉人补正材料的，所需时间不计算在投诉处理期限内）对投诉事项做出处理决定。</w:t>
      </w:r>
    </w:p>
    <w:p>
      <w:pPr>
        <w:pStyle w:val="5"/>
        <w:spacing w:before="0" w:after="0" w:line="400" w:lineRule="exact"/>
        <w:ind w:firstLine="422" w:firstLineChars="200"/>
        <w:rPr>
          <w:rFonts w:ascii="宋体" w:hAnsi="宋体" w:cs="宋体"/>
          <w:color w:val="auto"/>
          <w:sz w:val="21"/>
          <w:szCs w:val="21"/>
        </w:rPr>
      </w:pPr>
      <w:bookmarkStart w:id="103" w:name="_Toc2941"/>
      <w:bookmarkStart w:id="104" w:name="_Toc26655"/>
      <w:r>
        <w:rPr>
          <w:rFonts w:hint="eastAsia" w:ascii="宋体" w:hAnsi="宋体" w:cs="宋体"/>
          <w:color w:val="auto"/>
          <w:sz w:val="21"/>
          <w:szCs w:val="21"/>
        </w:rPr>
        <w:t>七、采购代理服务费</w:t>
      </w:r>
      <w:bookmarkEnd w:id="103"/>
      <w:bookmarkEnd w:id="104"/>
    </w:p>
    <w:p>
      <w:pPr>
        <w:pStyle w:val="5"/>
        <w:spacing w:before="0" w:after="0" w:line="400" w:lineRule="exact"/>
        <w:rPr>
          <w:rFonts w:ascii="宋体" w:hAnsi="宋体" w:cs="宋体"/>
          <w:b w:val="0"/>
          <w:color w:val="auto"/>
          <w:sz w:val="21"/>
          <w:szCs w:val="21"/>
        </w:rPr>
      </w:pPr>
      <w:r>
        <w:rPr>
          <w:rFonts w:hint="eastAsia" w:ascii="宋体" w:hAnsi="宋体" w:cs="宋体"/>
          <w:color w:val="auto"/>
          <w:sz w:val="21"/>
          <w:szCs w:val="21"/>
        </w:rPr>
        <w:t xml:space="preserve">    </w:t>
      </w:r>
      <w:bookmarkStart w:id="105" w:name="_Toc517702726"/>
      <w:bookmarkStart w:id="106" w:name="_Toc517702648"/>
      <w:bookmarkStart w:id="107" w:name="OLE_LINK7"/>
      <w:bookmarkStart w:id="108" w:name="OLE_LINK8"/>
      <w:r>
        <w:rPr>
          <w:rFonts w:hint="eastAsia" w:ascii="宋体" w:hAnsi="宋体" w:cs="宋体"/>
          <w:b w:val="0"/>
          <w:color w:val="auto"/>
          <w:sz w:val="21"/>
          <w:szCs w:val="21"/>
        </w:rPr>
        <w:t>本项目采购代理服务费包干价人民币</w:t>
      </w:r>
      <w:r>
        <w:rPr>
          <w:rFonts w:hint="eastAsia" w:ascii="宋体" w:hAnsi="宋体" w:cs="宋体"/>
          <w:b w:val="0"/>
          <w:color w:val="auto"/>
          <w:sz w:val="21"/>
          <w:szCs w:val="21"/>
        </w:rPr>
        <w:t>5000</w:t>
      </w:r>
      <w:r>
        <w:rPr>
          <w:rFonts w:hint="eastAsia" w:ascii="宋体" w:hAnsi="宋体" w:cs="宋体"/>
          <w:b w:val="0"/>
          <w:color w:val="auto"/>
          <w:sz w:val="21"/>
          <w:szCs w:val="21"/>
        </w:rPr>
        <w:t>元，由中标人在领取成交通知书前一次性向采购代理机构缴纳；各投标人自行将此部分费用考虑在投标报价中。</w:t>
      </w:r>
      <w:bookmarkEnd w:id="105"/>
      <w:bookmarkEnd w:id="106"/>
      <w:r>
        <w:rPr>
          <w:rFonts w:hint="eastAsia" w:ascii="宋体" w:hAnsi="宋体" w:cs="宋体"/>
          <w:b w:val="0"/>
          <w:color w:val="auto"/>
          <w:sz w:val="21"/>
          <w:szCs w:val="21"/>
        </w:rPr>
        <w:t>在核发成交通知书时，中标人应另外补充一式2份投标文件，其内容必须与投标时提交的投标文件相一致。</w:t>
      </w:r>
    </w:p>
    <w:bookmarkEnd w:id="107"/>
    <w:bookmarkEnd w:id="108"/>
    <w:p>
      <w:pPr>
        <w:pStyle w:val="5"/>
        <w:spacing w:before="0" w:after="0" w:line="400" w:lineRule="exact"/>
        <w:ind w:firstLine="422" w:firstLineChars="200"/>
        <w:rPr>
          <w:rFonts w:ascii="宋体" w:hAnsi="宋体" w:cs="宋体"/>
          <w:color w:val="auto"/>
          <w:sz w:val="21"/>
          <w:szCs w:val="21"/>
        </w:rPr>
      </w:pPr>
      <w:bookmarkStart w:id="109" w:name="_Toc102227322"/>
      <w:bookmarkStart w:id="110" w:name="_Toc8940"/>
      <w:bookmarkStart w:id="111" w:name="_Toc342913396"/>
      <w:bookmarkStart w:id="112" w:name="_Toc5966"/>
      <w:bookmarkStart w:id="113" w:name="_Toc11641055"/>
      <w:bookmarkStart w:id="114" w:name="_Toc12789059"/>
      <w:r>
        <w:rPr>
          <w:rFonts w:hint="eastAsia" w:ascii="宋体" w:hAnsi="宋体" w:cs="宋体"/>
          <w:color w:val="auto"/>
          <w:sz w:val="21"/>
          <w:szCs w:val="21"/>
        </w:rPr>
        <w:t>八、签订</w:t>
      </w:r>
      <w:bookmarkEnd w:id="109"/>
      <w:r>
        <w:rPr>
          <w:rFonts w:hint="eastAsia" w:ascii="宋体" w:hAnsi="宋体" w:cs="宋体"/>
          <w:color w:val="auto"/>
          <w:sz w:val="21"/>
          <w:szCs w:val="21"/>
        </w:rPr>
        <w:t>合同</w:t>
      </w:r>
      <w:bookmarkEnd w:id="110"/>
      <w:bookmarkEnd w:id="111"/>
      <w:bookmarkEnd w:id="112"/>
    </w:p>
    <w:p>
      <w:pPr>
        <w:spacing w:line="400" w:lineRule="exact"/>
        <w:rPr>
          <w:rFonts w:ascii="宋体" w:hAnsi="宋体" w:cs="宋体"/>
          <w:color w:val="auto"/>
          <w:sz w:val="21"/>
          <w:szCs w:val="21"/>
        </w:rPr>
      </w:pPr>
      <w:r>
        <w:rPr>
          <w:rFonts w:hint="eastAsia" w:ascii="方正仿宋_GBK" w:hAnsi="宋体" w:eastAsia="方正仿宋_GBK"/>
          <w:color w:val="auto"/>
          <w:sz w:val="24"/>
          <w:szCs w:val="24"/>
        </w:rPr>
        <w:t xml:space="preserve">   </w:t>
      </w:r>
      <w:r>
        <w:rPr>
          <w:rFonts w:hint="eastAsia" w:ascii="宋体" w:hAnsi="宋体" w:cs="宋体"/>
          <w:color w:val="auto"/>
          <w:sz w:val="21"/>
          <w:szCs w:val="21"/>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pPr>
        <w:spacing w:line="400" w:lineRule="exact"/>
        <w:ind w:firstLine="315" w:firstLineChars="150"/>
        <w:rPr>
          <w:rFonts w:ascii="宋体" w:hAnsi="宋体" w:cs="宋体"/>
          <w:color w:val="auto"/>
          <w:sz w:val="21"/>
          <w:szCs w:val="21"/>
        </w:rPr>
      </w:pPr>
      <w:r>
        <w:rPr>
          <w:rFonts w:hint="eastAsia" w:ascii="宋体" w:hAnsi="宋体" w:cs="宋体"/>
          <w:color w:val="auto"/>
          <w:sz w:val="21"/>
          <w:szCs w:val="21"/>
        </w:rPr>
        <w:t>（二）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pPr>
        <w:spacing w:line="400" w:lineRule="exact"/>
        <w:ind w:firstLine="315" w:firstLineChars="150"/>
        <w:rPr>
          <w:rFonts w:ascii="宋体" w:hAnsi="宋体" w:cs="宋体"/>
          <w:color w:val="auto"/>
          <w:sz w:val="21"/>
          <w:szCs w:val="21"/>
        </w:rPr>
      </w:pPr>
      <w:r>
        <w:rPr>
          <w:rFonts w:hint="eastAsia" w:ascii="宋体" w:hAnsi="宋体" w:cs="宋体"/>
          <w:color w:val="auto"/>
          <w:sz w:val="21"/>
          <w:szCs w:val="21"/>
        </w:rPr>
        <w:t>（三）竞争性磋商文件、供应商的响应文件及澄清文件等，均为签订政府采购合同的依据。</w:t>
      </w:r>
    </w:p>
    <w:p>
      <w:pPr>
        <w:spacing w:line="400" w:lineRule="exact"/>
        <w:ind w:firstLine="315" w:firstLineChars="150"/>
        <w:rPr>
          <w:rFonts w:ascii="宋体" w:hAnsi="宋体" w:cs="宋体"/>
          <w:color w:val="auto"/>
          <w:sz w:val="21"/>
          <w:szCs w:val="21"/>
        </w:rPr>
      </w:pPr>
      <w:r>
        <w:rPr>
          <w:rFonts w:hint="eastAsia" w:ascii="宋体" w:hAnsi="宋体" w:cs="宋体"/>
          <w:color w:val="auto"/>
          <w:sz w:val="21"/>
          <w:szCs w:val="21"/>
        </w:rPr>
        <w:t>（四）合同生效条款由供需双方约定，法律、行政法规规定应当办理批准、登记等手续后生效的合同，依照其规定。</w:t>
      </w:r>
    </w:p>
    <w:p>
      <w:pPr>
        <w:spacing w:line="400" w:lineRule="exact"/>
        <w:ind w:firstLine="315" w:firstLineChars="150"/>
        <w:rPr>
          <w:rFonts w:ascii="宋体" w:hAnsi="宋体" w:cs="宋体"/>
          <w:color w:val="auto"/>
          <w:sz w:val="21"/>
          <w:szCs w:val="21"/>
        </w:rPr>
      </w:pPr>
      <w:r>
        <w:rPr>
          <w:rFonts w:hint="eastAsia" w:ascii="宋体" w:hAnsi="宋体" w:cs="宋体"/>
          <w:color w:val="auto"/>
          <w:sz w:val="21"/>
          <w:szCs w:val="21"/>
        </w:rPr>
        <w:t>（五）合同原则上应按照《重庆市政府采购合同》签订，相关单位要求适用合同通用格式版本的，应按其要求另行签订其他合同。</w:t>
      </w:r>
    </w:p>
    <w:p>
      <w:pPr>
        <w:spacing w:line="400" w:lineRule="exact"/>
        <w:rPr>
          <w:rFonts w:ascii="宋体" w:hAnsi="宋体" w:cs="宋体"/>
          <w:color w:val="auto"/>
          <w:sz w:val="21"/>
          <w:szCs w:val="21"/>
        </w:rPr>
      </w:pPr>
    </w:p>
    <w:p>
      <w:pPr>
        <w:spacing w:line="400" w:lineRule="exact"/>
        <w:ind w:firstLine="420" w:firstLineChars="200"/>
        <w:rPr>
          <w:rFonts w:ascii="宋体" w:hAnsi="宋体" w:cs="宋体"/>
          <w:color w:val="auto"/>
          <w:sz w:val="21"/>
          <w:szCs w:val="21"/>
        </w:rPr>
      </w:pPr>
    </w:p>
    <w:bookmarkEnd w:id="113"/>
    <w:bookmarkEnd w:id="114"/>
    <w:p>
      <w:pPr>
        <w:pStyle w:val="3"/>
        <w:tabs>
          <w:tab w:val="left" w:pos="3360"/>
        </w:tabs>
        <w:rPr>
          <w:rFonts w:hAnsi="宋体" w:cs="宋体"/>
          <w:bCs/>
          <w:color w:val="auto"/>
          <w:kern w:val="2"/>
          <w:sz w:val="21"/>
          <w:szCs w:val="21"/>
        </w:rPr>
      </w:pPr>
      <w:bookmarkStart w:id="115" w:name="_Hlt41879464"/>
      <w:bookmarkEnd w:id="115"/>
      <w:bookmarkStart w:id="116" w:name="_Toc29172"/>
    </w:p>
    <w:p>
      <w:pPr>
        <w:rPr>
          <w:rFonts w:ascii="宋体" w:hAnsi="宋体" w:cs="宋体"/>
          <w:color w:val="auto"/>
          <w:sz w:val="21"/>
          <w:szCs w:val="21"/>
        </w:rPr>
      </w:pPr>
    </w:p>
    <w:p>
      <w:pPr>
        <w:pStyle w:val="3"/>
        <w:tabs>
          <w:tab w:val="left" w:pos="3360"/>
        </w:tabs>
        <w:jc w:val="center"/>
        <w:rPr>
          <w:rFonts w:hAnsi="宋体" w:cs="宋体"/>
          <w:bCs/>
          <w:color w:val="auto"/>
          <w:kern w:val="2"/>
          <w:sz w:val="36"/>
          <w:szCs w:val="30"/>
        </w:rPr>
      </w:pPr>
    </w:p>
    <w:p>
      <w:pPr>
        <w:rPr>
          <w:rFonts w:ascii="宋体" w:hAnsi="宋体" w:cs="宋体"/>
          <w:bCs/>
          <w:color w:val="auto"/>
          <w:sz w:val="36"/>
          <w:szCs w:val="30"/>
        </w:rPr>
      </w:pPr>
    </w:p>
    <w:p>
      <w:pPr>
        <w:pStyle w:val="3"/>
        <w:tabs>
          <w:tab w:val="left" w:pos="3360"/>
        </w:tabs>
        <w:rPr>
          <w:rFonts w:hAnsi="宋体" w:cs="宋体"/>
          <w:bCs/>
          <w:color w:val="auto"/>
          <w:kern w:val="2"/>
          <w:sz w:val="36"/>
          <w:szCs w:val="30"/>
        </w:rPr>
      </w:pPr>
      <w:bookmarkStart w:id="117" w:name="_Toc23580"/>
      <w:bookmarkStart w:id="118" w:name="_Toc2267"/>
      <w:r>
        <w:rPr>
          <w:rFonts w:hint="eastAsia" w:hAnsi="宋体" w:cs="宋体"/>
          <w:bCs/>
          <w:color w:val="auto"/>
          <w:kern w:val="2"/>
          <w:sz w:val="36"/>
          <w:szCs w:val="30"/>
        </w:rPr>
        <w:br w:type="page"/>
      </w:r>
      <w:r>
        <w:rPr>
          <w:rFonts w:hint="eastAsia" w:hAnsi="宋体" w:cs="宋体"/>
          <w:bCs/>
          <w:color w:val="auto"/>
          <w:kern w:val="2"/>
          <w:sz w:val="36"/>
          <w:szCs w:val="30"/>
        </w:rPr>
        <w:t xml:space="preserve">            第六篇  合同主要条款和格式合同</w:t>
      </w:r>
      <w:bookmarkEnd w:id="116"/>
      <w:bookmarkEnd w:id="117"/>
      <w:bookmarkEnd w:id="118"/>
    </w:p>
    <w:p>
      <w:pPr>
        <w:pStyle w:val="4"/>
        <w:spacing w:line="400" w:lineRule="exact"/>
        <w:ind w:firstLine="420" w:firstLineChars="200"/>
        <w:rPr>
          <w:rFonts w:ascii="宋体" w:hAnsi="宋体" w:eastAsia="宋体" w:cs="宋体"/>
          <w:b w:val="0"/>
          <w:bCs/>
          <w:color w:val="auto"/>
          <w:sz w:val="21"/>
          <w:szCs w:val="21"/>
        </w:rPr>
      </w:pPr>
      <w:bookmarkStart w:id="119" w:name="_Toc277084870"/>
      <w:bookmarkStart w:id="120" w:name="_Toc285722712"/>
      <w:bookmarkStart w:id="121" w:name="_Toc75793537"/>
      <w:r>
        <w:rPr>
          <w:rFonts w:hint="eastAsia" w:ascii="宋体" w:hAnsi="宋体" w:eastAsia="宋体" w:cs="宋体"/>
          <w:b w:val="0"/>
          <w:bCs/>
          <w:color w:val="auto"/>
          <w:sz w:val="21"/>
          <w:szCs w:val="21"/>
        </w:rPr>
        <w:t>一、合同主要条款</w:t>
      </w:r>
      <w:bookmarkEnd w:id="119"/>
      <w:bookmarkEnd w:id="120"/>
      <w:bookmarkEnd w:id="121"/>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1.定义</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1.1甲方（需方）即采购人，是指通过招标采购，接受合同货物及服务的各级国家机关、事业单位和团体组织。</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1.2乙方（供方）即中标人，是指中标后提供合同货物和服务的自然人、法人及其他组织。</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1.3合同是指由甲乙双方按照竞争性磋商文件和投标文件的实质性内容，通过协商一致达成的书面协议。</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1.4合同价格指以中标价格为依据，在供方全面履行合同义务后，需方（或财政部门）应支付给供方的金额。</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1.5技术资料是指合同货物及其相关的设计、制造、监造、检验、验收等文件（包括图纸、各种文字说明、标准）。</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2.货物内容</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合同包括以下内容：货物名称、型号规格、技术参数、数量（单位）等内容。</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3.合同价格</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3.1合同价格即合同总价。</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3.2合同价格包括合同货物、技术资料、合同货物的税费、运杂费、保险费、包装费、装卸费及与货物有关的供方应纳的税费，所有税费由乙方负担。</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3.3合同货物单价为不变价。</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4.转包或分包</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4.1本合同范围的货物，应由乙方直接供应，不得转让他人供应；</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4.2非经甲方书面同意，乙方不得将本合同范围的货物全部或部分分包给他人供应；</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4.3如有转让和未经甲方同意的分包行为，甲方有权解除合同，并追究乙方的违约责任。</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5.质量保证及售后服务</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5.1乙方应按竞争性磋商文件规定的货物性能、技术要求、质量标准向甲方提供未经使用的全新产品。</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5.2乙方提供的货物在质保期内因货物本身的质量问题发生故障，乙方应负责免费更换。对达不到技术要求者，根据实际情况，经双方协商，可按以下办法处理：</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5.2.1更换：由乙方承担所发生的全部费用。</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5.2.2贬值处理：由甲乙双方合议定价。</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5.2.3退货处理：乙方应退还甲方支付的合同款，同时应承担该货物的直接费用（运输、保险、检验、货款利息及银行手续费等）。</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5.3如在使用过程中发生质量问题，乙方应按本项目“第三篇 项目商务要求”中的要求处理。</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5.4在质保期内，乙方应对货物出现的质量及安全问题负责处理解决并承担一切费用。</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6.付款</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6.1本合同使用货币币制如未作特别说明均为人民币。</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6.2付款方式：银行转账、现金支票。</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6.3付款方法：同本项目“第三篇 商务条款”中关于付款方式的约定。</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7.检查验收</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7.1供方应随货物提供合格证和质量证明文件，如是国外进口的货物还须提供入关证明。</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7.2货物验收</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供方所交货物的各种质量指标不得低于供方提供样品的质量指标（无样品时按供方的投标时提供的“技术文件”执行），售后服务质量要求按照竞争性磋商文件和投标文件的内容执行。供方交货时，需方可根据需要随机抽取一部分货物送有关权威检测部门检测，如检测不合格，供方负责赔偿需方一切损失。</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7.3货物验收报告应由需方、供方经办人签字，并加盖双方公章，以此作为支付凭据。</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8.索赔</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供方对货物与合同要求不符负有责任，并且需方已于规定交货内和质量保证期内提出索赔，供方应按需方同意的下述一种或多种方法解决索赔事宜。</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8.2根据货物的疵劣和受损程度以及需方遭受损失的金额，经双方同意降低货物价格。</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9.知识产权</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甲方在中华人民共和国境内使用乙方提供的货物及服务时免受第三方提出的侵犯其专利权或其它知识产权的起诉。如果第三方提出侵权指控，乙方应承担由此而引起的一切法律责任和费用。</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10.合同争议的解决</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10.1当事人友好协商达成一致</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10.2在60天内当事人协商不能达成协议的，可提请采购人当地仲裁机构仲裁。</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11.违约责任</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按《中华人民共和国民法典》、《中华人民共和国政府采购法》有关条款，或由供需双方约定。</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12.合同生效及其它</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12.1合同生效及其效力应符合《中华人民共和国民法典》有关规定。</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12.2合同应经当事人法定代表人或委托代理人签字，加盖双方合同专用章或公章。</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12.3合同所包括附件，是合同不可分割的一部分，具有同等法法律效力。</w:t>
      </w:r>
    </w:p>
    <w:p>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12.4本合同条件未尽事宜依照《中华人民共和国民法典》，由供需双方共同协商确定。</w:t>
      </w:r>
    </w:p>
    <w:p>
      <w:pPr>
        <w:spacing w:line="400" w:lineRule="exact"/>
        <w:ind w:firstLine="420" w:firstLineChars="200"/>
        <w:rPr>
          <w:rFonts w:ascii="宋体" w:hAnsi="宋体" w:cs="宋体"/>
          <w:bCs/>
          <w:color w:val="auto"/>
          <w:sz w:val="21"/>
          <w:szCs w:val="21"/>
        </w:rPr>
        <w:sectPr>
          <w:pgSz w:w="11907" w:h="16840"/>
          <w:pgMar w:top="1134" w:right="1191" w:bottom="1134" w:left="1304" w:header="964" w:footer="992" w:gutter="0"/>
          <w:pgNumType w:fmt="numberInDash"/>
          <w:cols w:space="720" w:num="1"/>
          <w:docGrid w:linePitch="312" w:charSpace="0"/>
        </w:sectPr>
      </w:pPr>
    </w:p>
    <w:p>
      <w:pPr>
        <w:pStyle w:val="4"/>
        <w:spacing w:line="500" w:lineRule="exact"/>
        <w:ind w:firstLine="482" w:firstLineChars="200"/>
        <w:rPr>
          <w:rFonts w:ascii="宋体" w:hAnsi="宋体" w:eastAsia="宋体" w:cs="宋体"/>
          <w:color w:val="auto"/>
          <w:sz w:val="24"/>
        </w:rPr>
      </w:pPr>
      <w:bookmarkStart w:id="122" w:name="_Toc285722713"/>
      <w:bookmarkStart w:id="123" w:name="_Toc75793538"/>
      <w:bookmarkStart w:id="124" w:name="_Toc277084871"/>
      <w:r>
        <w:rPr>
          <w:rFonts w:hint="eastAsia" w:ascii="宋体" w:hAnsi="宋体" w:eastAsia="宋体" w:cs="宋体"/>
          <w:color w:val="auto"/>
          <w:sz w:val="24"/>
        </w:rPr>
        <w:t>二、政府采购合同（格式）</w:t>
      </w:r>
      <w:bookmarkEnd w:id="122"/>
      <w:bookmarkEnd w:id="123"/>
      <w:bookmarkEnd w:id="124"/>
    </w:p>
    <w:p>
      <w:pPr>
        <w:spacing w:line="500" w:lineRule="exact"/>
        <w:jc w:val="center"/>
        <w:rPr>
          <w:rFonts w:ascii="方正仿宋_GBK" w:eastAsia="方正仿宋_GBK"/>
          <w:b/>
          <w:color w:val="auto"/>
          <w:sz w:val="44"/>
        </w:rPr>
      </w:pPr>
    </w:p>
    <w:p>
      <w:pPr>
        <w:spacing w:line="500" w:lineRule="exact"/>
        <w:jc w:val="center"/>
        <w:rPr>
          <w:rFonts w:ascii="宋体" w:hAnsi="宋体" w:cs="宋体"/>
          <w:b/>
          <w:color w:val="auto"/>
          <w:sz w:val="21"/>
          <w:szCs w:val="21"/>
        </w:rPr>
      </w:pPr>
      <w:r>
        <w:rPr>
          <w:rFonts w:hint="eastAsia" w:ascii="宋体" w:hAnsi="宋体" w:cs="宋体"/>
          <w:b/>
          <w:color w:val="auto"/>
          <w:sz w:val="21"/>
          <w:szCs w:val="21"/>
        </w:rPr>
        <w:t>重庆市政府采购合同</w:t>
      </w:r>
    </w:p>
    <w:p>
      <w:pPr>
        <w:spacing w:line="500" w:lineRule="exact"/>
        <w:jc w:val="center"/>
        <w:rPr>
          <w:rFonts w:ascii="宋体" w:hAnsi="宋体" w:cs="宋体"/>
          <w:color w:val="auto"/>
          <w:sz w:val="21"/>
          <w:szCs w:val="21"/>
        </w:rPr>
      </w:pPr>
      <w:r>
        <w:rPr>
          <w:rFonts w:hint="eastAsia" w:ascii="宋体" w:hAnsi="宋体" w:cs="宋体"/>
          <w:color w:val="auto"/>
          <w:sz w:val="21"/>
          <w:szCs w:val="21"/>
        </w:rPr>
        <w:t>（项目编号：     ）</w:t>
      </w:r>
    </w:p>
    <w:p>
      <w:pPr>
        <w:spacing w:line="500" w:lineRule="exact"/>
        <w:rPr>
          <w:rFonts w:ascii="宋体" w:hAnsi="宋体" w:cs="宋体"/>
          <w:color w:val="auto"/>
          <w:sz w:val="21"/>
          <w:szCs w:val="21"/>
        </w:rPr>
      </w:pPr>
      <w:r>
        <w:rPr>
          <w:rFonts w:hint="eastAsia" w:ascii="宋体" w:hAnsi="宋体" w:cs="宋体"/>
          <w:color w:val="auto"/>
          <w:sz w:val="21"/>
          <w:szCs w:val="21"/>
        </w:rPr>
        <w:t>甲方（需方）：___________________________      计价单位：____________</w:t>
      </w:r>
    </w:p>
    <w:p>
      <w:pPr>
        <w:spacing w:line="500" w:lineRule="exact"/>
        <w:rPr>
          <w:rFonts w:ascii="宋体" w:hAnsi="宋体" w:cs="宋体"/>
          <w:color w:val="auto"/>
          <w:sz w:val="21"/>
          <w:szCs w:val="21"/>
        </w:rPr>
      </w:pPr>
      <w:r>
        <w:rPr>
          <w:rFonts w:hint="eastAsia" w:ascii="宋体" w:hAnsi="宋体" w:cs="宋体"/>
          <w:color w:val="auto"/>
          <w:sz w:val="21"/>
          <w:szCs w:val="21"/>
        </w:rPr>
        <w:t>乙方（供方）：___________________________      计量单位：_____________</w:t>
      </w:r>
    </w:p>
    <w:p>
      <w:pPr>
        <w:spacing w:line="500" w:lineRule="exact"/>
        <w:rPr>
          <w:rFonts w:ascii="宋体" w:hAnsi="宋体" w:cs="宋体"/>
          <w:color w:val="auto"/>
          <w:sz w:val="21"/>
          <w:szCs w:val="21"/>
        </w:rPr>
      </w:pPr>
    </w:p>
    <w:p>
      <w:pPr>
        <w:spacing w:line="500" w:lineRule="exact"/>
        <w:rPr>
          <w:rFonts w:ascii="宋体" w:hAnsi="宋体" w:cs="宋体"/>
          <w:color w:val="auto"/>
          <w:sz w:val="21"/>
          <w:szCs w:val="21"/>
        </w:rPr>
      </w:pPr>
      <w:r>
        <w:rPr>
          <w:rFonts w:hint="eastAsia" w:ascii="宋体" w:hAnsi="宋体" w:cs="宋体"/>
          <w:color w:val="auto"/>
          <w:sz w:val="21"/>
          <w:szCs w:val="21"/>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商品名称</w:t>
            </w:r>
          </w:p>
        </w:tc>
        <w:tc>
          <w:tcPr>
            <w:tcW w:w="1741" w:type="dxa"/>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规格型号</w:t>
            </w:r>
          </w:p>
        </w:tc>
        <w:tc>
          <w:tcPr>
            <w:tcW w:w="984" w:type="dxa"/>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数量</w:t>
            </w:r>
          </w:p>
        </w:tc>
        <w:tc>
          <w:tcPr>
            <w:tcW w:w="1298" w:type="dxa"/>
            <w:gridSpan w:val="2"/>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综合单价</w:t>
            </w:r>
          </w:p>
        </w:tc>
        <w:tc>
          <w:tcPr>
            <w:tcW w:w="1134" w:type="dxa"/>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总价</w:t>
            </w:r>
          </w:p>
        </w:tc>
        <w:tc>
          <w:tcPr>
            <w:tcW w:w="1559" w:type="dxa"/>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交货时间</w:t>
            </w:r>
          </w:p>
        </w:tc>
        <w:tc>
          <w:tcPr>
            <w:tcW w:w="1567" w:type="dxa"/>
            <w:vAlign w:val="center"/>
          </w:tcPr>
          <w:p>
            <w:pPr>
              <w:spacing w:line="240" w:lineRule="atLeast"/>
              <w:jc w:val="center"/>
              <w:rPr>
                <w:rFonts w:ascii="宋体" w:hAnsi="宋体" w:cs="宋体"/>
                <w:color w:val="auto"/>
                <w:sz w:val="21"/>
                <w:szCs w:val="21"/>
              </w:rPr>
            </w:pPr>
            <w:r>
              <w:rPr>
                <w:rFonts w:hint="eastAsia" w:ascii="宋体" w:hAnsi="宋体" w:cs="宋体"/>
                <w:color w:val="auto"/>
                <w:sz w:val="21"/>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color w:val="auto"/>
                <w:sz w:val="21"/>
                <w:szCs w:val="21"/>
              </w:rPr>
            </w:pPr>
          </w:p>
        </w:tc>
        <w:tc>
          <w:tcPr>
            <w:tcW w:w="1741" w:type="dxa"/>
            <w:vAlign w:val="center"/>
          </w:tcPr>
          <w:p>
            <w:pPr>
              <w:spacing w:line="240" w:lineRule="atLeast"/>
              <w:jc w:val="center"/>
              <w:rPr>
                <w:rFonts w:ascii="宋体" w:hAnsi="宋体" w:cs="宋体"/>
                <w:color w:val="auto"/>
                <w:sz w:val="21"/>
                <w:szCs w:val="21"/>
              </w:rPr>
            </w:pPr>
          </w:p>
        </w:tc>
        <w:tc>
          <w:tcPr>
            <w:tcW w:w="984" w:type="dxa"/>
            <w:vAlign w:val="center"/>
          </w:tcPr>
          <w:p>
            <w:pPr>
              <w:spacing w:line="240" w:lineRule="atLeast"/>
              <w:jc w:val="center"/>
              <w:rPr>
                <w:rFonts w:ascii="宋体" w:hAnsi="宋体" w:cs="宋体"/>
                <w:color w:val="auto"/>
                <w:sz w:val="21"/>
                <w:szCs w:val="21"/>
              </w:rPr>
            </w:pPr>
          </w:p>
        </w:tc>
        <w:tc>
          <w:tcPr>
            <w:tcW w:w="1298" w:type="dxa"/>
            <w:gridSpan w:val="2"/>
            <w:vAlign w:val="center"/>
          </w:tcPr>
          <w:p>
            <w:pPr>
              <w:spacing w:line="240" w:lineRule="atLeast"/>
              <w:jc w:val="center"/>
              <w:rPr>
                <w:rFonts w:ascii="宋体" w:hAnsi="宋体" w:cs="宋体"/>
                <w:color w:val="auto"/>
                <w:sz w:val="21"/>
                <w:szCs w:val="21"/>
              </w:rPr>
            </w:pPr>
          </w:p>
        </w:tc>
        <w:tc>
          <w:tcPr>
            <w:tcW w:w="1134" w:type="dxa"/>
            <w:vAlign w:val="center"/>
          </w:tcPr>
          <w:p>
            <w:pPr>
              <w:spacing w:line="240" w:lineRule="atLeast"/>
              <w:jc w:val="center"/>
              <w:rPr>
                <w:rFonts w:ascii="宋体" w:hAnsi="宋体" w:cs="宋体"/>
                <w:color w:val="auto"/>
                <w:sz w:val="21"/>
                <w:szCs w:val="21"/>
              </w:rPr>
            </w:pPr>
          </w:p>
        </w:tc>
        <w:tc>
          <w:tcPr>
            <w:tcW w:w="1559" w:type="dxa"/>
            <w:vAlign w:val="center"/>
          </w:tcPr>
          <w:p>
            <w:pPr>
              <w:spacing w:line="240" w:lineRule="atLeast"/>
              <w:jc w:val="center"/>
              <w:rPr>
                <w:rFonts w:ascii="宋体" w:hAnsi="宋体" w:cs="宋体"/>
                <w:color w:val="auto"/>
                <w:sz w:val="21"/>
                <w:szCs w:val="21"/>
              </w:rPr>
            </w:pPr>
          </w:p>
        </w:tc>
        <w:tc>
          <w:tcPr>
            <w:tcW w:w="1567" w:type="dxa"/>
            <w:vAlign w:val="center"/>
          </w:tcPr>
          <w:p>
            <w:pPr>
              <w:spacing w:line="240" w:lineRule="atLeas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color w:val="auto"/>
                <w:sz w:val="21"/>
                <w:szCs w:val="21"/>
              </w:rPr>
            </w:pPr>
          </w:p>
        </w:tc>
        <w:tc>
          <w:tcPr>
            <w:tcW w:w="1741" w:type="dxa"/>
            <w:vAlign w:val="center"/>
          </w:tcPr>
          <w:p>
            <w:pPr>
              <w:spacing w:line="240" w:lineRule="atLeast"/>
              <w:jc w:val="center"/>
              <w:rPr>
                <w:rFonts w:ascii="宋体" w:hAnsi="宋体" w:cs="宋体"/>
                <w:color w:val="auto"/>
                <w:sz w:val="21"/>
                <w:szCs w:val="21"/>
              </w:rPr>
            </w:pPr>
          </w:p>
        </w:tc>
        <w:tc>
          <w:tcPr>
            <w:tcW w:w="984" w:type="dxa"/>
            <w:vAlign w:val="center"/>
          </w:tcPr>
          <w:p>
            <w:pPr>
              <w:spacing w:line="240" w:lineRule="atLeast"/>
              <w:jc w:val="center"/>
              <w:rPr>
                <w:rFonts w:ascii="宋体" w:hAnsi="宋体" w:cs="宋体"/>
                <w:color w:val="auto"/>
                <w:sz w:val="21"/>
                <w:szCs w:val="21"/>
              </w:rPr>
            </w:pPr>
          </w:p>
        </w:tc>
        <w:tc>
          <w:tcPr>
            <w:tcW w:w="1298" w:type="dxa"/>
            <w:gridSpan w:val="2"/>
            <w:vAlign w:val="center"/>
          </w:tcPr>
          <w:p>
            <w:pPr>
              <w:spacing w:line="240" w:lineRule="atLeast"/>
              <w:jc w:val="center"/>
              <w:rPr>
                <w:rFonts w:ascii="宋体" w:hAnsi="宋体" w:cs="宋体"/>
                <w:color w:val="auto"/>
                <w:sz w:val="21"/>
                <w:szCs w:val="21"/>
              </w:rPr>
            </w:pPr>
          </w:p>
        </w:tc>
        <w:tc>
          <w:tcPr>
            <w:tcW w:w="1134" w:type="dxa"/>
            <w:vAlign w:val="center"/>
          </w:tcPr>
          <w:p>
            <w:pPr>
              <w:spacing w:line="240" w:lineRule="atLeast"/>
              <w:jc w:val="center"/>
              <w:rPr>
                <w:rFonts w:ascii="宋体" w:hAnsi="宋体" w:cs="宋体"/>
                <w:color w:val="auto"/>
                <w:sz w:val="21"/>
                <w:szCs w:val="21"/>
              </w:rPr>
            </w:pPr>
          </w:p>
        </w:tc>
        <w:tc>
          <w:tcPr>
            <w:tcW w:w="1559" w:type="dxa"/>
            <w:vAlign w:val="center"/>
          </w:tcPr>
          <w:p>
            <w:pPr>
              <w:spacing w:line="240" w:lineRule="atLeast"/>
              <w:jc w:val="center"/>
              <w:rPr>
                <w:rFonts w:ascii="宋体" w:hAnsi="宋体" w:cs="宋体"/>
                <w:color w:val="auto"/>
                <w:sz w:val="21"/>
                <w:szCs w:val="21"/>
              </w:rPr>
            </w:pPr>
          </w:p>
        </w:tc>
        <w:tc>
          <w:tcPr>
            <w:tcW w:w="1567" w:type="dxa"/>
            <w:vAlign w:val="center"/>
          </w:tcPr>
          <w:p>
            <w:pPr>
              <w:spacing w:line="240" w:lineRule="atLeas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color w:val="auto"/>
                <w:sz w:val="21"/>
                <w:szCs w:val="21"/>
              </w:rPr>
            </w:pPr>
          </w:p>
        </w:tc>
        <w:tc>
          <w:tcPr>
            <w:tcW w:w="1741" w:type="dxa"/>
            <w:vAlign w:val="center"/>
          </w:tcPr>
          <w:p>
            <w:pPr>
              <w:spacing w:line="240" w:lineRule="atLeast"/>
              <w:jc w:val="center"/>
              <w:rPr>
                <w:rFonts w:ascii="宋体" w:hAnsi="宋体" w:cs="宋体"/>
                <w:color w:val="auto"/>
                <w:sz w:val="21"/>
                <w:szCs w:val="21"/>
              </w:rPr>
            </w:pPr>
          </w:p>
        </w:tc>
        <w:tc>
          <w:tcPr>
            <w:tcW w:w="984" w:type="dxa"/>
            <w:vAlign w:val="center"/>
          </w:tcPr>
          <w:p>
            <w:pPr>
              <w:spacing w:line="240" w:lineRule="atLeast"/>
              <w:jc w:val="center"/>
              <w:rPr>
                <w:rFonts w:ascii="宋体" w:hAnsi="宋体" w:cs="宋体"/>
                <w:color w:val="auto"/>
                <w:sz w:val="21"/>
                <w:szCs w:val="21"/>
              </w:rPr>
            </w:pPr>
          </w:p>
        </w:tc>
        <w:tc>
          <w:tcPr>
            <w:tcW w:w="1298" w:type="dxa"/>
            <w:gridSpan w:val="2"/>
            <w:vAlign w:val="center"/>
          </w:tcPr>
          <w:p>
            <w:pPr>
              <w:spacing w:line="240" w:lineRule="atLeast"/>
              <w:jc w:val="center"/>
              <w:rPr>
                <w:rFonts w:ascii="宋体" w:hAnsi="宋体" w:cs="宋体"/>
                <w:color w:val="auto"/>
                <w:sz w:val="21"/>
                <w:szCs w:val="21"/>
              </w:rPr>
            </w:pPr>
          </w:p>
        </w:tc>
        <w:tc>
          <w:tcPr>
            <w:tcW w:w="1134" w:type="dxa"/>
            <w:vAlign w:val="center"/>
          </w:tcPr>
          <w:p>
            <w:pPr>
              <w:spacing w:line="240" w:lineRule="atLeast"/>
              <w:jc w:val="center"/>
              <w:rPr>
                <w:rFonts w:ascii="宋体" w:hAnsi="宋体" w:cs="宋体"/>
                <w:color w:val="auto"/>
                <w:sz w:val="21"/>
                <w:szCs w:val="21"/>
              </w:rPr>
            </w:pPr>
          </w:p>
        </w:tc>
        <w:tc>
          <w:tcPr>
            <w:tcW w:w="1559" w:type="dxa"/>
            <w:vAlign w:val="center"/>
          </w:tcPr>
          <w:p>
            <w:pPr>
              <w:spacing w:line="240" w:lineRule="atLeast"/>
              <w:jc w:val="center"/>
              <w:rPr>
                <w:rFonts w:ascii="宋体" w:hAnsi="宋体" w:cs="宋体"/>
                <w:color w:val="auto"/>
                <w:sz w:val="21"/>
                <w:szCs w:val="21"/>
              </w:rPr>
            </w:pPr>
          </w:p>
        </w:tc>
        <w:tc>
          <w:tcPr>
            <w:tcW w:w="1567" w:type="dxa"/>
            <w:vAlign w:val="center"/>
          </w:tcPr>
          <w:p>
            <w:pPr>
              <w:spacing w:line="240" w:lineRule="atLeas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color w:val="auto"/>
                <w:sz w:val="21"/>
                <w:szCs w:val="21"/>
              </w:rPr>
            </w:pPr>
          </w:p>
        </w:tc>
        <w:tc>
          <w:tcPr>
            <w:tcW w:w="1741" w:type="dxa"/>
            <w:vAlign w:val="center"/>
          </w:tcPr>
          <w:p>
            <w:pPr>
              <w:spacing w:line="240" w:lineRule="atLeast"/>
              <w:jc w:val="center"/>
              <w:rPr>
                <w:rFonts w:ascii="宋体" w:hAnsi="宋体" w:cs="宋体"/>
                <w:color w:val="auto"/>
                <w:sz w:val="21"/>
                <w:szCs w:val="21"/>
              </w:rPr>
            </w:pPr>
          </w:p>
        </w:tc>
        <w:tc>
          <w:tcPr>
            <w:tcW w:w="984" w:type="dxa"/>
            <w:vAlign w:val="center"/>
          </w:tcPr>
          <w:p>
            <w:pPr>
              <w:spacing w:line="240" w:lineRule="atLeast"/>
              <w:jc w:val="center"/>
              <w:rPr>
                <w:rFonts w:ascii="宋体" w:hAnsi="宋体" w:cs="宋体"/>
                <w:color w:val="auto"/>
                <w:sz w:val="21"/>
                <w:szCs w:val="21"/>
              </w:rPr>
            </w:pPr>
          </w:p>
        </w:tc>
        <w:tc>
          <w:tcPr>
            <w:tcW w:w="1298" w:type="dxa"/>
            <w:gridSpan w:val="2"/>
            <w:vAlign w:val="center"/>
          </w:tcPr>
          <w:p>
            <w:pPr>
              <w:spacing w:line="240" w:lineRule="atLeast"/>
              <w:jc w:val="center"/>
              <w:rPr>
                <w:rFonts w:ascii="宋体" w:hAnsi="宋体" w:cs="宋体"/>
                <w:color w:val="auto"/>
                <w:sz w:val="21"/>
                <w:szCs w:val="21"/>
              </w:rPr>
            </w:pPr>
          </w:p>
        </w:tc>
        <w:tc>
          <w:tcPr>
            <w:tcW w:w="1134" w:type="dxa"/>
            <w:vAlign w:val="center"/>
          </w:tcPr>
          <w:p>
            <w:pPr>
              <w:spacing w:line="240" w:lineRule="atLeast"/>
              <w:jc w:val="center"/>
              <w:rPr>
                <w:rFonts w:ascii="宋体" w:hAnsi="宋体" w:cs="宋体"/>
                <w:color w:val="auto"/>
                <w:sz w:val="21"/>
                <w:szCs w:val="21"/>
              </w:rPr>
            </w:pPr>
          </w:p>
        </w:tc>
        <w:tc>
          <w:tcPr>
            <w:tcW w:w="1559" w:type="dxa"/>
            <w:vAlign w:val="center"/>
          </w:tcPr>
          <w:p>
            <w:pPr>
              <w:spacing w:line="240" w:lineRule="atLeast"/>
              <w:jc w:val="center"/>
              <w:rPr>
                <w:rFonts w:ascii="宋体" w:hAnsi="宋体" w:cs="宋体"/>
                <w:color w:val="auto"/>
                <w:sz w:val="21"/>
                <w:szCs w:val="21"/>
              </w:rPr>
            </w:pPr>
          </w:p>
        </w:tc>
        <w:tc>
          <w:tcPr>
            <w:tcW w:w="1567" w:type="dxa"/>
            <w:vAlign w:val="center"/>
          </w:tcPr>
          <w:p>
            <w:pPr>
              <w:spacing w:line="240" w:lineRule="atLeas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color w:val="auto"/>
                <w:sz w:val="21"/>
                <w:szCs w:val="21"/>
              </w:rPr>
            </w:pPr>
          </w:p>
        </w:tc>
        <w:tc>
          <w:tcPr>
            <w:tcW w:w="1741" w:type="dxa"/>
            <w:vAlign w:val="center"/>
          </w:tcPr>
          <w:p>
            <w:pPr>
              <w:spacing w:line="240" w:lineRule="atLeast"/>
              <w:jc w:val="center"/>
              <w:rPr>
                <w:rFonts w:ascii="宋体" w:hAnsi="宋体" w:cs="宋体"/>
                <w:color w:val="auto"/>
                <w:sz w:val="21"/>
                <w:szCs w:val="21"/>
              </w:rPr>
            </w:pPr>
          </w:p>
        </w:tc>
        <w:tc>
          <w:tcPr>
            <w:tcW w:w="984" w:type="dxa"/>
            <w:vAlign w:val="center"/>
          </w:tcPr>
          <w:p>
            <w:pPr>
              <w:spacing w:line="240" w:lineRule="atLeast"/>
              <w:jc w:val="center"/>
              <w:rPr>
                <w:rFonts w:ascii="宋体" w:hAnsi="宋体" w:cs="宋体"/>
                <w:color w:val="auto"/>
                <w:sz w:val="21"/>
                <w:szCs w:val="21"/>
              </w:rPr>
            </w:pPr>
          </w:p>
        </w:tc>
        <w:tc>
          <w:tcPr>
            <w:tcW w:w="1298" w:type="dxa"/>
            <w:gridSpan w:val="2"/>
            <w:vAlign w:val="center"/>
          </w:tcPr>
          <w:p>
            <w:pPr>
              <w:spacing w:line="240" w:lineRule="atLeast"/>
              <w:jc w:val="center"/>
              <w:rPr>
                <w:rFonts w:ascii="宋体" w:hAnsi="宋体" w:cs="宋体"/>
                <w:color w:val="auto"/>
                <w:sz w:val="21"/>
                <w:szCs w:val="21"/>
              </w:rPr>
            </w:pPr>
          </w:p>
        </w:tc>
        <w:tc>
          <w:tcPr>
            <w:tcW w:w="1134" w:type="dxa"/>
            <w:vAlign w:val="center"/>
          </w:tcPr>
          <w:p>
            <w:pPr>
              <w:spacing w:line="240" w:lineRule="atLeast"/>
              <w:jc w:val="center"/>
              <w:rPr>
                <w:rFonts w:ascii="宋体" w:hAnsi="宋体" w:cs="宋体"/>
                <w:color w:val="auto"/>
                <w:sz w:val="21"/>
                <w:szCs w:val="21"/>
              </w:rPr>
            </w:pPr>
          </w:p>
        </w:tc>
        <w:tc>
          <w:tcPr>
            <w:tcW w:w="1559" w:type="dxa"/>
            <w:vAlign w:val="center"/>
          </w:tcPr>
          <w:p>
            <w:pPr>
              <w:spacing w:line="240" w:lineRule="atLeast"/>
              <w:jc w:val="center"/>
              <w:rPr>
                <w:rFonts w:ascii="宋体" w:hAnsi="宋体" w:cs="宋体"/>
                <w:color w:val="auto"/>
                <w:sz w:val="21"/>
                <w:szCs w:val="21"/>
              </w:rPr>
            </w:pPr>
          </w:p>
        </w:tc>
        <w:tc>
          <w:tcPr>
            <w:tcW w:w="1567" w:type="dxa"/>
            <w:vAlign w:val="center"/>
          </w:tcPr>
          <w:p>
            <w:pPr>
              <w:spacing w:line="240" w:lineRule="atLeas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color w:val="auto"/>
                <w:sz w:val="21"/>
                <w:szCs w:val="21"/>
              </w:rPr>
            </w:pPr>
          </w:p>
        </w:tc>
        <w:tc>
          <w:tcPr>
            <w:tcW w:w="1741" w:type="dxa"/>
            <w:vAlign w:val="center"/>
          </w:tcPr>
          <w:p>
            <w:pPr>
              <w:spacing w:line="240" w:lineRule="atLeast"/>
              <w:jc w:val="center"/>
              <w:rPr>
                <w:rFonts w:ascii="宋体" w:hAnsi="宋体" w:cs="宋体"/>
                <w:color w:val="auto"/>
                <w:sz w:val="21"/>
                <w:szCs w:val="21"/>
              </w:rPr>
            </w:pPr>
          </w:p>
        </w:tc>
        <w:tc>
          <w:tcPr>
            <w:tcW w:w="984" w:type="dxa"/>
            <w:vAlign w:val="center"/>
          </w:tcPr>
          <w:p>
            <w:pPr>
              <w:spacing w:line="240" w:lineRule="atLeast"/>
              <w:jc w:val="center"/>
              <w:rPr>
                <w:rFonts w:ascii="宋体" w:hAnsi="宋体" w:cs="宋体"/>
                <w:color w:val="auto"/>
                <w:sz w:val="21"/>
                <w:szCs w:val="21"/>
              </w:rPr>
            </w:pPr>
          </w:p>
        </w:tc>
        <w:tc>
          <w:tcPr>
            <w:tcW w:w="1298" w:type="dxa"/>
            <w:gridSpan w:val="2"/>
            <w:vAlign w:val="center"/>
          </w:tcPr>
          <w:p>
            <w:pPr>
              <w:spacing w:line="240" w:lineRule="atLeast"/>
              <w:jc w:val="center"/>
              <w:rPr>
                <w:rFonts w:ascii="宋体" w:hAnsi="宋体" w:cs="宋体"/>
                <w:color w:val="auto"/>
                <w:sz w:val="21"/>
                <w:szCs w:val="21"/>
              </w:rPr>
            </w:pPr>
          </w:p>
        </w:tc>
        <w:tc>
          <w:tcPr>
            <w:tcW w:w="1134" w:type="dxa"/>
            <w:vAlign w:val="center"/>
          </w:tcPr>
          <w:p>
            <w:pPr>
              <w:spacing w:line="240" w:lineRule="atLeast"/>
              <w:jc w:val="center"/>
              <w:rPr>
                <w:rFonts w:ascii="宋体" w:hAnsi="宋体" w:cs="宋体"/>
                <w:color w:val="auto"/>
                <w:sz w:val="21"/>
                <w:szCs w:val="21"/>
              </w:rPr>
            </w:pPr>
          </w:p>
        </w:tc>
        <w:tc>
          <w:tcPr>
            <w:tcW w:w="1559" w:type="dxa"/>
            <w:vAlign w:val="center"/>
          </w:tcPr>
          <w:p>
            <w:pPr>
              <w:spacing w:line="240" w:lineRule="atLeast"/>
              <w:jc w:val="center"/>
              <w:rPr>
                <w:rFonts w:ascii="宋体" w:hAnsi="宋体" w:cs="宋体"/>
                <w:color w:val="auto"/>
                <w:sz w:val="21"/>
                <w:szCs w:val="21"/>
              </w:rPr>
            </w:pPr>
          </w:p>
        </w:tc>
        <w:tc>
          <w:tcPr>
            <w:tcW w:w="1567" w:type="dxa"/>
            <w:vAlign w:val="center"/>
          </w:tcPr>
          <w:p>
            <w:pPr>
              <w:spacing w:line="240" w:lineRule="atLeas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color w:val="auto"/>
                <w:sz w:val="21"/>
                <w:szCs w:val="21"/>
              </w:rPr>
            </w:pPr>
          </w:p>
        </w:tc>
        <w:tc>
          <w:tcPr>
            <w:tcW w:w="1741" w:type="dxa"/>
            <w:vAlign w:val="center"/>
          </w:tcPr>
          <w:p>
            <w:pPr>
              <w:spacing w:line="240" w:lineRule="atLeast"/>
              <w:jc w:val="center"/>
              <w:rPr>
                <w:rFonts w:ascii="宋体" w:hAnsi="宋体" w:cs="宋体"/>
                <w:color w:val="auto"/>
                <w:sz w:val="21"/>
                <w:szCs w:val="21"/>
              </w:rPr>
            </w:pPr>
          </w:p>
        </w:tc>
        <w:tc>
          <w:tcPr>
            <w:tcW w:w="984" w:type="dxa"/>
            <w:vAlign w:val="center"/>
          </w:tcPr>
          <w:p>
            <w:pPr>
              <w:spacing w:line="240" w:lineRule="atLeast"/>
              <w:jc w:val="center"/>
              <w:rPr>
                <w:rFonts w:ascii="宋体" w:hAnsi="宋体" w:cs="宋体"/>
                <w:color w:val="auto"/>
                <w:sz w:val="21"/>
                <w:szCs w:val="21"/>
              </w:rPr>
            </w:pPr>
          </w:p>
        </w:tc>
        <w:tc>
          <w:tcPr>
            <w:tcW w:w="1298" w:type="dxa"/>
            <w:gridSpan w:val="2"/>
            <w:vAlign w:val="center"/>
          </w:tcPr>
          <w:p>
            <w:pPr>
              <w:spacing w:line="240" w:lineRule="atLeast"/>
              <w:jc w:val="center"/>
              <w:rPr>
                <w:rFonts w:ascii="宋体" w:hAnsi="宋体" w:cs="宋体"/>
                <w:color w:val="auto"/>
                <w:sz w:val="21"/>
                <w:szCs w:val="21"/>
              </w:rPr>
            </w:pPr>
          </w:p>
        </w:tc>
        <w:tc>
          <w:tcPr>
            <w:tcW w:w="1134" w:type="dxa"/>
            <w:vAlign w:val="center"/>
          </w:tcPr>
          <w:p>
            <w:pPr>
              <w:spacing w:line="240" w:lineRule="atLeast"/>
              <w:jc w:val="center"/>
              <w:rPr>
                <w:rFonts w:ascii="宋体" w:hAnsi="宋体" w:cs="宋体"/>
                <w:color w:val="auto"/>
                <w:sz w:val="21"/>
                <w:szCs w:val="21"/>
              </w:rPr>
            </w:pPr>
          </w:p>
        </w:tc>
        <w:tc>
          <w:tcPr>
            <w:tcW w:w="1559" w:type="dxa"/>
            <w:vAlign w:val="center"/>
          </w:tcPr>
          <w:p>
            <w:pPr>
              <w:spacing w:line="240" w:lineRule="atLeast"/>
              <w:jc w:val="center"/>
              <w:rPr>
                <w:rFonts w:ascii="宋体" w:hAnsi="宋体" w:cs="宋体"/>
                <w:color w:val="auto"/>
                <w:sz w:val="21"/>
                <w:szCs w:val="21"/>
              </w:rPr>
            </w:pPr>
          </w:p>
        </w:tc>
        <w:tc>
          <w:tcPr>
            <w:tcW w:w="1567" w:type="dxa"/>
            <w:vAlign w:val="center"/>
          </w:tcPr>
          <w:p>
            <w:pPr>
              <w:spacing w:line="240" w:lineRule="atLeas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240" w:lineRule="atLeast"/>
              <w:jc w:val="center"/>
              <w:rPr>
                <w:rFonts w:ascii="宋体" w:hAnsi="宋体" w:cs="宋体"/>
                <w:color w:val="auto"/>
                <w:sz w:val="21"/>
                <w:szCs w:val="21"/>
              </w:rPr>
            </w:pPr>
          </w:p>
        </w:tc>
        <w:tc>
          <w:tcPr>
            <w:tcW w:w="1741" w:type="dxa"/>
            <w:vAlign w:val="center"/>
          </w:tcPr>
          <w:p>
            <w:pPr>
              <w:spacing w:line="240" w:lineRule="atLeast"/>
              <w:jc w:val="center"/>
              <w:rPr>
                <w:rFonts w:ascii="宋体" w:hAnsi="宋体" w:cs="宋体"/>
                <w:color w:val="auto"/>
                <w:sz w:val="21"/>
                <w:szCs w:val="21"/>
              </w:rPr>
            </w:pPr>
          </w:p>
        </w:tc>
        <w:tc>
          <w:tcPr>
            <w:tcW w:w="984" w:type="dxa"/>
            <w:vAlign w:val="center"/>
          </w:tcPr>
          <w:p>
            <w:pPr>
              <w:spacing w:line="240" w:lineRule="atLeast"/>
              <w:jc w:val="center"/>
              <w:rPr>
                <w:rFonts w:ascii="宋体" w:hAnsi="宋体" w:cs="宋体"/>
                <w:color w:val="auto"/>
                <w:sz w:val="21"/>
                <w:szCs w:val="21"/>
              </w:rPr>
            </w:pPr>
          </w:p>
        </w:tc>
        <w:tc>
          <w:tcPr>
            <w:tcW w:w="1298" w:type="dxa"/>
            <w:gridSpan w:val="2"/>
            <w:vAlign w:val="center"/>
          </w:tcPr>
          <w:p>
            <w:pPr>
              <w:spacing w:line="240" w:lineRule="atLeast"/>
              <w:jc w:val="center"/>
              <w:rPr>
                <w:rFonts w:ascii="宋体" w:hAnsi="宋体" w:cs="宋体"/>
                <w:color w:val="auto"/>
                <w:sz w:val="21"/>
                <w:szCs w:val="21"/>
              </w:rPr>
            </w:pPr>
          </w:p>
        </w:tc>
        <w:tc>
          <w:tcPr>
            <w:tcW w:w="1134" w:type="dxa"/>
            <w:vAlign w:val="center"/>
          </w:tcPr>
          <w:p>
            <w:pPr>
              <w:spacing w:line="240" w:lineRule="atLeast"/>
              <w:jc w:val="center"/>
              <w:rPr>
                <w:rFonts w:ascii="宋体" w:hAnsi="宋体" w:cs="宋体"/>
                <w:color w:val="auto"/>
                <w:sz w:val="21"/>
                <w:szCs w:val="21"/>
              </w:rPr>
            </w:pPr>
          </w:p>
        </w:tc>
        <w:tc>
          <w:tcPr>
            <w:tcW w:w="1559" w:type="dxa"/>
            <w:vAlign w:val="center"/>
          </w:tcPr>
          <w:p>
            <w:pPr>
              <w:spacing w:line="240" w:lineRule="atLeast"/>
              <w:jc w:val="center"/>
              <w:rPr>
                <w:rFonts w:ascii="宋体" w:hAnsi="宋体" w:cs="宋体"/>
                <w:color w:val="auto"/>
                <w:sz w:val="21"/>
                <w:szCs w:val="21"/>
              </w:rPr>
            </w:pPr>
          </w:p>
        </w:tc>
        <w:tc>
          <w:tcPr>
            <w:tcW w:w="1567" w:type="dxa"/>
            <w:vAlign w:val="center"/>
          </w:tcPr>
          <w:p>
            <w:pPr>
              <w:spacing w:line="240" w:lineRule="atLeas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tLeast"/>
              <w:rPr>
                <w:rFonts w:ascii="宋体" w:hAnsi="宋体" w:cs="宋体"/>
                <w:color w:val="auto"/>
                <w:sz w:val="21"/>
                <w:szCs w:val="21"/>
              </w:rPr>
            </w:pPr>
            <w:r>
              <w:rPr>
                <w:rFonts w:hint="eastAsia" w:ascii="宋体" w:hAnsi="宋体" w:cs="宋体"/>
                <w:color w:val="auto"/>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tLeast"/>
              <w:rPr>
                <w:rFonts w:ascii="宋体" w:hAnsi="宋体" w:cs="宋体"/>
                <w:color w:val="auto"/>
                <w:sz w:val="21"/>
                <w:szCs w:val="21"/>
              </w:rPr>
            </w:pPr>
            <w:r>
              <w:rPr>
                <w:rFonts w:hint="eastAsia" w:ascii="宋体" w:hAnsi="宋体" w:cs="宋体"/>
                <w:color w:val="auto"/>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pPr>
              <w:spacing w:line="240" w:lineRule="atLeast"/>
              <w:rPr>
                <w:rFonts w:ascii="宋体" w:hAnsi="宋体" w:cs="宋体"/>
                <w:color w:val="auto"/>
                <w:sz w:val="21"/>
                <w:szCs w:val="21"/>
              </w:rPr>
            </w:pPr>
            <w:r>
              <w:rPr>
                <w:rFonts w:hint="eastAsia" w:ascii="宋体" w:hAnsi="宋体" w:cs="宋体"/>
                <w:color w:val="auto"/>
                <w:sz w:val="21"/>
                <w:szCs w:val="21"/>
              </w:rPr>
              <w:t>一、质量要求和技术标准。供方提供的商品必须是全新的，完全符合国家有关技术标准，供方的质量保证及售后服务承诺如下：</w:t>
            </w:r>
          </w:p>
          <w:p>
            <w:pPr>
              <w:spacing w:line="240" w:lineRule="atLeast"/>
              <w:rPr>
                <w:rFonts w:ascii="宋体" w:hAnsi="宋体" w:cs="宋体"/>
                <w:color w:val="auto"/>
                <w:sz w:val="21"/>
                <w:szCs w:val="21"/>
              </w:rPr>
            </w:pPr>
            <w:r>
              <w:rPr>
                <w:rFonts w:hint="eastAsia" w:ascii="宋体" w:hAnsi="宋体" w:cs="宋体"/>
                <w:color w:val="auto"/>
                <w:sz w:val="21"/>
                <w:szCs w:val="21"/>
              </w:rPr>
              <w:t>1、质保期限：</w:t>
            </w:r>
          </w:p>
          <w:p>
            <w:pPr>
              <w:spacing w:line="240" w:lineRule="atLeast"/>
              <w:rPr>
                <w:rFonts w:ascii="宋体" w:hAnsi="宋体" w:cs="宋体"/>
                <w:color w:val="auto"/>
                <w:sz w:val="21"/>
                <w:szCs w:val="21"/>
              </w:rPr>
            </w:pPr>
            <w:r>
              <w:rPr>
                <w:rFonts w:hint="eastAsia" w:ascii="宋体" w:hAnsi="宋体" w:cs="宋体"/>
                <w:color w:val="auto"/>
                <w:sz w:val="21"/>
                <w:szCs w:val="21"/>
              </w:rPr>
              <w:t>2、保修范围：</w:t>
            </w:r>
          </w:p>
          <w:p>
            <w:pPr>
              <w:spacing w:line="240" w:lineRule="atLeast"/>
              <w:rPr>
                <w:rFonts w:ascii="宋体" w:hAnsi="宋体" w:cs="宋体"/>
                <w:color w:val="auto"/>
                <w:sz w:val="21"/>
                <w:szCs w:val="21"/>
              </w:rPr>
            </w:pPr>
            <w:r>
              <w:rPr>
                <w:rFonts w:hint="eastAsia" w:ascii="宋体" w:hAnsi="宋体" w:cs="宋体"/>
                <w:color w:val="auto"/>
                <w:sz w:val="21"/>
                <w:szCs w:val="21"/>
              </w:rPr>
              <w:t>3、服务措施：</w:t>
            </w:r>
          </w:p>
          <w:p>
            <w:pPr>
              <w:spacing w:line="240" w:lineRule="atLeast"/>
              <w:rPr>
                <w:rFonts w:ascii="宋体" w:hAnsi="宋体" w:cs="宋体"/>
                <w:color w:val="auto"/>
                <w:sz w:val="21"/>
                <w:szCs w:val="21"/>
              </w:rPr>
            </w:pPr>
            <w:r>
              <w:rPr>
                <w:rFonts w:hint="eastAsia" w:ascii="宋体" w:hAnsi="宋体" w:cs="宋体"/>
                <w:color w:val="auto"/>
                <w:sz w:val="21"/>
                <w:szCs w:val="21"/>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pPr>
              <w:spacing w:line="240" w:lineRule="atLeast"/>
              <w:rPr>
                <w:rFonts w:ascii="宋体" w:hAnsi="宋体" w:cs="宋体"/>
                <w:color w:val="auto"/>
                <w:sz w:val="21"/>
                <w:szCs w:val="21"/>
              </w:rPr>
            </w:pPr>
            <w:r>
              <w:rPr>
                <w:rFonts w:hint="eastAsia" w:ascii="宋体" w:hAnsi="宋体" w:cs="宋体"/>
                <w:color w:val="auto"/>
                <w:sz w:val="21"/>
                <w:szCs w:val="21"/>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pPr>
              <w:spacing w:line="240" w:lineRule="atLeast"/>
              <w:rPr>
                <w:rFonts w:ascii="宋体" w:hAnsi="宋体" w:cs="宋体"/>
                <w:color w:val="auto"/>
                <w:sz w:val="21"/>
                <w:szCs w:val="21"/>
              </w:rPr>
            </w:pPr>
            <w:r>
              <w:rPr>
                <w:rFonts w:hint="eastAsia" w:ascii="宋体" w:hAnsi="宋体" w:cs="宋体"/>
                <w:color w:val="auto"/>
                <w:sz w:val="21"/>
                <w:szCs w:val="21"/>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pPr>
              <w:spacing w:line="240" w:lineRule="atLeast"/>
              <w:rPr>
                <w:rFonts w:ascii="宋体" w:hAnsi="宋体" w:cs="宋体"/>
                <w:color w:val="auto"/>
                <w:sz w:val="21"/>
                <w:szCs w:val="21"/>
              </w:rPr>
            </w:pPr>
            <w:r>
              <w:rPr>
                <w:rFonts w:hint="eastAsia" w:ascii="宋体" w:hAnsi="宋体" w:cs="宋体"/>
                <w:color w:val="auto"/>
                <w:sz w:val="21"/>
                <w:szCs w:val="21"/>
              </w:rPr>
              <w:t>四、验收标准、方法：</w:t>
            </w:r>
          </w:p>
          <w:p>
            <w:pPr>
              <w:spacing w:line="240" w:lineRule="atLeast"/>
              <w:rPr>
                <w:rFonts w:ascii="宋体" w:hAnsi="宋体" w:cs="宋体"/>
                <w:color w:val="auto"/>
                <w:sz w:val="21"/>
                <w:szCs w:val="21"/>
              </w:rPr>
            </w:pPr>
            <w:r>
              <w:rPr>
                <w:rFonts w:hint="eastAsia" w:ascii="宋体" w:hAnsi="宋体" w:cs="宋体"/>
                <w:color w:val="auto"/>
                <w:sz w:val="21"/>
                <w:szCs w:val="21"/>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tLeast"/>
              <w:rPr>
                <w:rFonts w:ascii="宋体" w:hAnsi="宋体" w:cs="宋体"/>
                <w:color w:val="auto"/>
                <w:sz w:val="21"/>
                <w:szCs w:val="21"/>
              </w:rPr>
            </w:pPr>
            <w:r>
              <w:rPr>
                <w:rFonts w:hint="eastAsia" w:ascii="宋体" w:hAnsi="宋体" w:cs="宋体"/>
                <w:color w:val="auto"/>
                <w:sz w:val="21"/>
                <w:szCs w:val="21"/>
              </w:rPr>
              <w:t>五、付款方式：</w:t>
            </w:r>
          </w:p>
          <w:p>
            <w:pPr>
              <w:pStyle w:val="32"/>
              <w:spacing w:line="240" w:lineRule="atLeast"/>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tLeast"/>
              <w:rPr>
                <w:rFonts w:ascii="宋体" w:hAnsi="宋体" w:cs="宋体"/>
                <w:color w:val="auto"/>
                <w:sz w:val="21"/>
                <w:szCs w:val="21"/>
              </w:rPr>
            </w:pPr>
            <w:r>
              <w:rPr>
                <w:rFonts w:hint="eastAsia" w:ascii="宋体" w:hAnsi="宋体" w:cs="宋体"/>
                <w:color w:val="auto"/>
                <w:sz w:val="21"/>
                <w:szCs w:val="21"/>
              </w:rPr>
              <w:t>六、违约责任：</w:t>
            </w:r>
          </w:p>
          <w:p>
            <w:pPr>
              <w:spacing w:line="240" w:lineRule="atLeast"/>
              <w:rPr>
                <w:rFonts w:ascii="宋体" w:hAnsi="宋体" w:cs="宋体"/>
                <w:color w:val="auto"/>
                <w:sz w:val="21"/>
                <w:szCs w:val="21"/>
              </w:rPr>
            </w:pPr>
            <w:r>
              <w:rPr>
                <w:rFonts w:hint="eastAsia" w:ascii="宋体" w:hAnsi="宋体" w:cs="宋体"/>
                <w:color w:val="auto"/>
                <w:sz w:val="21"/>
                <w:szCs w:val="21"/>
              </w:rPr>
              <w:t>按《中华人民共和国民法典》、《中华人民共和国政府采购法》执行，或按双方约定。（采购人应按项目实际情况完整填写）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pPr>
              <w:spacing w:line="240" w:lineRule="atLeast"/>
              <w:rPr>
                <w:rFonts w:ascii="宋体" w:hAnsi="宋体" w:cs="宋体"/>
                <w:color w:val="auto"/>
                <w:sz w:val="21"/>
                <w:szCs w:val="21"/>
              </w:rPr>
            </w:pPr>
            <w:r>
              <w:rPr>
                <w:rFonts w:hint="eastAsia" w:ascii="宋体" w:hAnsi="宋体" w:cs="宋体"/>
                <w:color w:val="auto"/>
                <w:sz w:val="21"/>
                <w:szCs w:val="21"/>
              </w:rPr>
              <w:t>七、其他约定事项：</w:t>
            </w:r>
          </w:p>
          <w:p>
            <w:pPr>
              <w:spacing w:line="240" w:lineRule="atLeast"/>
              <w:rPr>
                <w:rFonts w:ascii="宋体" w:hAnsi="宋体" w:cs="宋体"/>
                <w:color w:val="auto"/>
                <w:sz w:val="21"/>
                <w:szCs w:val="21"/>
              </w:rPr>
            </w:pPr>
            <w:r>
              <w:rPr>
                <w:rFonts w:hint="eastAsia" w:ascii="宋体" w:hAnsi="宋体" w:cs="宋体"/>
                <w:color w:val="auto"/>
                <w:sz w:val="21"/>
                <w:szCs w:val="21"/>
              </w:rPr>
              <w:t>1.竞争性磋商文件及其澄清文件、投标文件和承诺是本合同不可分割的部分。</w:t>
            </w:r>
          </w:p>
          <w:p>
            <w:pPr>
              <w:spacing w:line="240" w:lineRule="atLeast"/>
              <w:rPr>
                <w:rFonts w:ascii="宋体" w:hAnsi="宋体" w:cs="宋体"/>
                <w:color w:val="auto"/>
                <w:sz w:val="21"/>
                <w:szCs w:val="21"/>
              </w:rPr>
            </w:pPr>
            <w:r>
              <w:rPr>
                <w:rFonts w:hint="eastAsia" w:ascii="宋体" w:hAnsi="宋体" w:cs="宋体"/>
                <w:color w:val="auto"/>
                <w:sz w:val="21"/>
                <w:szCs w:val="21"/>
              </w:rPr>
              <w:t>2.本合同如发生争议由双方协商解决，协商不成向需方所在地仲裁机构提请仲裁。</w:t>
            </w:r>
          </w:p>
          <w:p>
            <w:pPr>
              <w:spacing w:line="240" w:lineRule="atLeast"/>
              <w:rPr>
                <w:rFonts w:ascii="宋体" w:hAnsi="宋体" w:cs="宋体"/>
                <w:color w:val="auto"/>
                <w:sz w:val="21"/>
                <w:szCs w:val="21"/>
              </w:rPr>
            </w:pPr>
            <w:r>
              <w:rPr>
                <w:rFonts w:hint="eastAsia" w:ascii="宋体" w:hAnsi="宋体" w:cs="宋体"/>
                <w:color w:val="auto"/>
                <w:sz w:val="21"/>
                <w:szCs w:val="21"/>
              </w:rPr>
              <w:t>3.本合同一式__份， 需方__份，供方__份，具备同等法律效力。</w:t>
            </w:r>
          </w:p>
          <w:p>
            <w:pPr>
              <w:spacing w:line="240" w:lineRule="atLeast"/>
              <w:rPr>
                <w:rFonts w:ascii="宋体" w:hAnsi="宋体" w:cs="宋体"/>
                <w:color w:val="auto"/>
                <w:sz w:val="21"/>
                <w:szCs w:val="21"/>
              </w:rPr>
            </w:pPr>
            <w:r>
              <w:rPr>
                <w:rFonts w:hint="eastAsia" w:ascii="宋体" w:hAnsi="宋体" w:cs="宋体"/>
                <w:color w:val="auto"/>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pPr>
              <w:spacing w:line="240" w:lineRule="atLeast"/>
              <w:rPr>
                <w:rFonts w:ascii="宋体" w:hAnsi="宋体" w:cs="宋体"/>
                <w:color w:val="auto"/>
                <w:sz w:val="21"/>
                <w:szCs w:val="21"/>
              </w:rPr>
            </w:pPr>
            <w:r>
              <w:rPr>
                <w:rFonts w:hint="eastAsia" w:ascii="宋体" w:hAnsi="宋体" w:cs="宋体"/>
                <w:color w:val="auto"/>
                <w:sz w:val="21"/>
                <w:szCs w:val="21"/>
              </w:rPr>
              <w:t>需方：</w:t>
            </w:r>
          </w:p>
          <w:p>
            <w:pPr>
              <w:spacing w:line="240" w:lineRule="atLeast"/>
              <w:rPr>
                <w:rFonts w:ascii="宋体" w:hAnsi="宋体" w:cs="宋体"/>
                <w:color w:val="auto"/>
                <w:sz w:val="21"/>
                <w:szCs w:val="21"/>
              </w:rPr>
            </w:pPr>
            <w:r>
              <w:rPr>
                <w:rFonts w:hint="eastAsia" w:ascii="宋体" w:hAnsi="宋体" w:cs="宋体"/>
                <w:color w:val="auto"/>
                <w:sz w:val="21"/>
                <w:szCs w:val="21"/>
              </w:rPr>
              <w:t>地址：</w:t>
            </w:r>
          </w:p>
          <w:p>
            <w:pPr>
              <w:spacing w:line="240" w:lineRule="atLeast"/>
              <w:rPr>
                <w:rFonts w:ascii="宋体" w:hAnsi="宋体" w:cs="宋体"/>
                <w:color w:val="auto"/>
                <w:sz w:val="21"/>
                <w:szCs w:val="21"/>
              </w:rPr>
            </w:pPr>
            <w:r>
              <w:rPr>
                <w:rFonts w:hint="eastAsia" w:ascii="宋体" w:hAnsi="宋体" w:cs="宋体"/>
                <w:color w:val="auto"/>
                <w:sz w:val="21"/>
                <w:szCs w:val="21"/>
              </w:rPr>
              <w:t>联系电话：</w:t>
            </w:r>
          </w:p>
          <w:p>
            <w:pPr>
              <w:spacing w:line="240" w:lineRule="atLeast"/>
              <w:rPr>
                <w:rFonts w:ascii="宋体" w:hAnsi="宋体" w:cs="宋体"/>
                <w:color w:val="auto"/>
                <w:sz w:val="21"/>
                <w:szCs w:val="21"/>
              </w:rPr>
            </w:pPr>
            <w:r>
              <w:rPr>
                <w:rFonts w:hint="eastAsia" w:ascii="宋体" w:hAnsi="宋体" w:cs="宋体"/>
                <w:color w:val="auto"/>
                <w:sz w:val="21"/>
                <w:szCs w:val="21"/>
              </w:rPr>
              <w:t>授权代表：</w:t>
            </w:r>
          </w:p>
        </w:tc>
        <w:tc>
          <w:tcPr>
            <w:tcW w:w="5125" w:type="dxa"/>
            <w:gridSpan w:val="5"/>
          </w:tcPr>
          <w:p>
            <w:pPr>
              <w:spacing w:line="240" w:lineRule="atLeast"/>
              <w:rPr>
                <w:rFonts w:ascii="宋体" w:hAnsi="宋体" w:cs="宋体"/>
                <w:color w:val="auto"/>
                <w:sz w:val="21"/>
                <w:szCs w:val="21"/>
              </w:rPr>
            </w:pPr>
            <w:r>
              <w:rPr>
                <w:rFonts w:hint="eastAsia" w:ascii="宋体" w:hAnsi="宋体" w:cs="宋体"/>
                <w:color w:val="auto"/>
                <w:sz w:val="21"/>
                <w:szCs w:val="21"/>
              </w:rPr>
              <w:t>供方：</w:t>
            </w:r>
          </w:p>
          <w:p>
            <w:pPr>
              <w:spacing w:line="240" w:lineRule="atLeast"/>
              <w:rPr>
                <w:rFonts w:ascii="宋体" w:hAnsi="宋体" w:cs="宋体"/>
                <w:color w:val="auto"/>
                <w:sz w:val="21"/>
                <w:szCs w:val="21"/>
              </w:rPr>
            </w:pPr>
            <w:r>
              <w:rPr>
                <w:rFonts w:hint="eastAsia" w:ascii="宋体" w:hAnsi="宋体" w:cs="宋体"/>
                <w:color w:val="auto"/>
                <w:sz w:val="21"/>
                <w:szCs w:val="21"/>
              </w:rPr>
              <w:t>地址：</w:t>
            </w:r>
          </w:p>
          <w:p>
            <w:pPr>
              <w:spacing w:line="240" w:lineRule="atLeast"/>
              <w:rPr>
                <w:rFonts w:ascii="宋体" w:hAnsi="宋体" w:cs="宋体"/>
                <w:color w:val="auto"/>
                <w:sz w:val="21"/>
                <w:szCs w:val="21"/>
              </w:rPr>
            </w:pPr>
            <w:r>
              <w:rPr>
                <w:rFonts w:hint="eastAsia" w:ascii="宋体" w:hAnsi="宋体" w:cs="宋体"/>
                <w:color w:val="auto"/>
                <w:sz w:val="21"/>
                <w:szCs w:val="21"/>
              </w:rPr>
              <w:t>电话：</w:t>
            </w:r>
          </w:p>
          <w:p>
            <w:pPr>
              <w:spacing w:line="240" w:lineRule="atLeast"/>
              <w:rPr>
                <w:rFonts w:ascii="宋体" w:hAnsi="宋体" w:cs="宋体"/>
                <w:color w:val="auto"/>
                <w:sz w:val="21"/>
                <w:szCs w:val="21"/>
              </w:rPr>
            </w:pPr>
            <w:r>
              <w:rPr>
                <w:rFonts w:hint="eastAsia" w:ascii="宋体" w:hAnsi="宋体" w:cs="宋体"/>
                <w:color w:val="auto"/>
                <w:sz w:val="21"/>
                <w:szCs w:val="21"/>
              </w:rPr>
              <w:t>传真：</w:t>
            </w:r>
          </w:p>
          <w:p>
            <w:pPr>
              <w:spacing w:line="240" w:lineRule="atLeast"/>
              <w:rPr>
                <w:rFonts w:ascii="宋体" w:hAnsi="宋体" w:cs="宋体"/>
                <w:color w:val="auto"/>
                <w:sz w:val="21"/>
                <w:szCs w:val="21"/>
              </w:rPr>
            </w:pPr>
            <w:r>
              <w:rPr>
                <w:rFonts w:hint="eastAsia" w:ascii="宋体" w:hAnsi="宋体" w:cs="宋体"/>
                <w:color w:val="auto"/>
                <w:sz w:val="21"/>
                <w:szCs w:val="21"/>
              </w:rPr>
              <w:t>开户银行：</w:t>
            </w:r>
          </w:p>
          <w:p>
            <w:pPr>
              <w:spacing w:line="240" w:lineRule="atLeast"/>
              <w:rPr>
                <w:rFonts w:ascii="宋体" w:hAnsi="宋体" w:cs="宋体"/>
                <w:color w:val="auto"/>
                <w:sz w:val="21"/>
                <w:szCs w:val="21"/>
              </w:rPr>
            </w:pPr>
            <w:r>
              <w:rPr>
                <w:rFonts w:hint="eastAsia" w:ascii="宋体" w:hAnsi="宋体" w:cs="宋体"/>
                <w:color w:val="auto"/>
                <w:sz w:val="21"/>
                <w:szCs w:val="21"/>
              </w:rPr>
              <w:t>账号：</w:t>
            </w:r>
          </w:p>
          <w:p>
            <w:pPr>
              <w:spacing w:line="240" w:lineRule="atLeast"/>
              <w:rPr>
                <w:rFonts w:ascii="宋体" w:hAnsi="宋体" w:cs="宋体"/>
                <w:color w:val="auto"/>
                <w:sz w:val="21"/>
                <w:szCs w:val="21"/>
              </w:rPr>
            </w:pPr>
            <w:r>
              <w:rPr>
                <w:rFonts w:hint="eastAsia" w:ascii="宋体" w:hAnsi="宋体" w:cs="宋体"/>
                <w:color w:val="auto"/>
                <w:sz w:val="21"/>
                <w:szCs w:val="21"/>
              </w:rPr>
              <w:t>授权代表：</w:t>
            </w:r>
          </w:p>
          <w:p>
            <w:pPr>
              <w:widowControl/>
              <w:spacing w:line="240" w:lineRule="atLeast"/>
              <w:jc w:val="left"/>
              <w:rPr>
                <w:rFonts w:ascii="宋体" w:hAnsi="宋体" w:cs="宋体"/>
                <w:color w:val="auto"/>
                <w:sz w:val="21"/>
                <w:szCs w:val="21"/>
              </w:rPr>
            </w:pPr>
            <w:r>
              <w:rPr>
                <w:rFonts w:hint="eastAsia" w:ascii="宋体" w:hAnsi="宋体" w:cs="宋体"/>
                <w:color w:val="auto"/>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pPr>
              <w:spacing w:line="240" w:lineRule="atLeast"/>
              <w:rPr>
                <w:rFonts w:ascii="宋体" w:hAnsi="宋体" w:cs="宋体"/>
                <w:color w:val="auto"/>
                <w:sz w:val="21"/>
                <w:szCs w:val="21"/>
              </w:rPr>
            </w:pPr>
            <w:r>
              <w:rPr>
                <w:rFonts w:hint="eastAsia" w:ascii="宋体" w:hAnsi="宋体" w:cs="宋体"/>
                <w:color w:val="auto"/>
                <w:sz w:val="21"/>
                <w:szCs w:val="21"/>
              </w:rPr>
              <w:t>备注：</w:t>
            </w:r>
          </w:p>
          <w:p>
            <w:pPr>
              <w:spacing w:line="240" w:lineRule="atLeast"/>
              <w:rPr>
                <w:rFonts w:ascii="宋体" w:hAnsi="宋体" w:cs="宋体"/>
                <w:color w:val="auto"/>
                <w:sz w:val="21"/>
                <w:szCs w:val="21"/>
              </w:rPr>
            </w:pPr>
          </w:p>
          <w:p>
            <w:pPr>
              <w:spacing w:line="240" w:lineRule="atLeast"/>
              <w:rPr>
                <w:rFonts w:ascii="宋体" w:hAnsi="宋体" w:cs="宋体"/>
                <w:color w:val="auto"/>
                <w:sz w:val="21"/>
                <w:szCs w:val="21"/>
              </w:rPr>
            </w:pPr>
          </w:p>
        </w:tc>
      </w:tr>
    </w:tbl>
    <w:p>
      <w:pPr>
        <w:spacing w:line="500" w:lineRule="exact"/>
        <w:ind w:firstLine="420" w:firstLineChars="200"/>
        <w:rPr>
          <w:rFonts w:ascii="宋体" w:hAnsi="宋体" w:cs="宋体"/>
          <w:color w:val="auto"/>
          <w:sz w:val="21"/>
          <w:szCs w:val="21"/>
        </w:rPr>
      </w:pPr>
      <w:r>
        <w:rPr>
          <w:rFonts w:hint="eastAsia" w:ascii="宋体" w:hAnsi="宋体" w:cs="宋体"/>
          <w:color w:val="auto"/>
          <w:sz w:val="21"/>
          <w:szCs w:val="21"/>
        </w:rPr>
        <w:t>签约时间：           年   月   日      签约地点：</w:t>
      </w:r>
    </w:p>
    <w:p>
      <w:pPr>
        <w:spacing w:line="500" w:lineRule="exact"/>
        <w:ind w:firstLine="420" w:firstLineChars="200"/>
        <w:rPr>
          <w:rFonts w:ascii="宋体" w:hAnsi="宋体" w:cs="宋体"/>
          <w:color w:val="auto"/>
          <w:sz w:val="21"/>
          <w:szCs w:val="21"/>
        </w:rPr>
        <w:sectPr>
          <w:headerReference r:id="rId9" w:type="default"/>
          <w:pgSz w:w="11907" w:h="16840"/>
          <w:pgMar w:top="1134" w:right="1191" w:bottom="1134" w:left="1304" w:header="964" w:footer="992" w:gutter="0"/>
          <w:pgNumType w:fmt="numberInDash"/>
          <w:cols w:space="720" w:num="1"/>
          <w:docGrid w:linePitch="312" w:charSpace="0"/>
        </w:sectPr>
      </w:pPr>
    </w:p>
    <w:p>
      <w:pPr>
        <w:pStyle w:val="4"/>
        <w:spacing w:before="0" w:after="0" w:line="360" w:lineRule="auto"/>
        <w:jc w:val="center"/>
        <w:rPr>
          <w:rFonts w:ascii="宋体" w:hAnsi="宋体" w:eastAsia="宋体" w:cs="宋体"/>
          <w:bCs/>
          <w:color w:val="auto"/>
          <w:sz w:val="36"/>
          <w:szCs w:val="30"/>
        </w:rPr>
      </w:pPr>
      <w:bookmarkStart w:id="125" w:name="_Toc13345"/>
      <w:bookmarkStart w:id="126" w:name="_Toc7620"/>
      <w:r>
        <w:rPr>
          <w:rFonts w:hint="eastAsia" w:ascii="宋体" w:hAnsi="宋体" w:eastAsia="宋体" w:cs="宋体"/>
          <w:bCs/>
          <w:color w:val="auto"/>
          <w:sz w:val="36"/>
          <w:szCs w:val="30"/>
        </w:rPr>
        <w:t>第七篇  响应文件编制要求</w:t>
      </w:r>
      <w:bookmarkEnd w:id="125"/>
      <w:bookmarkEnd w:id="126"/>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一、经济部分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（一）竞争性磋商报价函</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二、服务部分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（一）服务响应偏离表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（二）其他资料（格式自定）</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三、商务部分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（二）其它优惠服务承诺（格式自定）</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四、资格条件及其他</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（五）特定资格条件证书或证明文件</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五、其他资料</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一</w:t>
      </w:r>
      <w:r>
        <w:rPr>
          <w:rFonts w:hint="eastAsia" w:ascii="宋体" w:hAnsi="宋体" w:cs="宋体"/>
          <w:color w:val="auto"/>
          <w:sz w:val="24"/>
          <w:szCs w:val="24"/>
        </w:rPr>
        <w:t>）其他与项目有关的资料</w:t>
      </w:r>
    </w:p>
    <w:p>
      <w:pPr>
        <w:spacing w:line="440" w:lineRule="exact"/>
        <w:rPr>
          <w:rFonts w:ascii="宋体" w:hAnsi="宋体" w:cs="宋体"/>
          <w:color w:val="auto"/>
          <w:sz w:val="24"/>
          <w:szCs w:val="24"/>
        </w:rPr>
      </w:pPr>
      <w:r>
        <w:rPr>
          <w:rFonts w:hint="eastAsia" w:ascii="宋体" w:hAnsi="宋体" w:cs="宋体"/>
          <w:color w:val="auto"/>
          <w:sz w:val="24"/>
          <w:szCs w:val="24"/>
        </w:rPr>
        <w:t xml:space="preserve">  </w:t>
      </w:r>
    </w:p>
    <w:p>
      <w:pPr>
        <w:spacing w:line="440" w:lineRule="exact"/>
        <w:ind w:firstLine="480" w:firstLineChars="200"/>
        <w:rPr>
          <w:rFonts w:ascii="宋体" w:hAnsi="宋体" w:cs="宋体"/>
          <w:color w:val="auto"/>
          <w:sz w:val="24"/>
          <w:szCs w:val="24"/>
        </w:rPr>
        <w:sectPr>
          <w:pgSz w:w="11907" w:h="16840"/>
          <w:pgMar w:top="1440" w:right="1080" w:bottom="1440" w:left="1080" w:header="851" w:footer="992" w:gutter="0"/>
          <w:pgNumType w:fmt="numberInDash"/>
          <w:cols w:space="720" w:num="1"/>
          <w:docGrid w:linePitch="380" w:charSpace="-5735"/>
        </w:sectPr>
      </w:pPr>
    </w:p>
    <w:p>
      <w:pPr>
        <w:pStyle w:val="5"/>
        <w:spacing w:before="0" w:after="0" w:line="360" w:lineRule="auto"/>
        <w:rPr>
          <w:rFonts w:ascii="宋体" w:hAnsi="宋体" w:cs="宋体"/>
          <w:color w:val="auto"/>
          <w:sz w:val="24"/>
          <w:szCs w:val="24"/>
        </w:rPr>
      </w:pPr>
      <w:bookmarkStart w:id="127" w:name="_Toc313888360"/>
      <w:bookmarkStart w:id="128" w:name="_Toc4689"/>
      <w:bookmarkStart w:id="129" w:name="_Toc342913419"/>
      <w:bookmarkStart w:id="130" w:name="_Toc27045"/>
      <w:bookmarkStart w:id="131" w:name="_Toc313008356"/>
      <w:bookmarkStart w:id="132" w:name="_Toc283382454"/>
      <w:bookmarkStart w:id="133" w:name="_Toc12789073"/>
      <w:r>
        <w:rPr>
          <w:rFonts w:hint="eastAsia" w:ascii="宋体" w:hAnsi="宋体" w:cs="宋体"/>
          <w:color w:val="auto"/>
          <w:sz w:val="24"/>
          <w:szCs w:val="24"/>
        </w:rPr>
        <w:t>一、经济部分</w:t>
      </w:r>
      <w:bookmarkEnd w:id="127"/>
      <w:bookmarkEnd w:id="128"/>
      <w:bookmarkEnd w:id="129"/>
      <w:bookmarkEnd w:id="130"/>
      <w:bookmarkEnd w:id="131"/>
    </w:p>
    <w:bookmarkEnd w:id="132"/>
    <w:bookmarkEnd w:id="133"/>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（一）竞争性磋商报价函</w:t>
      </w:r>
    </w:p>
    <w:p>
      <w:pPr>
        <w:jc w:val="center"/>
        <w:rPr>
          <w:rFonts w:ascii="宋体" w:hAnsi="宋体" w:cs="宋体"/>
          <w:bCs/>
          <w:color w:val="auto"/>
          <w:szCs w:val="28"/>
        </w:rPr>
      </w:pPr>
      <w:r>
        <w:rPr>
          <w:rFonts w:hint="eastAsia" w:ascii="宋体" w:hAnsi="宋体" w:cs="宋体"/>
          <w:bCs/>
          <w:color w:val="auto"/>
          <w:szCs w:val="28"/>
        </w:rPr>
        <w:t>竞争性磋商报价函</w:t>
      </w:r>
    </w:p>
    <w:p>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我方收到____________________________（磋商项目名称）的竞争性磋商文件，经详细研究，决定参加该项目的磋商。</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1.愿意按照竞争性磋商文件中的一切要求，提供本项目的服务，初始报价为人民币大写：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元。以我公司最后报价为准。</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3.我方承诺：本次磋商的有效期为提交响应文件截止时间起90天。</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5.在整个竞争性磋商过程中，我方若有违规行为，接受按照《中华人民共和国政府采购法》和《竞争性磋商文件》之规定给予惩罚。</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7.如果我方成为成交供应商，保证在接到成交通知书后，向采购代理机构和</w:t>
      </w:r>
      <w:r>
        <w:rPr>
          <w:rFonts w:hint="eastAsia" w:ascii="宋体" w:hAnsi="宋体" w:cs="宋体"/>
          <w:color w:val="auto"/>
          <w:sz w:val="24"/>
        </w:rPr>
        <w:t>重庆市江津区公共资源交易平台缴纳</w:t>
      </w:r>
      <w:r>
        <w:rPr>
          <w:rFonts w:hint="eastAsia" w:ascii="宋体" w:hAnsi="宋体" w:cs="宋体"/>
          <w:color w:val="auto"/>
          <w:sz w:val="24"/>
          <w:szCs w:val="24"/>
        </w:rPr>
        <w:t>竞争性磋商文件规定的采购代理服务费和交易服务费。</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w:t>
      </w:r>
    </w:p>
    <w:p>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pPr>
        <w:snapToGrid w:val="0"/>
        <w:spacing w:line="312" w:lineRule="auto"/>
        <w:ind w:firstLine="480" w:firstLineChars="200"/>
        <w:rPr>
          <w:rFonts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pPr>
        <w:tabs>
          <w:tab w:val="left" w:pos="2895"/>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pPr>
        <w:pStyle w:val="37"/>
        <w:spacing w:line="360" w:lineRule="auto"/>
        <w:rPr>
          <w:rFonts w:hAnsi="宋体" w:cs="宋体"/>
          <w:color w:val="auto"/>
          <w:sz w:val="24"/>
          <w:szCs w:val="24"/>
        </w:rPr>
      </w:pPr>
      <w:r>
        <w:rPr>
          <w:rFonts w:hint="eastAsia" w:hAnsi="宋体" w:cs="宋体"/>
          <w:color w:val="auto"/>
          <w:sz w:val="24"/>
          <w:szCs w:val="24"/>
        </w:rPr>
        <w:t xml:space="preserve">格式自拟            </w:t>
      </w:r>
      <w:bookmarkStart w:id="134" w:name="_Toc106030907"/>
      <w:bookmarkStart w:id="135" w:name="_Toc313008357"/>
      <w:bookmarkStart w:id="136" w:name="_Toc342913420"/>
      <w:bookmarkStart w:id="137" w:name="_Toc313888361"/>
      <w:bookmarkStart w:id="138" w:name="_Toc76462351"/>
      <w:bookmarkStart w:id="139" w:name="_Toc342913421"/>
      <w:bookmarkStart w:id="140" w:name="_Toc27956"/>
      <w:bookmarkStart w:id="141" w:name="_Toc313888362"/>
      <w:bookmarkStart w:id="142" w:name="_Toc313008358"/>
      <w:bookmarkStart w:id="143" w:name="_Toc6440"/>
    </w:p>
    <w:p>
      <w:pPr>
        <w:pStyle w:val="37"/>
        <w:spacing w:line="360" w:lineRule="auto"/>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p>
    <w:p>
      <w:pPr>
        <w:pStyle w:val="37"/>
        <w:spacing w:line="360" w:lineRule="auto"/>
        <w:jc w:val="left"/>
        <w:rPr>
          <w:rFonts w:hAnsi="宋体" w:cs="宋体"/>
          <w:color w:val="auto"/>
          <w:sz w:val="24"/>
          <w:szCs w:val="24"/>
        </w:rPr>
      </w:pPr>
      <w:r>
        <w:rPr>
          <w:rFonts w:hint="eastAsia" w:ascii="宋体" w:hAnsi="宋体" w:cs="宋体"/>
          <w:color w:val="auto"/>
          <w:sz w:val="24"/>
        </w:rPr>
        <w:t>二、技术部分</w:t>
      </w:r>
      <w:bookmarkEnd w:id="134"/>
      <w:bookmarkEnd w:id="135"/>
      <w:bookmarkEnd w:id="136"/>
      <w:bookmarkEnd w:id="137"/>
      <w:bookmarkEnd w:id="138"/>
    </w:p>
    <w:p>
      <w:pPr>
        <w:snapToGrid w:val="0"/>
        <w:spacing w:line="44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（一）技术实施及服务方案</w:t>
      </w:r>
    </w:p>
    <w:p>
      <w:pPr>
        <w:ind w:firstLine="480" w:firstLineChars="200"/>
        <w:rPr>
          <w:rFonts w:ascii="仿宋" w:hAnsi="仿宋" w:eastAsia="仿宋"/>
          <w:color w:val="auto"/>
          <w:sz w:val="24"/>
          <w:szCs w:val="24"/>
        </w:rPr>
      </w:pPr>
      <w:r>
        <w:rPr>
          <w:rFonts w:hint="eastAsia" w:ascii="仿宋" w:hAnsi="仿宋" w:eastAsia="仿宋"/>
          <w:color w:val="auto"/>
          <w:sz w:val="24"/>
          <w:szCs w:val="24"/>
        </w:rPr>
        <w:t>（二）技术(服务)条款差异表（格式）</w:t>
      </w:r>
    </w:p>
    <w:p>
      <w:pPr>
        <w:snapToGrid w:val="0"/>
        <w:spacing w:line="440" w:lineRule="exact"/>
        <w:ind w:firstLine="480" w:firstLineChars="200"/>
        <w:rPr>
          <w:rFonts w:ascii="仿宋" w:hAnsi="仿宋" w:eastAsia="仿宋"/>
          <w:b/>
          <w:bCs/>
          <w:color w:val="auto"/>
          <w:sz w:val="24"/>
          <w:szCs w:val="24"/>
        </w:rPr>
      </w:pPr>
      <w:r>
        <w:rPr>
          <w:rFonts w:hint="eastAsia" w:ascii="仿宋" w:hAnsi="仿宋" w:eastAsia="仿宋"/>
          <w:color w:val="auto"/>
          <w:sz w:val="24"/>
          <w:szCs w:val="24"/>
        </w:rPr>
        <w:t>（三）提供第四篇评分标准中技术部分要求的所有材料</w:t>
      </w:r>
    </w:p>
    <w:p>
      <w:pPr>
        <w:tabs>
          <w:tab w:val="left" w:pos="6300"/>
        </w:tabs>
        <w:snapToGrid w:val="0"/>
        <w:spacing w:line="500" w:lineRule="exact"/>
        <w:ind w:firstLine="570"/>
        <w:rPr>
          <w:rFonts w:ascii="仿宋" w:hAnsi="仿宋" w:eastAsia="仿宋"/>
          <w:color w:val="auto"/>
          <w:szCs w:val="24"/>
        </w:rPr>
      </w:pPr>
    </w:p>
    <w:p>
      <w:pPr>
        <w:tabs>
          <w:tab w:val="left" w:pos="6300"/>
        </w:tabs>
        <w:snapToGrid w:val="0"/>
        <w:spacing w:line="500" w:lineRule="exact"/>
        <w:ind w:firstLine="570"/>
        <w:jc w:val="center"/>
        <w:rPr>
          <w:rFonts w:ascii="仿宋" w:hAnsi="仿宋" w:eastAsia="仿宋"/>
          <w:color w:val="auto"/>
          <w:szCs w:val="24"/>
        </w:rPr>
      </w:pPr>
      <w:r>
        <w:rPr>
          <w:rFonts w:hint="eastAsia" w:ascii="仿宋" w:hAnsi="仿宋" w:eastAsia="仿宋"/>
          <w:color w:val="auto"/>
          <w:szCs w:val="24"/>
        </w:rPr>
        <w:t>技术（服务）条款差异表</w:t>
      </w:r>
    </w:p>
    <w:p>
      <w:pPr>
        <w:pStyle w:val="32"/>
        <w:tabs>
          <w:tab w:val="left" w:pos="6300"/>
        </w:tabs>
        <w:snapToGrid w:val="0"/>
        <w:spacing w:line="500" w:lineRule="exact"/>
        <w:ind w:left="2240" w:firstLine="480" w:firstLineChars="200"/>
        <w:outlineLvl w:val="0"/>
        <w:rPr>
          <w:rFonts w:ascii="仿宋" w:hAnsi="仿宋" w:eastAsia="仿宋"/>
          <w:color w:val="auto"/>
          <w:sz w:val="24"/>
        </w:rPr>
      </w:pPr>
      <w:r>
        <w:rPr>
          <w:rFonts w:hint="eastAsia" w:ascii="仿宋" w:hAnsi="仿宋" w:eastAsia="仿宋"/>
          <w:color w:val="auto"/>
          <w:sz w:val="24"/>
          <w:szCs w:val="28"/>
        </w:rPr>
        <w:t>项目编号</w:t>
      </w:r>
      <w:r>
        <w:rPr>
          <w:rFonts w:hint="eastAsia" w:ascii="仿宋" w:hAnsi="仿宋" w:eastAsia="仿宋"/>
          <w:color w:val="auto"/>
          <w:sz w:val="24"/>
        </w:rPr>
        <w:t>：</w:t>
      </w:r>
    </w:p>
    <w:tbl>
      <w:tblPr>
        <w:tblStyle w:val="5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ign w:val="center"/>
          </w:tcPr>
          <w:p>
            <w:pPr>
              <w:tabs>
                <w:tab w:val="left" w:pos="6300"/>
              </w:tabs>
              <w:snapToGrid w:val="0"/>
              <w:spacing w:line="500" w:lineRule="exact"/>
              <w:jc w:val="center"/>
              <w:outlineLvl w:val="0"/>
              <w:rPr>
                <w:rFonts w:ascii="仿宋" w:hAnsi="仿宋" w:eastAsia="仿宋"/>
                <w:color w:val="auto"/>
                <w:sz w:val="21"/>
                <w:szCs w:val="21"/>
              </w:rPr>
            </w:pPr>
            <w:r>
              <w:rPr>
                <w:rFonts w:hint="eastAsia" w:ascii="仿宋" w:hAnsi="仿宋" w:eastAsia="仿宋"/>
                <w:color w:val="auto"/>
                <w:sz w:val="21"/>
                <w:szCs w:val="21"/>
              </w:rPr>
              <w:t>序号</w:t>
            </w:r>
          </w:p>
        </w:tc>
        <w:tc>
          <w:tcPr>
            <w:tcW w:w="2428" w:type="dxa"/>
            <w:noWrap/>
            <w:vAlign w:val="center"/>
          </w:tcPr>
          <w:p>
            <w:pPr>
              <w:tabs>
                <w:tab w:val="left" w:pos="6300"/>
              </w:tabs>
              <w:snapToGrid w:val="0"/>
              <w:spacing w:line="500" w:lineRule="exact"/>
              <w:jc w:val="center"/>
              <w:outlineLvl w:val="0"/>
              <w:rPr>
                <w:rFonts w:ascii="仿宋" w:hAnsi="仿宋" w:eastAsia="仿宋"/>
                <w:color w:val="auto"/>
                <w:sz w:val="21"/>
                <w:szCs w:val="21"/>
              </w:rPr>
            </w:pPr>
            <w:r>
              <w:rPr>
                <w:rFonts w:hint="eastAsia" w:ascii="仿宋" w:hAnsi="仿宋" w:eastAsia="仿宋"/>
                <w:color w:val="auto"/>
                <w:sz w:val="21"/>
                <w:szCs w:val="21"/>
              </w:rPr>
              <w:t>招标要求</w:t>
            </w:r>
          </w:p>
        </w:tc>
        <w:tc>
          <w:tcPr>
            <w:tcW w:w="2520" w:type="dxa"/>
            <w:noWrap/>
            <w:vAlign w:val="center"/>
          </w:tcPr>
          <w:p>
            <w:pPr>
              <w:tabs>
                <w:tab w:val="left" w:pos="6300"/>
              </w:tabs>
              <w:snapToGrid w:val="0"/>
              <w:spacing w:line="500" w:lineRule="exact"/>
              <w:jc w:val="center"/>
              <w:outlineLvl w:val="0"/>
              <w:rPr>
                <w:rFonts w:ascii="仿宋" w:hAnsi="仿宋" w:eastAsia="仿宋"/>
                <w:color w:val="auto"/>
                <w:sz w:val="21"/>
                <w:szCs w:val="21"/>
              </w:rPr>
            </w:pPr>
            <w:r>
              <w:rPr>
                <w:rFonts w:hint="eastAsia" w:ascii="仿宋" w:hAnsi="仿宋" w:eastAsia="仿宋"/>
                <w:color w:val="auto"/>
                <w:sz w:val="21"/>
                <w:szCs w:val="21"/>
              </w:rPr>
              <w:t>投标应答</w:t>
            </w:r>
          </w:p>
        </w:tc>
        <w:tc>
          <w:tcPr>
            <w:tcW w:w="1888" w:type="dxa"/>
            <w:noWrap/>
            <w:vAlign w:val="center"/>
          </w:tcPr>
          <w:p>
            <w:pPr>
              <w:tabs>
                <w:tab w:val="left" w:pos="6300"/>
              </w:tabs>
              <w:snapToGrid w:val="0"/>
              <w:spacing w:line="500" w:lineRule="exact"/>
              <w:jc w:val="center"/>
              <w:outlineLvl w:val="0"/>
              <w:rPr>
                <w:rFonts w:ascii="仿宋" w:hAnsi="仿宋" w:eastAsia="仿宋"/>
                <w:color w:val="auto"/>
                <w:sz w:val="21"/>
                <w:szCs w:val="21"/>
              </w:rPr>
            </w:pPr>
            <w:r>
              <w:rPr>
                <w:rFonts w:hint="eastAsia" w:ascii="仿宋" w:hAnsi="仿宋" w:eastAsia="仿宋"/>
                <w:color w:val="auto"/>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42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520"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188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42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520"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188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42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520"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188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42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520"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188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42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520"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188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42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520"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188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42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520"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188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42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520"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188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42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520"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188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42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2520"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c>
          <w:tcPr>
            <w:tcW w:w="1888" w:type="dxa"/>
            <w:noWrap/>
            <w:vAlign w:val="center"/>
          </w:tcPr>
          <w:p>
            <w:pPr>
              <w:tabs>
                <w:tab w:val="left" w:pos="6300"/>
              </w:tabs>
              <w:snapToGrid w:val="0"/>
              <w:spacing w:line="500" w:lineRule="exact"/>
              <w:jc w:val="center"/>
              <w:outlineLvl w:val="0"/>
              <w:rPr>
                <w:rFonts w:ascii="仿宋" w:hAnsi="仿宋" w:eastAsia="仿宋"/>
                <w:color w:val="auto"/>
                <w:sz w:val="21"/>
                <w:szCs w:val="21"/>
              </w:rPr>
            </w:pPr>
          </w:p>
        </w:tc>
      </w:tr>
    </w:tbl>
    <w:p>
      <w:pPr>
        <w:tabs>
          <w:tab w:val="left" w:pos="6300"/>
        </w:tabs>
        <w:snapToGrid w:val="0"/>
        <w:spacing w:line="500" w:lineRule="exact"/>
        <w:ind w:firstLine="570"/>
        <w:rPr>
          <w:rFonts w:ascii="仿宋" w:hAnsi="仿宋" w:eastAsia="仿宋"/>
          <w:color w:val="auto"/>
          <w:sz w:val="24"/>
        </w:rPr>
      </w:pPr>
      <w:r>
        <w:rPr>
          <w:rFonts w:hint="eastAsia" w:ascii="仿宋" w:hAnsi="仿宋" w:eastAsia="仿宋"/>
          <w:color w:val="auto"/>
          <w:sz w:val="24"/>
          <w:szCs w:val="28"/>
        </w:rPr>
        <w:t xml:space="preserve"> </w:t>
      </w:r>
    </w:p>
    <w:p>
      <w:pPr>
        <w:tabs>
          <w:tab w:val="left" w:pos="6300"/>
        </w:tabs>
        <w:snapToGrid w:val="0"/>
        <w:spacing w:line="500" w:lineRule="exact"/>
        <w:ind w:firstLine="570"/>
        <w:rPr>
          <w:rFonts w:ascii="仿宋" w:hAnsi="仿宋" w:eastAsia="仿宋"/>
          <w:color w:val="auto"/>
          <w:sz w:val="24"/>
        </w:rPr>
      </w:pPr>
      <w:r>
        <w:rPr>
          <w:rFonts w:hint="eastAsia" w:ascii="仿宋" w:hAnsi="仿宋" w:eastAsia="仿宋"/>
          <w:color w:val="auto"/>
          <w:sz w:val="24"/>
        </w:rPr>
        <w:t>注：</w:t>
      </w:r>
    </w:p>
    <w:p>
      <w:pPr>
        <w:tabs>
          <w:tab w:val="left" w:pos="6300"/>
        </w:tabs>
        <w:snapToGrid w:val="0"/>
        <w:spacing w:line="500" w:lineRule="exact"/>
        <w:ind w:firstLine="570"/>
        <w:rPr>
          <w:rFonts w:ascii="仿宋" w:hAnsi="仿宋" w:eastAsia="仿宋"/>
          <w:color w:val="auto"/>
          <w:sz w:val="24"/>
          <w:szCs w:val="24"/>
        </w:rPr>
      </w:pPr>
      <w:r>
        <w:rPr>
          <w:rFonts w:hint="eastAsia" w:ascii="仿宋" w:hAnsi="仿宋" w:eastAsia="仿宋"/>
          <w:color w:val="auto"/>
          <w:sz w:val="24"/>
          <w:szCs w:val="24"/>
        </w:rPr>
        <w:t>1.本表即为对本项目“第二篇  项目技术（服务）要求”中所列条款进行比较和响应，应逐条如实填写，“投标应答”中必须列出具体数值或内容。如投标人未应答或只注明“符合”、“满足”等类似无具体数值或内容的表述，视为不满足对应条款；</w:t>
      </w:r>
    </w:p>
    <w:p>
      <w:pPr>
        <w:tabs>
          <w:tab w:val="left" w:pos="6300"/>
        </w:tabs>
        <w:snapToGrid w:val="0"/>
        <w:spacing w:line="500" w:lineRule="exact"/>
        <w:ind w:firstLine="570"/>
        <w:rPr>
          <w:rFonts w:ascii="仿宋" w:hAnsi="仿宋" w:eastAsia="仿宋"/>
          <w:color w:val="auto"/>
          <w:sz w:val="24"/>
          <w:szCs w:val="24"/>
        </w:rPr>
      </w:pPr>
      <w:r>
        <w:rPr>
          <w:rFonts w:hint="eastAsia" w:ascii="仿宋" w:hAnsi="仿宋" w:eastAsia="仿宋"/>
          <w:color w:val="auto"/>
          <w:sz w:val="24"/>
          <w:szCs w:val="24"/>
        </w:rPr>
        <w:t>2.本表可扩展；</w:t>
      </w:r>
    </w:p>
    <w:p>
      <w:pPr>
        <w:snapToGrid w:val="0"/>
        <w:spacing w:line="400" w:lineRule="exact"/>
        <w:ind w:firstLine="480" w:firstLineChars="200"/>
        <w:jc w:val="left"/>
        <w:rPr>
          <w:rFonts w:ascii="宋体" w:hAnsi="宋体" w:cs="宋体"/>
          <w:color w:val="auto"/>
          <w:sz w:val="24"/>
          <w:szCs w:val="24"/>
        </w:rPr>
      </w:pPr>
      <w:r>
        <w:rPr>
          <w:rFonts w:hint="eastAsia" w:ascii="仿宋" w:hAnsi="仿宋" w:eastAsia="仿宋"/>
          <w:color w:val="auto"/>
          <w:sz w:val="24"/>
          <w:szCs w:val="24"/>
        </w:rPr>
        <w:t>3.可附相关技术支撑材料；（格式自定）</w:t>
      </w:r>
    </w:p>
    <w:p>
      <w:pPr>
        <w:pStyle w:val="4"/>
        <w:adjustRightInd w:val="0"/>
        <w:snapToGrid w:val="0"/>
        <w:spacing w:before="0" w:after="0" w:line="400" w:lineRule="exact"/>
        <w:ind w:firstLine="640" w:firstLineChars="200"/>
        <w:rPr>
          <w:rFonts w:ascii="宋体" w:hAnsi="宋体" w:eastAsia="宋体" w:cs="宋体"/>
          <w:color w:val="auto"/>
          <w:sz w:val="24"/>
        </w:rPr>
      </w:pPr>
      <w:r>
        <w:rPr>
          <w:rFonts w:ascii="方正仿宋_GBK" w:hAnsi="宋体" w:eastAsia="方正仿宋_GBK"/>
          <w:color w:val="auto"/>
          <w:szCs w:val="24"/>
        </w:rPr>
        <w:br w:type="page"/>
      </w:r>
      <w:bookmarkEnd w:id="139"/>
      <w:bookmarkEnd w:id="140"/>
      <w:bookmarkEnd w:id="141"/>
      <w:bookmarkEnd w:id="142"/>
      <w:bookmarkEnd w:id="143"/>
      <w:bookmarkStart w:id="144" w:name="_Toc106030908"/>
      <w:bookmarkStart w:id="145" w:name="_Toc76462352"/>
      <w:bookmarkStart w:id="146" w:name="_Toc283382459"/>
      <w:r>
        <w:rPr>
          <w:rFonts w:hint="eastAsia" w:ascii="宋体" w:hAnsi="宋体" w:eastAsia="宋体" w:cs="宋体"/>
          <w:color w:val="auto"/>
          <w:sz w:val="24"/>
        </w:rPr>
        <w:t>三、商务部分</w:t>
      </w:r>
      <w:bookmarkEnd w:id="144"/>
      <w:bookmarkEnd w:id="145"/>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磋商项目名称：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pPr>
              <w:snapToGrid w:val="0"/>
              <w:spacing w:line="360" w:lineRule="auto"/>
              <w:ind w:firstLine="465"/>
              <w:rPr>
                <w:rFonts w:ascii="宋体" w:hAnsi="宋体" w:cs="宋体"/>
                <w:color w:val="auto"/>
                <w:sz w:val="21"/>
                <w:szCs w:val="24"/>
              </w:rPr>
            </w:pPr>
            <w:r>
              <w:rPr>
                <w:rFonts w:hint="eastAsia" w:ascii="宋体" w:hAnsi="宋体" w:cs="宋体"/>
                <w:color w:val="auto"/>
                <w:sz w:val="21"/>
                <w:szCs w:val="24"/>
              </w:rPr>
              <w:t>序号</w:t>
            </w: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r>
              <w:rPr>
                <w:rFonts w:hint="eastAsia" w:ascii="宋体" w:hAnsi="宋体" w:cs="宋体"/>
                <w:color w:val="auto"/>
                <w:sz w:val="21"/>
                <w:szCs w:val="24"/>
              </w:rPr>
              <w:t>磋商项目商务需求</w:t>
            </w: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r>
              <w:rPr>
                <w:rFonts w:hint="eastAsia" w:ascii="宋体" w:hAnsi="宋体" w:cs="宋体"/>
                <w:color w:val="auto"/>
                <w:sz w:val="21"/>
                <w:szCs w:val="24"/>
              </w:rPr>
              <w:t>响应情况</w:t>
            </w: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r>
              <w:rPr>
                <w:rFonts w:hint="eastAsia" w:ascii="宋体" w:hAnsi="宋体" w:cs="宋体"/>
                <w:color w:val="auto"/>
                <w:sz w:val="21"/>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outlineLvl w:val="0"/>
              <w:rPr>
                <w:rFonts w:ascii="宋体" w:hAnsi="宋体" w:cs="宋体"/>
                <w:color w:val="auto"/>
                <w:sz w:val="21"/>
                <w:szCs w:val="24"/>
              </w:rPr>
            </w:pPr>
            <w:r>
              <w:rPr>
                <w:rFonts w:hint="eastAsia" w:ascii="宋体" w:hAnsi="宋体" w:cs="宋体"/>
                <w:color w:val="auto"/>
                <w:sz w:val="21"/>
                <w:szCs w:val="21"/>
              </w:rPr>
              <w:t>提醒：请注明具体内容以及响应文件中具体内容的位置（页码）</w:t>
            </w: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pPr>
              <w:tabs>
                <w:tab w:val="left" w:pos="6300"/>
              </w:tabs>
              <w:snapToGrid w:val="0"/>
              <w:spacing w:line="360" w:lineRule="auto"/>
              <w:jc w:val="center"/>
              <w:outlineLvl w:val="0"/>
              <w:rPr>
                <w:rFonts w:ascii="宋体" w:hAnsi="宋体" w:cs="宋体"/>
                <w:color w:val="auto"/>
                <w:sz w:val="21"/>
                <w:szCs w:val="24"/>
              </w:rPr>
            </w:pPr>
          </w:p>
        </w:tc>
      </w:tr>
    </w:tbl>
    <w:p>
      <w:pPr>
        <w:snapToGrid w:val="0"/>
        <w:spacing w:line="360" w:lineRule="auto"/>
        <w:ind w:firstLine="465"/>
        <w:rPr>
          <w:rFonts w:ascii="宋体" w:hAnsi="宋体" w:cs="宋体"/>
          <w:color w:val="auto"/>
          <w:sz w:val="24"/>
          <w:szCs w:val="24"/>
        </w:rPr>
      </w:pPr>
    </w:p>
    <w:p>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p>
    <w:p>
      <w:pPr>
        <w:spacing w:line="500" w:lineRule="exact"/>
        <w:rPr>
          <w:rFonts w:ascii="宋体" w:hAnsi="宋体" w:cs="宋体"/>
          <w:color w:val="auto"/>
          <w:sz w:val="24"/>
          <w:szCs w:val="28"/>
        </w:rPr>
      </w:pPr>
      <w:r>
        <w:rPr>
          <w:rFonts w:hint="eastAsia" w:ascii="宋体" w:hAnsi="宋体" w:cs="宋体"/>
          <w:color w:val="auto"/>
          <w:sz w:val="24"/>
          <w:szCs w:val="28"/>
        </w:rPr>
        <w:t xml:space="preserve">    </w:t>
      </w:r>
    </w:p>
    <w:p>
      <w:pPr>
        <w:spacing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（签署或盖章）</w:t>
      </w: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szCs w:val="28"/>
        </w:rPr>
        <w:t xml:space="preserve">                                            年     月     日</w:t>
      </w:r>
    </w:p>
    <w:p>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rPr>
        <w:t>注：</w:t>
      </w:r>
    </w:p>
    <w:p>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项目商务需求”中所列条款进行比较和响应；</w:t>
      </w:r>
    </w:p>
    <w:p>
      <w:pPr>
        <w:snapToGrid w:val="0"/>
        <w:spacing w:line="400" w:lineRule="exact"/>
        <w:ind w:firstLine="480" w:firstLineChars="200"/>
        <w:rPr>
          <w:rFonts w:ascii="宋体" w:hAnsi="宋体" w:cs="宋体"/>
          <w:b/>
          <w:color w:val="auto"/>
        </w:rPr>
        <w:sectPr>
          <w:headerReference r:id="rId10"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rPr>
        <w:t>2.本表可扩展。</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（二）其它优惠承诺（格式自定）</w:t>
      </w:r>
    </w:p>
    <w:p>
      <w:pPr>
        <w:snapToGrid w:val="0"/>
        <w:spacing w:line="400" w:lineRule="exact"/>
        <w:ind w:firstLine="480" w:firstLineChars="200"/>
        <w:rPr>
          <w:rFonts w:ascii="宋体" w:hAnsi="宋体" w:cs="宋体"/>
          <w:color w:val="auto"/>
          <w:sz w:val="24"/>
          <w:szCs w:val="24"/>
        </w:rPr>
      </w:pPr>
    </w:p>
    <w:p>
      <w:pPr>
        <w:spacing w:line="440" w:lineRule="exact"/>
        <w:ind w:firstLine="480" w:firstLineChars="200"/>
        <w:rPr>
          <w:rFonts w:ascii="宋体" w:hAnsi="宋体" w:cs="宋体"/>
          <w:color w:val="auto"/>
        </w:rPr>
      </w:pPr>
      <w:r>
        <w:rPr>
          <w:rFonts w:ascii="方正仿宋_GBK" w:hAnsi="宋体" w:eastAsia="方正仿宋_GBK"/>
          <w:color w:val="auto"/>
          <w:sz w:val="24"/>
          <w:szCs w:val="24"/>
        </w:rPr>
        <w:br w:type="page"/>
      </w:r>
    </w:p>
    <w:bookmarkEnd w:id="146"/>
    <w:p>
      <w:pPr>
        <w:pStyle w:val="5"/>
        <w:spacing w:before="0" w:after="0" w:line="360" w:lineRule="auto"/>
        <w:rPr>
          <w:rFonts w:ascii="宋体" w:hAnsi="宋体" w:cs="宋体"/>
          <w:color w:val="auto"/>
        </w:rPr>
      </w:pPr>
      <w:bookmarkStart w:id="147" w:name="_Toc313008359"/>
      <w:bookmarkStart w:id="148" w:name="_Toc16325"/>
      <w:bookmarkStart w:id="149" w:name="_Toc313888363"/>
      <w:bookmarkStart w:id="150" w:name="_Toc4215"/>
      <w:bookmarkStart w:id="151" w:name="_Toc342913422"/>
      <w:r>
        <w:rPr>
          <w:rFonts w:hint="eastAsia" w:ascii="宋体" w:hAnsi="宋体" w:cs="宋体"/>
          <w:color w:val="auto"/>
          <w:sz w:val="24"/>
          <w:szCs w:val="24"/>
        </w:rPr>
        <w:t>四、资格条件及其他</w:t>
      </w:r>
      <w:bookmarkEnd w:id="147"/>
      <w:bookmarkEnd w:id="148"/>
      <w:bookmarkEnd w:id="149"/>
      <w:bookmarkEnd w:id="150"/>
      <w:bookmarkEnd w:id="151"/>
    </w:p>
    <w:p>
      <w:pPr>
        <w:tabs>
          <w:tab w:val="left" w:pos="6300"/>
        </w:tabs>
        <w:snapToGrid w:val="0"/>
        <w:spacing w:line="500" w:lineRule="exact"/>
        <w:ind w:firstLine="570"/>
        <w:rPr>
          <w:rFonts w:ascii="宋体" w:hAnsi="宋体" w:cs="宋体"/>
          <w:color w:val="auto"/>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ascii="宋体" w:hAnsi="宋体" w:cs="宋体"/>
          <w:color w:val="auto"/>
        </w:rPr>
      </w:pPr>
    </w:p>
    <w:p>
      <w:pPr>
        <w:tabs>
          <w:tab w:val="left" w:pos="6300"/>
        </w:tabs>
        <w:snapToGrid w:val="0"/>
        <w:spacing w:line="500" w:lineRule="exact"/>
        <w:ind w:firstLine="570"/>
        <w:rPr>
          <w:rFonts w:ascii="宋体" w:hAnsi="宋体" w:cs="宋体"/>
          <w:color w:val="auto"/>
        </w:rPr>
      </w:pPr>
    </w:p>
    <w:p>
      <w:pPr>
        <w:tabs>
          <w:tab w:val="left" w:pos="6300"/>
        </w:tabs>
        <w:snapToGrid w:val="0"/>
        <w:spacing w:line="500" w:lineRule="exact"/>
        <w:ind w:firstLine="570"/>
        <w:rPr>
          <w:rFonts w:ascii="宋体" w:hAnsi="宋体" w:cs="宋体"/>
          <w:color w:val="auto"/>
        </w:rPr>
      </w:pPr>
    </w:p>
    <w:p>
      <w:pPr>
        <w:tabs>
          <w:tab w:val="left" w:pos="6300"/>
        </w:tabs>
        <w:snapToGrid w:val="0"/>
        <w:spacing w:line="500" w:lineRule="exact"/>
        <w:ind w:firstLine="570"/>
        <w:rPr>
          <w:rFonts w:ascii="宋体" w:hAnsi="宋体" w:cs="宋体"/>
          <w:color w:val="auto"/>
        </w:rPr>
      </w:pPr>
    </w:p>
    <w:p>
      <w:pPr>
        <w:widowControl/>
        <w:ind w:firstLine="560" w:firstLineChars="200"/>
        <w:jc w:val="left"/>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磋商项目名称：</w:t>
      </w:r>
      <w:r>
        <w:rPr>
          <w:rFonts w:hint="eastAsia" w:ascii="宋体" w:hAnsi="宋体" w:cs="宋体"/>
          <w:color w:val="auto"/>
          <w:sz w:val="24"/>
          <w:u w:val="single"/>
        </w:rPr>
        <w:t xml:space="preserve">                                                </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8"/>
        </w:rPr>
        <w:t>磋商项目名称</w:t>
      </w:r>
      <w:r>
        <w:rPr>
          <w:rFonts w:hint="eastAsia" w:ascii="宋体" w:hAnsi="宋体" w:cs="宋体"/>
          <w:color w:val="auto"/>
          <w:sz w:val="24"/>
        </w:rPr>
        <w:t>：</w:t>
      </w:r>
      <w:r>
        <w:rPr>
          <w:rFonts w:hint="eastAsia" w:ascii="宋体" w:hAnsi="宋体" w:cs="宋体"/>
          <w:color w:val="auto"/>
          <w:sz w:val="24"/>
          <w:u w:val="single"/>
        </w:rPr>
        <w:t xml:space="preserve">                                                </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pPr>
        <w:tabs>
          <w:tab w:val="left" w:pos="6300"/>
        </w:tabs>
        <w:snapToGrid w:val="0"/>
        <w:spacing w:line="500" w:lineRule="exact"/>
        <w:ind w:firstLine="570"/>
        <w:rPr>
          <w:rFonts w:ascii="宋体" w:hAnsi="宋体" w:cs="宋体"/>
          <w:color w:val="auto"/>
          <w:sz w:val="24"/>
          <w:szCs w:val="28"/>
        </w:rPr>
      </w:pPr>
      <w:r>
        <w:rPr>
          <w:rFonts w:hint="eastAsia" w:ascii="宋体" w:hAnsi="宋体" w:cs="宋体"/>
          <w:color w:val="auto"/>
          <w:sz w:val="24"/>
          <w:szCs w:val="28"/>
        </w:rPr>
        <w:t>（签署或盖章）                                （签署或盖章）</w:t>
      </w:r>
    </w:p>
    <w:p>
      <w:pPr>
        <w:tabs>
          <w:tab w:val="left" w:pos="6300"/>
        </w:tabs>
        <w:snapToGrid w:val="0"/>
        <w:spacing w:line="500" w:lineRule="exact"/>
        <w:ind w:firstLine="570"/>
        <w:rPr>
          <w:rFonts w:ascii="宋体" w:hAnsi="宋体" w:cs="宋体"/>
          <w:color w:val="auto"/>
          <w:sz w:val="24"/>
          <w:szCs w:val="28"/>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注：</w:t>
      </w:r>
    </w:p>
    <w:p>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1.若为法定代表人办理并签署响应文件的，不提供此文件。</w:t>
      </w:r>
    </w:p>
    <w:p>
      <w:pPr>
        <w:tabs>
          <w:tab w:val="left" w:pos="6300"/>
        </w:tabs>
        <w:snapToGrid w:val="0"/>
        <w:spacing w:line="500" w:lineRule="exact"/>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w:t>
      </w:r>
      <w:r>
        <w:rPr>
          <w:rFonts w:hint="eastAsia" w:ascii="宋体" w:hAnsi="宋体" w:cs="宋体"/>
          <w:color w:val="auto"/>
          <w:sz w:val="24"/>
          <w:szCs w:val="28"/>
        </w:rPr>
        <w:t>基本资格条件承诺函</w:t>
      </w:r>
    </w:p>
    <w:p>
      <w:pPr>
        <w:tabs>
          <w:tab w:val="left" w:pos="6300"/>
        </w:tabs>
        <w:snapToGrid w:val="0"/>
        <w:spacing w:line="500" w:lineRule="exact"/>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基本资格条件承诺函</w:t>
      </w:r>
    </w:p>
    <w:p>
      <w:pPr>
        <w:tabs>
          <w:tab w:val="left" w:pos="6300"/>
        </w:tabs>
        <w:snapToGrid w:val="0"/>
        <w:spacing w:line="530" w:lineRule="exact"/>
        <w:rPr>
          <w:rFonts w:ascii="宋体" w:hAnsi="宋体" w:cs="宋体"/>
          <w:color w:val="auto"/>
          <w:sz w:val="24"/>
        </w:rPr>
      </w:pP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我方对以上承诺负全部法律责任。</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特此承诺。</w:t>
      </w:r>
    </w:p>
    <w:p>
      <w:pPr>
        <w:tabs>
          <w:tab w:val="left" w:pos="6300"/>
        </w:tabs>
        <w:snapToGrid w:val="0"/>
        <w:spacing w:line="500" w:lineRule="exact"/>
        <w:ind w:firstLine="480" w:firstLineChars="200"/>
        <w:rPr>
          <w:rFonts w:ascii="宋体" w:hAnsi="宋体" w:cs="宋体"/>
          <w:color w:val="auto"/>
          <w:sz w:val="24"/>
        </w:rPr>
      </w:pPr>
    </w:p>
    <w:p>
      <w:pPr>
        <w:tabs>
          <w:tab w:val="left" w:pos="6300"/>
        </w:tabs>
        <w:snapToGrid w:val="0"/>
        <w:spacing w:line="500" w:lineRule="exact"/>
        <w:ind w:firstLine="480" w:firstLineChars="200"/>
        <w:jc w:val="right"/>
        <w:rPr>
          <w:rFonts w:ascii="宋体" w:hAnsi="宋体" w:cs="宋体"/>
          <w:color w:val="auto"/>
          <w:sz w:val="24"/>
        </w:rPr>
      </w:pPr>
      <w:r>
        <w:rPr>
          <w:rFonts w:hint="eastAsia" w:ascii="宋体" w:hAnsi="宋体" w:cs="宋体"/>
          <w:color w:val="auto"/>
          <w:sz w:val="24"/>
        </w:rPr>
        <w:t>（供应商公章）</w:t>
      </w:r>
    </w:p>
    <w:p>
      <w:pPr>
        <w:tabs>
          <w:tab w:val="left" w:pos="6300"/>
        </w:tabs>
        <w:snapToGrid w:val="0"/>
        <w:spacing w:line="500" w:lineRule="exact"/>
        <w:ind w:firstLine="7920" w:firstLineChars="3300"/>
        <w:rPr>
          <w:rFonts w:ascii="宋体" w:hAnsi="宋体" w:cs="宋体"/>
          <w:color w:val="auto"/>
          <w:sz w:val="24"/>
          <w:szCs w:val="24"/>
        </w:rPr>
      </w:pPr>
      <w:r>
        <w:rPr>
          <w:rFonts w:hint="eastAsia" w:ascii="宋体" w:hAnsi="宋体" w:cs="宋体"/>
          <w:color w:val="auto"/>
          <w:sz w:val="24"/>
        </w:rPr>
        <w:t>年   月   日</w:t>
      </w:r>
    </w:p>
    <w:p>
      <w:pPr>
        <w:snapToGrid w:val="0"/>
        <w:spacing w:line="400" w:lineRule="exact"/>
        <w:ind w:firstLine="560" w:firstLineChars="200"/>
        <w:rPr>
          <w:rFonts w:ascii="宋体" w:hAnsi="宋体" w:cs="宋体"/>
          <w:color w:val="auto"/>
          <w:sz w:val="24"/>
          <w:szCs w:val="24"/>
        </w:rPr>
      </w:pPr>
      <w:r>
        <w:rPr>
          <w:rFonts w:ascii="方正仿宋_GBK" w:hAnsi="宋体" w:eastAsia="方正仿宋_GBK"/>
          <w:color w:val="auto"/>
        </w:rPr>
        <w:br w:type="page"/>
      </w:r>
      <w:r>
        <w:rPr>
          <w:rFonts w:hint="eastAsia" w:ascii="宋体" w:hAnsi="宋体" w:cs="宋体"/>
          <w:color w:val="auto"/>
          <w:sz w:val="24"/>
          <w:szCs w:val="24"/>
        </w:rPr>
        <w:t>（五）特定资格条件证明文件（如有）</w:t>
      </w:r>
    </w:p>
    <w:p>
      <w:pPr>
        <w:tabs>
          <w:tab w:val="left" w:pos="6300"/>
        </w:tabs>
        <w:snapToGrid w:val="0"/>
        <w:spacing w:line="500" w:lineRule="exact"/>
        <w:ind w:firstLine="570"/>
        <w:rPr>
          <w:rFonts w:ascii="宋体" w:hAnsi="宋体" w:cs="宋体"/>
          <w:color w:val="auto"/>
          <w:sz w:val="24"/>
          <w:szCs w:val="24"/>
        </w:rPr>
      </w:pPr>
    </w:p>
    <w:p>
      <w:pPr>
        <w:pStyle w:val="4"/>
        <w:adjustRightInd w:val="0"/>
        <w:snapToGrid w:val="0"/>
        <w:spacing w:before="0" w:after="0" w:line="400" w:lineRule="exact"/>
        <w:ind w:firstLine="643" w:firstLineChars="200"/>
        <w:rPr>
          <w:rFonts w:ascii="宋体" w:hAnsi="宋体" w:eastAsia="宋体" w:cs="宋体"/>
          <w:color w:val="auto"/>
          <w:sz w:val="24"/>
        </w:rPr>
      </w:pPr>
      <w:r>
        <w:rPr>
          <w:rFonts w:hint="eastAsia" w:ascii="宋体" w:hAnsi="宋体" w:cs="宋体"/>
          <w:color w:val="auto"/>
        </w:rPr>
        <w:br w:type="page"/>
      </w:r>
      <w:bookmarkStart w:id="152" w:name="_Toc106030910"/>
      <w:bookmarkStart w:id="153" w:name="_Toc76462354"/>
      <w:r>
        <w:rPr>
          <w:rFonts w:hint="eastAsia" w:ascii="宋体" w:hAnsi="宋体" w:eastAsia="宋体" w:cs="宋体"/>
          <w:color w:val="auto"/>
          <w:sz w:val="24"/>
        </w:rPr>
        <w:t>五、其他资料</w:t>
      </w:r>
      <w:bookmarkEnd w:id="152"/>
      <w:bookmarkEnd w:id="153"/>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其他与项目有关的资料（自附）：供应商总体情况介绍、其他与本项目有关的资料等。</w:t>
      </w:r>
    </w:p>
    <w:p>
      <w:pPr>
        <w:spacing w:line="360" w:lineRule="auto"/>
        <w:ind w:firstLine="480" w:firstLineChars="200"/>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rPr>
          <w:rFonts w:ascii="方正仿宋_GBK" w:hAnsi="宋体" w:eastAsia="方正仿宋_GBK"/>
          <w:color w:val="auto"/>
          <w:sz w:val="24"/>
          <w:szCs w:val="24"/>
        </w:rPr>
      </w:pPr>
    </w:p>
    <w:p>
      <w:pPr>
        <w:spacing w:line="360" w:lineRule="auto"/>
        <w:ind w:firstLine="480" w:firstLineChars="200"/>
        <w:jc w:val="center"/>
        <w:outlineLvl w:val="0"/>
        <w:rPr>
          <w:rFonts w:ascii="方正仿宋_GBK" w:hAnsi="宋体" w:eastAsia="方正仿宋_GBK"/>
          <w:color w:val="auto"/>
        </w:rPr>
      </w:pPr>
      <w:r>
        <w:rPr>
          <w:rFonts w:hint="eastAsia" w:ascii="方正仿宋_GBK" w:hAnsi="宋体" w:eastAsia="方正仿宋_GBK"/>
          <w:color w:val="auto"/>
          <w:sz w:val="24"/>
          <w:szCs w:val="24"/>
        </w:rPr>
        <w:t>（结束）</w:t>
      </w:r>
    </w:p>
    <w:p>
      <w:pPr>
        <w:pStyle w:val="37"/>
        <w:rPr>
          <w:rFonts w:hAnsi="宋体" w:cs="宋体"/>
          <w:color w:val="auto"/>
          <w:sz w:val="24"/>
          <w:szCs w:val="24"/>
        </w:rPr>
      </w:pPr>
    </w:p>
    <w:p>
      <w:pPr>
        <w:spacing w:line="360" w:lineRule="auto"/>
        <w:rPr>
          <w:rFonts w:ascii="宋体" w:hAnsi="宋体" w:cs="宋体"/>
          <w:color w:val="auto"/>
          <w:sz w:val="24"/>
          <w:szCs w:val="24"/>
        </w:rPr>
      </w:pPr>
    </w:p>
    <w:p>
      <w:pPr>
        <w:rPr>
          <w:rFonts w:ascii="宋体" w:hAnsi="宋体" w:cs="宋体"/>
          <w:color w:val="auto"/>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auto"/>
    <w:pitch w:val="default"/>
    <w:sig w:usb0="00000000" w:usb1="00000000" w:usb2="00000010" w:usb3="00000000" w:csb0="00040000" w:csb1="00000000"/>
  </w:font>
  <w:font w:name="Arial Narrow">
    <w:altName w:val="Arial"/>
    <w:panose1 w:val="00000000000000000000"/>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- 2 -</w:t>
    </w:r>
    <w:r>
      <w:rPr>
        <w:rFonts w:ascii="宋体"/>
        <w:sz w:val="21"/>
        <w:szCs w:val="21"/>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p>
  <w:p>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Fonts w:ascii="宋体"/>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2540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150" cy="254000"/>
                      </a:xfrm>
                      <a:prstGeom prst="rect">
                        <a:avLst/>
                      </a:prstGeom>
                      <a:noFill/>
                      <a:ln>
                        <a:noFill/>
                      </a:ln>
                      <a:effectLst/>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pt;width:4.5pt;mso-position-horizontal:center;mso-position-horizontal-relative:margin;mso-wrap-style:none;z-index:251659264;mso-width-relative:page;mso-height-relative:page;" filled="f" stroked="f" coordsize="21600,21600" o:gfxdata="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MeUpbPAAAAAgEAAA8AAAAAAAAAAQAgAAAAIgAAAGRycy9k&#10;b3ducmV2LnhtbFBLAQIUABQAAAAIAIdO4kBIVToE0gEAAKQDAAAOAAAAAAAAAAEAIAAAAB4BAABk&#10;cnMvZTJvRG9jLnhtbFBLBQYAAAAABgAGAFkBAABi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9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2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49"/>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3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2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70"/>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0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10"/>
  </w:num>
  <w:num w:numId="6">
    <w:abstractNumId w:val="0"/>
  </w:num>
  <w:num w:numId="7">
    <w:abstractNumId w:val="11"/>
  </w:num>
  <w:num w:numId="8">
    <w:abstractNumId w:val="7"/>
  </w:num>
  <w:num w:numId="9">
    <w:abstractNumId w:val="1"/>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ZDZiNDRmYzk3YzU1Y2VkMjY1YTRjNDYyNzE2OGEifQ=="/>
  </w:docVars>
  <w:rsids>
    <w:rsidRoot w:val="00172A27"/>
    <w:rsid w:val="00003626"/>
    <w:rsid w:val="000040DE"/>
    <w:rsid w:val="000075E8"/>
    <w:rsid w:val="00011B4B"/>
    <w:rsid w:val="00016B79"/>
    <w:rsid w:val="00017816"/>
    <w:rsid w:val="00032ACA"/>
    <w:rsid w:val="000336BE"/>
    <w:rsid w:val="0003632F"/>
    <w:rsid w:val="0004739C"/>
    <w:rsid w:val="000523C9"/>
    <w:rsid w:val="0005298B"/>
    <w:rsid w:val="0005417C"/>
    <w:rsid w:val="00055AE0"/>
    <w:rsid w:val="000576E1"/>
    <w:rsid w:val="00061A7C"/>
    <w:rsid w:val="00063981"/>
    <w:rsid w:val="000717BF"/>
    <w:rsid w:val="000737ED"/>
    <w:rsid w:val="000740F6"/>
    <w:rsid w:val="00083731"/>
    <w:rsid w:val="00083816"/>
    <w:rsid w:val="00090C5A"/>
    <w:rsid w:val="00091B1C"/>
    <w:rsid w:val="00091D22"/>
    <w:rsid w:val="000922FE"/>
    <w:rsid w:val="000A164E"/>
    <w:rsid w:val="000A3057"/>
    <w:rsid w:val="000A3F52"/>
    <w:rsid w:val="000B1068"/>
    <w:rsid w:val="000B42F4"/>
    <w:rsid w:val="000B7377"/>
    <w:rsid w:val="000B7F54"/>
    <w:rsid w:val="000C08C1"/>
    <w:rsid w:val="000C20E6"/>
    <w:rsid w:val="000C6D89"/>
    <w:rsid w:val="000D47A1"/>
    <w:rsid w:val="000D776F"/>
    <w:rsid w:val="000E01C9"/>
    <w:rsid w:val="000E0279"/>
    <w:rsid w:val="000E0DD7"/>
    <w:rsid w:val="000E105E"/>
    <w:rsid w:val="000E3259"/>
    <w:rsid w:val="000E4835"/>
    <w:rsid w:val="000F2DF7"/>
    <w:rsid w:val="000F4451"/>
    <w:rsid w:val="000F4AF2"/>
    <w:rsid w:val="000F7DBF"/>
    <w:rsid w:val="0010014A"/>
    <w:rsid w:val="00100639"/>
    <w:rsid w:val="0010088E"/>
    <w:rsid w:val="001028FD"/>
    <w:rsid w:val="00105638"/>
    <w:rsid w:val="0011451D"/>
    <w:rsid w:val="00114CFE"/>
    <w:rsid w:val="00115337"/>
    <w:rsid w:val="0011683E"/>
    <w:rsid w:val="00116856"/>
    <w:rsid w:val="00116C42"/>
    <w:rsid w:val="0011780F"/>
    <w:rsid w:val="00117B26"/>
    <w:rsid w:val="00120259"/>
    <w:rsid w:val="00122F9D"/>
    <w:rsid w:val="00125E90"/>
    <w:rsid w:val="001266BF"/>
    <w:rsid w:val="00133D16"/>
    <w:rsid w:val="00134037"/>
    <w:rsid w:val="001342AC"/>
    <w:rsid w:val="00135831"/>
    <w:rsid w:val="001428C0"/>
    <w:rsid w:val="00147FB4"/>
    <w:rsid w:val="0015011C"/>
    <w:rsid w:val="0015033B"/>
    <w:rsid w:val="00150429"/>
    <w:rsid w:val="001523C5"/>
    <w:rsid w:val="00152B00"/>
    <w:rsid w:val="00156769"/>
    <w:rsid w:val="00162E9C"/>
    <w:rsid w:val="00167D2A"/>
    <w:rsid w:val="00170E93"/>
    <w:rsid w:val="00171E05"/>
    <w:rsid w:val="00172A27"/>
    <w:rsid w:val="00180ACB"/>
    <w:rsid w:val="00181A6C"/>
    <w:rsid w:val="00181E3A"/>
    <w:rsid w:val="00183B60"/>
    <w:rsid w:val="00186623"/>
    <w:rsid w:val="001879FD"/>
    <w:rsid w:val="0019571D"/>
    <w:rsid w:val="001A64A1"/>
    <w:rsid w:val="001A6DCC"/>
    <w:rsid w:val="001B0396"/>
    <w:rsid w:val="001B1400"/>
    <w:rsid w:val="001B3DBD"/>
    <w:rsid w:val="001B4377"/>
    <w:rsid w:val="001D0DF7"/>
    <w:rsid w:val="001D1F52"/>
    <w:rsid w:val="001D2321"/>
    <w:rsid w:val="001D2DCD"/>
    <w:rsid w:val="001D5055"/>
    <w:rsid w:val="001D630C"/>
    <w:rsid w:val="001E1A2F"/>
    <w:rsid w:val="001E201B"/>
    <w:rsid w:val="001E5CAC"/>
    <w:rsid w:val="001E64A9"/>
    <w:rsid w:val="001E6841"/>
    <w:rsid w:val="001E725F"/>
    <w:rsid w:val="001F1AF7"/>
    <w:rsid w:val="001F4964"/>
    <w:rsid w:val="001F4A96"/>
    <w:rsid w:val="001F7063"/>
    <w:rsid w:val="00202B04"/>
    <w:rsid w:val="00203052"/>
    <w:rsid w:val="00204936"/>
    <w:rsid w:val="00206AE4"/>
    <w:rsid w:val="002100EE"/>
    <w:rsid w:val="00212A06"/>
    <w:rsid w:val="00215DEE"/>
    <w:rsid w:val="0021704D"/>
    <w:rsid w:val="00222097"/>
    <w:rsid w:val="002227DB"/>
    <w:rsid w:val="00227202"/>
    <w:rsid w:val="00227377"/>
    <w:rsid w:val="00227851"/>
    <w:rsid w:val="00230C54"/>
    <w:rsid w:val="00234257"/>
    <w:rsid w:val="002348E0"/>
    <w:rsid w:val="002449C9"/>
    <w:rsid w:val="0024780F"/>
    <w:rsid w:val="00250FCD"/>
    <w:rsid w:val="00262555"/>
    <w:rsid w:val="002643C1"/>
    <w:rsid w:val="00264531"/>
    <w:rsid w:val="00265203"/>
    <w:rsid w:val="0027199E"/>
    <w:rsid w:val="00271D47"/>
    <w:rsid w:val="002721EA"/>
    <w:rsid w:val="00280478"/>
    <w:rsid w:val="00280E8A"/>
    <w:rsid w:val="00285164"/>
    <w:rsid w:val="00292CDE"/>
    <w:rsid w:val="00295FA5"/>
    <w:rsid w:val="00296459"/>
    <w:rsid w:val="002A4956"/>
    <w:rsid w:val="002A6710"/>
    <w:rsid w:val="002A7778"/>
    <w:rsid w:val="002B1FDA"/>
    <w:rsid w:val="002B578B"/>
    <w:rsid w:val="002B5ECC"/>
    <w:rsid w:val="002B7904"/>
    <w:rsid w:val="002B7FD8"/>
    <w:rsid w:val="002C2507"/>
    <w:rsid w:val="002C2E6E"/>
    <w:rsid w:val="002C353A"/>
    <w:rsid w:val="002C55BE"/>
    <w:rsid w:val="002C7927"/>
    <w:rsid w:val="002D1CE6"/>
    <w:rsid w:val="002D41FF"/>
    <w:rsid w:val="002D7053"/>
    <w:rsid w:val="002D7725"/>
    <w:rsid w:val="002E0CC2"/>
    <w:rsid w:val="002E3527"/>
    <w:rsid w:val="002F0ED3"/>
    <w:rsid w:val="002F23C9"/>
    <w:rsid w:val="002F3DE3"/>
    <w:rsid w:val="002F476F"/>
    <w:rsid w:val="002F4A56"/>
    <w:rsid w:val="002F632E"/>
    <w:rsid w:val="00302099"/>
    <w:rsid w:val="003021BC"/>
    <w:rsid w:val="00302E4A"/>
    <w:rsid w:val="00310AF9"/>
    <w:rsid w:val="00310DAA"/>
    <w:rsid w:val="0031465E"/>
    <w:rsid w:val="00315742"/>
    <w:rsid w:val="003163B3"/>
    <w:rsid w:val="00321E4E"/>
    <w:rsid w:val="00322A7A"/>
    <w:rsid w:val="00326C5B"/>
    <w:rsid w:val="0033663D"/>
    <w:rsid w:val="00340777"/>
    <w:rsid w:val="00341DEB"/>
    <w:rsid w:val="00346A3D"/>
    <w:rsid w:val="00350510"/>
    <w:rsid w:val="00350C20"/>
    <w:rsid w:val="00351703"/>
    <w:rsid w:val="0035241C"/>
    <w:rsid w:val="003548FA"/>
    <w:rsid w:val="00355A74"/>
    <w:rsid w:val="00356E57"/>
    <w:rsid w:val="00361427"/>
    <w:rsid w:val="00363702"/>
    <w:rsid w:val="0036458B"/>
    <w:rsid w:val="00365311"/>
    <w:rsid w:val="00371D2F"/>
    <w:rsid w:val="00373122"/>
    <w:rsid w:val="0037612E"/>
    <w:rsid w:val="0038033A"/>
    <w:rsid w:val="003816ED"/>
    <w:rsid w:val="00384161"/>
    <w:rsid w:val="00387610"/>
    <w:rsid w:val="00393949"/>
    <w:rsid w:val="00395C2F"/>
    <w:rsid w:val="003973D3"/>
    <w:rsid w:val="00397F89"/>
    <w:rsid w:val="003A0121"/>
    <w:rsid w:val="003A0892"/>
    <w:rsid w:val="003A2C5A"/>
    <w:rsid w:val="003A3AAC"/>
    <w:rsid w:val="003A422B"/>
    <w:rsid w:val="003A449E"/>
    <w:rsid w:val="003A45C7"/>
    <w:rsid w:val="003A55DE"/>
    <w:rsid w:val="003A71F3"/>
    <w:rsid w:val="003B19F5"/>
    <w:rsid w:val="003B6279"/>
    <w:rsid w:val="003C5246"/>
    <w:rsid w:val="003C6DD5"/>
    <w:rsid w:val="003D0E0A"/>
    <w:rsid w:val="003D3382"/>
    <w:rsid w:val="003D3B22"/>
    <w:rsid w:val="003D7B3D"/>
    <w:rsid w:val="003E167B"/>
    <w:rsid w:val="003E7085"/>
    <w:rsid w:val="003F451E"/>
    <w:rsid w:val="003F4939"/>
    <w:rsid w:val="003F626F"/>
    <w:rsid w:val="00402B32"/>
    <w:rsid w:val="00403854"/>
    <w:rsid w:val="0040519F"/>
    <w:rsid w:val="004062C8"/>
    <w:rsid w:val="0040781E"/>
    <w:rsid w:val="00410C93"/>
    <w:rsid w:val="00411B4A"/>
    <w:rsid w:val="004134DD"/>
    <w:rsid w:val="004171BC"/>
    <w:rsid w:val="00417E99"/>
    <w:rsid w:val="00421507"/>
    <w:rsid w:val="00424D02"/>
    <w:rsid w:val="0042525A"/>
    <w:rsid w:val="0044185A"/>
    <w:rsid w:val="0044193A"/>
    <w:rsid w:val="00453B8F"/>
    <w:rsid w:val="00460489"/>
    <w:rsid w:val="004608C7"/>
    <w:rsid w:val="00462878"/>
    <w:rsid w:val="00465B7A"/>
    <w:rsid w:val="00472AA2"/>
    <w:rsid w:val="00473B39"/>
    <w:rsid w:val="00475FB2"/>
    <w:rsid w:val="00481309"/>
    <w:rsid w:val="004928A2"/>
    <w:rsid w:val="00492F5F"/>
    <w:rsid w:val="004953EC"/>
    <w:rsid w:val="00496154"/>
    <w:rsid w:val="004A0D29"/>
    <w:rsid w:val="004A0DE1"/>
    <w:rsid w:val="004A2410"/>
    <w:rsid w:val="004A27AC"/>
    <w:rsid w:val="004A3995"/>
    <w:rsid w:val="004A6888"/>
    <w:rsid w:val="004B14CD"/>
    <w:rsid w:val="004B550E"/>
    <w:rsid w:val="004B71C1"/>
    <w:rsid w:val="004B77CB"/>
    <w:rsid w:val="004B7A7B"/>
    <w:rsid w:val="004C0866"/>
    <w:rsid w:val="004C1DD0"/>
    <w:rsid w:val="004C2685"/>
    <w:rsid w:val="004C4DBF"/>
    <w:rsid w:val="004C64E4"/>
    <w:rsid w:val="004D0F82"/>
    <w:rsid w:val="004D2334"/>
    <w:rsid w:val="004D3F51"/>
    <w:rsid w:val="004D59DC"/>
    <w:rsid w:val="004E156F"/>
    <w:rsid w:val="004E2177"/>
    <w:rsid w:val="004E4F55"/>
    <w:rsid w:val="004E550E"/>
    <w:rsid w:val="004E55DB"/>
    <w:rsid w:val="004E67C6"/>
    <w:rsid w:val="004F26B0"/>
    <w:rsid w:val="005003FD"/>
    <w:rsid w:val="0050066B"/>
    <w:rsid w:val="00500889"/>
    <w:rsid w:val="0050288A"/>
    <w:rsid w:val="00502B2F"/>
    <w:rsid w:val="00503B7E"/>
    <w:rsid w:val="00512D00"/>
    <w:rsid w:val="00514179"/>
    <w:rsid w:val="00516243"/>
    <w:rsid w:val="005164D4"/>
    <w:rsid w:val="00522582"/>
    <w:rsid w:val="00540E03"/>
    <w:rsid w:val="00541D5F"/>
    <w:rsid w:val="00544BEA"/>
    <w:rsid w:val="005460D5"/>
    <w:rsid w:val="00553CF0"/>
    <w:rsid w:val="00557C75"/>
    <w:rsid w:val="00566A85"/>
    <w:rsid w:val="00570C78"/>
    <w:rsid w:val="00573AE3"/>
    <w:rsid w:val="00574CAA"/>
    <w:rsid w:val="00583690"/>
    <w:rsid w:val="005902D9"/>
    <w:rsid w:val="00596AB7"/>
    <w:rsid w:val="005A1B5C"/>
    <w:rsid w:val="005A1EA7"/>
    <w:rsid w:val="005A39BF"/>
    <w:rsid w:val="005A4019"/>
    <w:rsid w:val="005A4D07"/>
    <w:rsid w:val="005B0724"/>
    <w:rsid w:val="005B1E46"/>
    <w:rsid w:val="005B24EB"/>
    <w:rsid w:val="005B5AA4"/>
    <w:rsid w:val="005C3F4B"/>
    <w:rsid w:val="005C42AC"/>
    <w:rsid w:val="005C4F84"/>
    <w:rsid w:val="005D37D0"/>
    <w:rsid w:val="005D5115"/>
    <w:rsid w:val="005D6B0B"/>
    <w:rsid w:val="005D703E"/>
    <w:rsid w:val="005E35E9"/>
    <w:rsid w:val="005E5525"/>
    <w:rsid w:val="005E7DE4"/>
    <w:rsid w:val="005F1886"/>
    <w:rsid w:val="005F5323"/>
    <w:rsid w:val="0060003E"/>
    <w:rsid w:val="0060315D"/>
    <w:rsid w:val="00613410"/>
    <w:rsid w:val="00617986"/>
    <w:rsid w:val="006256CA"/>
    <w:rsid w:val="00627729"/>
    <w:rsid w:val="00627F21"/>
    <w:rsid w:val="00643011"/>
    <w:rsid w:val="0064449A"/>
    <w:rsid w:val="0064583B"/>
    <w:rsid w:val="00651127"/>
    <w:rsid w:val="0065190C"/>
    <w:rsid w:val="006542F1"/>
    <w:rsid w:val="00654A48"/>
    <w:rsid w:val="0065651B"/>
    <w:rsid w:val="00664607"/>
    <w:rsid w:val="00670089"/>
    <w:rsid w:val="00670C89"/>
    <w:rsid w:val="00671233"/>
    <w:rsid w:val="0067329B"/>
    <w:rsid w:val="006763DC"/>
    <w:rsid w:val="00680AE4"/>
    <w:rsid w:val="00682205"/>
    <w:rsid w:val="00682A83"/>
    <w:rsid w:val="00684E51"/>
    <w:rsid w:val="0068793C"/>
    <w:rsid w:val="006928B0"/>
    <w:rsid w:val="00696D51"/>
    <w:rsid w:val="006A100B"/>
    <w:rsid w:val="006A143A"/>
    <w:rsid w:val="006A18F2"/>
    <w:rsid w:val="006A3285"/>
    <w:rsid w:val="006A4C56"/>
    <w:rsid w:val="006A7F13"/>
    <w:rsid w:val="006B0567"/>
    <w:rsid w:val="006B4535"/>
    <w:rsid w:val="006B72DE"/>
    <w:rsid w:val="006B75CB"/>
    <w:rsid w:val="006C064C"/>
    <w:rsid w:val="006C19B2"/>
    <w:rsid w:val="006C3CC6"/>
    <w:rsid w:val="006C5650"/>
    <w:rsid w:val="006C5FC1"/>
    <w:rsid w:val="006D44E1"/>
    <w:rsid w:val="006D6662"/>
    <w:rsid w:val="006E21FA"/>
    <w:rsid w:val="006E477D"/>
    <w:rsid w:val="006E64E0"/>
    <w:rsid w:val="006E6D5F"/>
    <w:rsid w:val="006F0FB7"/>
    <w:rsid w:val="006F5925"/>
    <w:rsid w:val="006F5E40"/>
    <w:rsid w:val="00704E5D"/>
    <w:rsid w:val="00705739"/>
    <w:rsid w:val="00710AE5"/>
    <w:rsid w:val="00712E83"/>
    <w:rsid w:val="00714BF1"/>
    <w:rsid w:val="00715FB5"/>
    <w:rsid w:val="007171A6"/>
    <w:rsid w:val="0071799D"/>
    <w:rsid w:val="00721093"/>
    <w:rsid w:val="00726088"/>
    <w:rsid w:val="0072620E"/>
    <w:rsid w:val="00730227"/>
    <w:rsid w:val="00730B6A"/>
    <w:rsid w:val="00736D88"/>
    <w:rsid w:val="00736DD2"/>
    <w:rsid w:val="007466A0"/>
    <w:rsid w:val="0074681C"/>
    <w:rsid w:val="00746EC2"/>
    <w:rsid w:val="00753461"/>
    <w:rsid w:val="00763054"/>
    <w:rsid w:val="00771397"/>
    <w:rsid w:val="0077408E"/>
    <w:rsid w:val="00774097"/>
    <w:rsid w:val="00775C81"/>
    <w:rsid w:val="00781AD3"/>
    <w:rsid w:val="00781BFB"/>
    <w:rsid w:val="00786FA7"/>
    <w:rsid w:val="00794382"/>
    <w:rsid w:val="007959AC"/>
    <w:rsid w:val="007A20E0"/>
    <w:rsid w:val="007B2204"/>
    <w:rsid w:val="007B4B60"/>
    <w:rsid w:val="007B56D7"/>
    <w:rsid w:val="007B5BAE"/>
    <w:rsid w:val="007B7278"/>
    <w:rsid w:val="007C6B0F"/>
    <w:rsid w:val="007D6E45"/>
    <w:rsid w:val="007D7586"/>
    <w:rsid w:val="007D7A44"/>
    <w:rsid w:val="007D7E65"/>
    <w:rsid w:val="007E0818"/>
    <w:rsid w:val="007E19E0"/>
    <w:rsid w:val="007F1DE5"/>
    <w:rsid w:val="007F6769"/>
    <w:rsid w:val="007F766B"/>
    <w:rsid w:val="0080395C"/>
    <w:rsid w:val="008041D4"/>
    <w:rsid w:val="00807818"/>
    <w:rsid w:val="00807D8E"/>
    <w:rsid w:val="0081156A"/>
    <w:rsid w:val="00821C98"/>
    <w:rsid w:val="00827398"/>
    <w:rsid w:val="0083653E"/>
    <w:rsid w:val="00842974"/>
    <w:rsid w:val="00842F87"/>
    <w:rsid w:val="00843D2E"/>
    <w:rsid w:val="008500C0"/>
    <w:rsid w:val="0085550A"/>
    <w:rsid w:val="008616EF"/>
    <w:rsid w:val="00863169"/>
    <w:rsid w:val="00863C25"/>
    <w:rsid w:val="008641B7"/>
    <w:rsid w:val="00864D80"/>
    <w:rsid w:val="00864DC1"/>
    <w:rsid w:val="00865233"/>
    <w:rsid w:val="008705BC"/>
    <w:rsid w:val="00871426"/>
    <w:rsid w:val="00871999"/>
    <w:rsid w:val="00872E27"/>
    <w:rsid w:val="00875A42"/>
    <w:rsid w:val="008904A8"/>
    <w:rsid w:val="00891D94"/>
    <w:rsid w:val="008A19AF"/>
    <w:rsid w:val="008A20FB"/>
    <w:rsid w:val="008A434C"/>
    <w:rsid w:val="008A4D88"/>
    <w:rsid w:val="008A5C14"/>
    <w:rsid w:val="008B12F1"/>
    <w:rsid w:val="008B21F4"/>
    <w:rsid w:val="008B3D2C"/>
    <w:rsid w:val="008B76C2"/>
    <w:rsid w:val="008C1B22"/>
    <w:rsid w:val="008C4C84"/>
    <w:rsid w:val="008C510F"/>
    <w:rsid w:val="008C66D6"/>
    <w:rsid w:val="008D067F"/>
    <w:rsid w:val="008D3283"/>
    <w:rsid w:val="008D42E1"/>
    <w:rsid w:val="008E310E"/>
    <w:rsid w:val="008E437B"/>
    <w:rsid w:val="008E4D3F"/>
    <w:rsid w:val="008E66B8"/>
    <w:rsid w:val="008F0A2E"/>
    <w:rsid w:val="008F1988"/>
    <w:rsid w:val="008F2B05"/>
    <w:rsid w:val="008F49CA"/>
    <w:rsid w:val="008F5E76"/>
    <w:rsid w:val="008F6252"/>
    <w:rsid w:val="009023F3"/>
    <w:rsid w:val="0090383C"/>
    <w:rsid w:val="00905D85"/>
    <w:rsid w:val="00912132"/>
    <w:rsid w:val="00913CAA"/>
    <w:rsid w:val="009226D2"/>
    <w:rsid w:val="00922FAD"/>
    <w:rsid w:val="00924F0A"/>
    <w:rsid w:val="00925082"/>
    <w:rsid w:val="00925726"/>
    <w:rsid w:val="0092708B"/>
    <w:rsid w:val="0093049D"/>
    <w:rsid w:val="009351C8"/>
    <w:rsid w:val="00937713"/>
    <w:rsid w:val="0094047B"/>
    <w:rsid w:val="0094162C"/>
    <w:rsid w:val="0094759E"/>
    <w:rsid w:val="00952C13"/>
    <w:rsid w:val="009602B0"/>
    <w:rsid w:val="00962BF1"/>
    <w:rsid w:val="00966820"/>
    <w:rsid w:val="00971539"/>
    <w:rsid w:val="00971E57"/>
    <w:rsid w:val="009723CF"/>
    <w:rsid w:val="00973D3A"/>
    <w:rsid w:val="0097652A"/>
    <w:rsid w:val="00980037"/>
    <w:rsid w:val="0098074A"/>
    <w:rsid w:val="00983B43"/>
    <w:rsid w:val="00984742"/>
    <w:rsid w:val="00991B37"/>
    <w:rsid w:val="009A06A8"/>
    <w:rsid w:val="009B6208"/>
    <w:rsid w:val="009B77D6"/>
    <w:rsid w:val="009C0C4D"/>
    <w:rsid w:val="009C3034"/>
    <w:rsid w:val="009C4BFF"/>
    <w:rsid w:val="009C6689"/>
    <w:rsid w:val="009C7522"/>
    <w:rsid w:val="009D0FDD"/>
    <w:rsid w:val="009D3162"/>
    <w:rsid w:val="009D3181"/>
    <w:rsid w:val="009D7B9B"/>
    <w:rsid w:val="009E717E"/>
    <w:rsid w:val="009E737D"/>
    <w:rsid w:val="009F18FA"/>
    <w:rsid w:val="009F46B6"/>
    <w:rsid w:val="00A03977"/>
    <w:rsid w:val="00A04D0C"/>
    <w:rsid w:val="00A050FC"/>
    <w:rsid w:val="00A109B8"/>
    <w:rsid w:val="00A13DFD"/>
    <w:rsid w:val="00A15FBF"/>
    <w:rsid w:val="00A1616D"/>
    <w:rsid w:val="00A1783B"/>
    <w:rsid w:val="00A23A5F"/>
    <w:rsid w:val="00A24641"/>
    <w:rsid w:val="00A26FF7"/>
    <w:rsid w:val="00A37A20"/>
    <w:rsid w:val="00A41AF8"/>
    <w:rsid w:val="00A422D1"/>
    <w:rsid w:val="00A445DC"/>
    <w:rsid w:val="00A44BEA"/>
    <w:rsid w:val="00A47C22"/>
    <w:rsid w:val="00A53963"/>
    <w:rsid w:val="00A54F3A"/>
    <w:rsid w:val="00A55B14"/>
    <w:rsid w:val="00A5689C"/>
    <w:rsid w:val="00A569E8"/>
    <w:rsid w:val="00A57FAF"/>
    <w:rsid w:val="00A601C4"/>
    <w:rsid w:val="00A61D6E"/>
    <w:rsid w:val="00A620D6"/>
    <w:rsid w:val="00A711C6"/>
    <w:rsid w:val="00A72B2C"/>
    <w:rsid w:val="00A730F3"/>
    <w:rsid w:val="00A84863"/>
    <w:rsid w:val="00A91750"/>
    <w:rsid w:val="00A95D95"/>
    <w:rsid w:val="00A977EC"/>
    <w:rsid w:val="00AA34C4"/>
    <w:rsid w:val="00AA3FD1"/>
    <w:rsid w:val="00AA52DE"/>
    <w:rsid w:val="00AB11B3"/>
    <w:rsid w:val="00AB5ED3"/>
    <w:rsid w:val="00AB62F2"/>
    <w:rsid w:val="00AB6B0C"/>
    <w:rsid w:val="00AB70CD"/>
    <w:rsid w:val="00AB7800"/>
    <w:rsid w:val="00AC1860"/>
    <w:rsid w:val="00AC2C3E"/>
    <w:rsid w:val="00AC4898"/>
    <w:rsid w:val="00AC48B3"/>
    <w:rsid w:val="00AC78CF"/>
    <w:rsid w:val="00AC7AC9"/>
    <w:rsid w:val="00AD2CB4"/>
    <w:rsid w:val="00AD3966"/>
    <w:rsid w:val="00AE1920"/>
    <w:rsid w:val="00AF01B3"/>
    <w:rsid w:val="00AF0F13"/>
    <w:rsid w:val="00AF7992"/>
    <w:rsid w:val="00AF7CDD"/>
    <w:rsid w:val="00B00AB3"/>
    <w:rsid w:val="00B10A48"/>
    <w:rsid w:val="00B14C52"/>
    <w:rsid w:val="00B200AA"/>
    <w:rsid w:val="00B229A5"/>
    <w:rsid w:val="00B2488E"/>
    <w:rsid w:val="00B25EB3"/>
    <w:rsid w:val="00B42056"/>
    <w:rsid w:val="00B43640"/>
    <w:rsid w:val="00B478C3"/>
    <w:rsid w:val="00B52715"/>
    <w:rsid w:val="00B61348"/>
    <w:rsid w:val="00B61898"/>
    <w:rsid w:val="00B6263F"/>
    <w:rsid w:val="00B66997"/>
    <w:rsid w:val="00B67114"/>
    <w:rsid w:val="00B7097C"/>
    <w:rsid w:val="00B75449"/>
    <w:rsid w:val="00B81284"/>
    <w:rsid w:val="00B86DA1"/>
    <w:rsid w:val="00B87401"/>
    <w:rsid w:val="00BA527C"/>
    <w:rsid w:val="00BA7D51"/>
    <w:rsid w:val="00BA7F31"/>
    <w:rsid w:val="00BB59BC"/>
    <w:rsid w:val="00BB6C38"/>
    <w:rsid w:val="00BB7494"/>
    <w:rsid w:val="00BB76A5"/>
    <w:rsid w:val="00BC183F"/>
    <w:rsid w:val="00BC1C37"/>
    <w:rsid w:val="00BC2390"/>
    <w:rsid w:val="00BC38C8"/>
    <w:rsid w:val="00BC775D"/>
    <w:rsid w:val="00BD1D2A"/>
    <w:rsid w:val="00BD5A75"/>
    <w:rsid w:val="00BE07A9"/>
    <w:rsid w:val="00BE1700"/>
    <w:rsid w:val="00BE2E36"/>
    <w:rsid w:val="00BE4D8F"/>
    <w:rsid w:val="00BF0A3E"/>
    <w:rsid w:val="00BF46A7"/>
    <w:rsid w:val="00BF5230"/>
    <w:rsid w:val="00BF6DA8"/>
    <w:rsid w:val="00C00289"/>
    <w:rsid w:val="00C1090C"/>
    <w:rsid w:val="00C201FC"/>
    <w:rsid w:val="00C240C8"/>
    <w:rsid w:val="00C26513"/>
    <w:rsid w:val="00C328C9"/>
    <w:rsid w:val="00C32B95"/>
    <w:rsid w:val="00C339ED"/>
    <w:rsid w:val="00C35BA8"/>
    <w:rsid w:val="00C37F72"/>
    <w:rsid w:val="00C420C1"/>
    <w:rsid w:val="00C43FEE"/>
    <w:rsid w:val="00C44B9A"/>
    <w:rsid w:val="00C45963"/>
    <w:rsid w:val="00C472B8"/>
    <w:rsid w:val="00C50723"/>
    <w:rsid w:val="00C529FD"/>
    <w:rsid w:val="00C53124"/>
    <w:rsid w:val="00C53B2E"/>
    <w:rsid w:val="00C6160A"/>
    <w:rsid w:val="00C65711"/>
    <w:rsid w:val="00C737E4"/>
    <w:rsid w:val="00C750BD"/>
    <w:rsid w:val="00C76ECD"/>
    <w:rsid w:val="00C84B63"/>
    <w:rsid w:val="00C84E04"/>
    <w:rsid w:val="00C857A3"/>
    <w:rsid w:val="00C910BE"/>
    <w:rsid w:val="00C922BE"/>
    <w:rsid w:val="00CA14F4"/>
    <w:rsid w:val="00CA583F"/>
    <w:rsid w:val="00CA5844"/>
    <w:rsid w:val="00CA65EB"/>
    <w:rsid w:val="00CA7415"/>
    <w:rsid w:val="00CB1B67"/>
    <w:rsid w:val="00CB265C"/>
    <w:rsid w:val="00CB32BC"/>
    <w:rsid w:val="00CB4540"/>
    <w:rsid w:val="00CB4951"/>
    <w:rsid w:val="00CB7A07"/>
    <w:rsid w:val="00CC294E"/>
    <w:rsid w:val="00CC59BB"/>
    <w:rsid w:val="00CD1B93"/>
    <w:rsid w:val="00CD3BD4"/>
    <w:rsid w:val="00CD3CC8"/>
    <w:rsid w:val="00CD635D"/>
    <w:rsid w:val="00CD6DEE"/>
    <w:rsid w:val="00CD6E0E"/>
    <w:rsid w:val="00CD7C5B"/>
    <w:rsid w:val="00CD7CED"/>
    <w:rsid w:val="00CE04C7"/>
    <w:rsid w:val="00CE2AFE"/>
    <w:rsid w:val="00CE6617"/>
    <w:rsid w:val="00CF156B"/>
    <w:rsid w:val="00CF1E02"/>
    <w:rsid w:val="00CF4BD6"/>
    <w:rsid w:val="00CF597A"/>
    <w:rsid w:val="00D00DA0"/>
    <w:rsid w:val="00D0103F"/>
    <w:rsid w:val="00D05BAA"/>
    <w:rsid w:val="00D07F26"/>
    <w:rsid w:val="00D11A09"/>
    <w:rsid w:val="00D11BCD"/>
    <w:rsid w:val="00D13448"/>
    <w:rsid w:val="00D13B7A"/>
    <w:rsid w:val="00D17FD1"/>
    <w:rsid w:val="00D22C4B"/>
    <w:rsid w:val="00D230C7"/>
    <w:rsid w:val="00D23E7D"/>
    <w:rsid w:val="00D2405F"/>
    <w:rsid w:val="00D26C71"/>
    <w:rsid w:val="00D30C7F"/>
    <w:rsid w:val="00D32DFB"/>
    <w:rsid w:val="00D41998"/>
    <w:rsid w:val="00D41BA9"/>
    <w:rsid w:val="00D44059"/>
    <w:rsid w:val="00D4511A"/>
    <w:rsid w:val="00D52376"/>
    <w:rsid w:val="00D612C2"/>
    <w:rsid w:val="00D64D38"/>
    <w:rsid w:val="00D745E0"/>
    <w:rsid w:val="00D7529E"/>
    <w:rsid w:val="00D76AA3"/>
    <w:rsid w:val="00D80604"/>
    <w:rsid w:val="00D86529"/>
    <w:rsid w:val="00D86A86"/>
    <w:rsid w:val="00D8791E"/>
    <w:rsid w:val="00D92438"/>
    <w:rsid w:val="00D95CB3"/>
    <w:rsid w:val="00DA0040"/>
    <w:rsid w:val="00DA086B"/>
    <w:rsid w:val="00DA1AE6"/>
    <w:rsid w:val="00DA1D7A"/>
    <w:rsid w:val="00DA5E0A"/>
    <w:rsid w:val="00DA6834"/>
    <w:rsid w:val="00DA7145"/>
    <w:rsid w:val="00DA7E05"/>
    <w:rsid w:val="00DB03DF"/>
    <w:rsid w:val="00DB4794"/>
    <w:rsid w:val="00DB5C3E"/>
    <w:rsid w:val="00DB628E"/>
    <w:rsid w:val="00DC1278"/>
    <w:rsid w:val="00DC4070"/>
    <w:rsid w:val="00DE1DE6"/>
    <w:rsid w:val="00DE1E39"/>
    <w:rsid w:val="00DE513D"/>
    <w:rsid w:val="00DE7828"/>
    <w:rsid w:val="00DF235C"/>
    <w:rsid w:val="00DF3230"/>
    <w:rsid w:val="00DF47D6"/>
    <w:rsid w:val="00DF4D5A"/>
    <w:rsid w:val="00DF5425"/>
    <w:rsid w:val="00DF782C"/>
    <w:rsid w:val="00E0124A"/>
    <w:rsid w:val="00E01C4C"/>
    <w:rsid w:val="00E030A0"/>
    <w:rsid w:val="00E04F16"/>
    <w:rsid w:val="00E052D2"/>
    <w:rsid w:val="00E075A1"/>
    <w:rsid w:val="00E124E3"/>
    <w:rsid w:val="00E12F81"/>
    <w:rsid w:val="00E14812"/>
    <w:rsid w:val="00E15231"/>
    <w:rsid w:val="00E15DDE"/>
    <w:rsid w:val="00E16716"/>
    <w:rsid w:val="00E16813"/>
    <w:rsid w:val="00E2339E"/>
    <w:rsid w:val="00E3245B"/>
    <w:rsid w:val="00E32DCD"/>
    <w:rsid w:val="00E3707B"/>
    <w:rsid w:val="00E44A08"/>
    <w:rsid w:val="00E50685"/>
    <w:rsid w:val="00E5621F"/>
    <w:rsid w:val="00E57F6B"/>
    <w:rsid w:val="00E609CE"/>
    <w:rsid w:val="00E6234F"/>
    <w:rsid w:val="00E66666"/>
    <w:rsid w:val="00E67AC7"/>
    <w:rsid w:val="00E7134F"/>
    <w:rsid w:val="00E7342C"/>
    <w:rsid w:val="00E74098"/>
    <w:rsid w:val="00E75222"/>
    <w:rsid w:val="00E76363"/>
    <w:rsid w:val="00E90BE3"/>
    <w:rsid w:val="00E91C4D"/>
    <w:rsid w:val="00E91D81"/>
    <w:rsid w:val="00E92BC2"/>
    <w:rsid w:val="00E94635"/>
    <w:rsid w:val="00EA010E"/>
    <w:rsid w:val="00EA47FF"/>
    <w:rsid w:val="00EB1E33"/>
    <w:rsid w:val="00EB4DA6"/>
    <w:rsid w:val="00EB7B0A"/>
    <w:rsid w:val="00EC0881"/>
    <w:rsid w:val="00ED0212"/>
    <w:rsid w:val="00ED2843"/>
    <w:rsid w:val="00ED2F55"/>
    <w:rsid w:val="00ED5ED8"/>
    <w:rsid w:val="00EE0C95"/>
    <w:rsid w:val="00EE18F0"/>
    <w:rsid w:val="00EE3F0F"/>
    <w:rsid w:val="00EE41DF"/>
    <w:rsid w:val="00EF0199"/>
    <w:rsid w:val="00EF1C19"/>
    <w:rsid w:val="00EF39F1"/>
    <w:rsid w:val="00EF4C21"/>
    <w:rsid w:val="00EF7B30"/>
    <w:rsid w:val="00F001C5"/>
    <w:rsid w:val="00F0106A"/>
    <w:rsid w:val="00F01165"/>
    <w:rsid w:val="00F07266"/>
    <w:rsid w:val="00F12EC9"/>
    <w:rsid w:val="00F1337C"/>
    <w:rsid w:val="00F16313"/>
    <w:rsid w:val="00F1700E"/>
    <w:rsid w:val="00F20FF1"/>
    <w:rsid w:val="00F2399A"/>
    <w:rsid w:val="00F24317"/>
    <w:rsid w:val="00F26893"/>
    <w:rsid w:val="00F27AC7"/>
    <w:rsid w:val="00F31BA9"/>
    <w:rsid w:val="00F32641"/>
    <w:rsid w:val="00F32CA3"/>
    <w:rsid w:val="00F34974"/>
    <w:rsid w:val="00F35457"/>
    <w:rsid w:val="00F3595B"/>
    <w:rsid w:val="00F367F3"/>
    <w:rsid w:val="00F36A26"/>
    <w:rsid w:val="00F41F54"/>
    <w:rsid w:val="00F426A6"/>
    <w:rsid w:val="00F429FD"/>
    <w:rsid w:val="00F4623C"/>
    <w:rsid w:val="00F54C46"/>
    <w:rsid w:val="00F56399"/>
    <w:rsid w:val="00F577E3"/>
    <w:rsid w:val="00F66812"/>
    <w:rsid w:val="00F746E3"/>
    <w:rsid w:val="00F76E12"/>
    <w:rsid w:val="00F7709C"/>
    <w:rsid w:val="00F7750A"/>
    <w:rsid w:val="00F80006"/>
    <w:rsid w:val="00F80084"/>
    <w:rsid w:val="00F95676"/>
    <w:rsid w:val="00F963E8"/>
    <w:rsid w:val="00F96401"/>
    <w:rsid w:val="00F97ADF"/>
    <w:rsid w:val="00FA3F8B"/>
    <w:rsid w:val="00FA41FA"/>
    <w:rsid w:val="00FA767D"/>
    <w:rsid w:val="00FB5033"/>
    <w:rsid w:val="00FB56EC"/>
    <w:rsid w:val="00FB693B"/>
    <w:rsid w:val="00FB73CC"/>
    <w:rsid w:val="00FC3C96"/>
    <w:rsid w:val="00FD2470"/>
    <w:rsid w:val="00FD5823"/>
    <w:rsid w:val="00FD5A46"/>
    <w:rsid w:val="00FD7BE0"/>
    <w:rsid w:val="00FE18B0"/>
    <w:rsid w:val="00FE1C27"/>
    <w:rsid w:val="00FE5C31"/>
    <w:rsid w:val="00FF1B0E"/>
    <w:rsid w:val="00FF268A"/>
    <w:rsid w:val="00FF748B"/>
    <w:rsid w:val="01E43DC2"/>
    <w:rsid w:val="01ED777F"/>
    <w:rsid w:val="026D53E1"/>
    <w:rsid w:val="02AA0678"/>
    <w:rsid w:val="03B14035"/>
    <w:rsid w:val="03E732A2"/>
    <w:rsid w:val="03E848A0"/>
    <w:rsid w:val="041C1AF7"/>
    <w:rsid w:val="043B595F"/>
    <w:rsid w:val="05276EB1"/>
    <w:rsid w:val="05A61D33"/>
    <w:rsid w:val="05BE5EEC"/>
    <w:rsid w:val="05F73A59"/>
    <w:rsid w:val="06582052"/>
    <w:rsid w:val="07882070"/>
    <w:rsid w:val="07F20B23"/>
    <w:rsid w:val="07F43C78"/>
    <w:rsid w:val="08037F6D"/>
    <w:rsid w:val="08475EE1"/>
    <w:rsid w:val="085552BC"/>
    <w:rsid w:val="08860712"/>
    <w:rsid w:val="09A747C2"/>
    <w:rsid w:val="0A5B698D"/>
    <w:rsid w:val="0ACC0924"/>
    <w:rsid w:val="0AEA201B"/>
    <w:rsid w:val="0B503887"/>
    <w:rsid w:val="0B597F03"/>
    <w:rsid w:val="0B8A631D"/>
    <w:rsid w:val="0BD72AE9"/>
    <w:rsid w:val="0C154F47"/>
    <w:rsid w:val="0C830817"/>
    <w:rsid w:val="0E4323FD"/>
    <w:rsid w:val="0EBE05F4"/>
    <w:rsid w:val="0F0F2379"/>
    <w:rsid w:val="0F871815"/>
    <w:rsid w:val="109A56DE"/>
    <w:rsid w:val="11C15FB3"/>
    <w:rsid w:val="11FA7F03"/>
    <w:rsid w:val="1240365E"/>
    <w:rsid w:val="125E3C98"/>
    <w:rsid w:val="12F1733C"/>
    <w:rsid w:val="13806B2E"/>
    <w:rsid w:val="145F52E4"/>
    <w:rsid w:val="147A5E14"/>
    <w:rsid w:val="14B25F0C"/>
    <w:rsid w:val="15C475B6"/>
    <w:rsid w:val="15CD2BB1"/>
    <w:rsid w:val="163E7375"/>
    <w:rsid w:val="164E1C9D"/>
    <w:rsid w:val="167E0208"/>
    <w:rsid w:val="16B659E3"/>
    <w:rsid w:val="17443EA2"/>
    <w:rsid w:val="18857FAC"/>
    <w:rsid w:val="18ED7A84"/>
    <w:rsid w:val="199338FA"/>
    <w:rsid w:val="19B2321C"/>
    <w:rsid w:val="19BE6EF9"/>
    <w:rsid w:val="19C21732"/>
    <w:rsid w:val="19CE5016"/>
    <w:rsid w:val="1AF34A30"/>
    <w:rsid w:val="1C3D34D5"/>
    <w:rsid w:val="1D6B110C"/>
    <w:rsid w:val="1D8D5C52"/>
    <w:rsid w:val="1DC05D44"/>
    <w:rsid w:val="1E0F1990"/>
    <w:rsid w:val="1E6B2852"/>
    <w:rsid w:val="1E7B67ED"/>
    <w:rsid w:val="1E942AAA"/>
    <w:rsid w:val="1ED46A8D"/>
    <w:rsid w:val="1EF555AE"/>
    <w:rsid w:val="1EFD3E32"/>
    <w:rsid w:val="1F1F627C"/>
    <w:rsid w:val="1F5D14E4"/>
    <w:rsid w:val="1F684893"/>
    <w:rsid w:val="1F961870"/>
    <w:rsid w:val="1FFB0356"/>
    <w:rsid w:val="1FFC6ECC"/>
    <w:rsid w:val="2010188D"/>
    <w:rsid w:val="203E00D6"/>
    <w:rsid w:val="211C3118"/>
    <w:rsid w:val="21592790"/>
    <w:rsid w:val="21836B97"/>
    <w:rsid w:val="21E7608F"/>
    <w:rsid w:val="22491CB1"/>
    <w:rsid w:val="23670545"/>
    <w:rsid w:val="2390321D"/>
    <w:rsid w:val="2490063E"/>
    <w:rsid w:val="24DC7B36"/>
    <w:rsid w:val="25AB7130"/>
    <w:rsid w:val="25D71F13"/>
    <w:rsid w:val="270833D0"/>
    <w:rsid w:val="27FA02C5"/>
    <w:rsid w:val="283C3FE6"/>
    <w:rsid w:val="28B32ECB"/>
    <w:rsid w:val="29061D4F"/>
    <w:rsid w:val="2AA01F44"/>
    <w:rsid w:val="2B554A58"/>
    <w:rsid w:val="2B5B2F53"/>
    <w:rsid w:val="2BB246AF"/>
    <w:rsid w:val="2BDF0B98"/>
    <w:rsid w:val="2BED5FC8"/>
    <w:rsid w:val="2C3D0C7A"/>
    <w:rsid w:val="2C786930"/>
    <w:rsid w:val="2D5D1B88"/>
    <w:rsid w:val="2D625EBA"/>
    <w:rsid w:val="2D741CDD"/>
    <w:rsid w:val="2DAD44B7"/>
    <w:rsid w:val="2DD61F0E"/>
    <w:rsid w:val="2EB85A0C"/>
    <w:rsid w:val="2EBE39F9"/>
    <w:rsid w:val="2F1917A5"/>
    <w:rsid w:val="2FB9221E"/>
    <w:rsid w:val="306670AF"/>
    <w:rsid w:val="306B22DC"/>
    <w:rsid w:val="307937A9"/>
    <w:rsid w:val="307C5A79"/>
    <w:rsid w:val="32BB6B6A"/>
    <w:rsid w:val="33942760"/>
    <w:rsid w:val="339757DF"/>
    <w:rsid w:val="3418422A"/>
    <w:rsid w:val="3472394A"/>
    <w:rsid w:val="34761182"/>
    <w:rsid w:val="34E6283D"/>
    <w:rsid w:val="357D4D24"/>
    <w:rsid w:val="35BE3737"/>
    <w:rsid w:val="3714562C"/>
    <w:rsid w:val="376A584D"/>
    <w:rsid w:val="37B04E97"/>
    <w:rsid w:val="38DB526A"/>
    <w:rsid w:val="3915433B"/>
    <w:rsid w:val="393C1C2B"/>
    <w:rsid w:val="39791DD6"/>
    <w:rsid w:val="39A663B7"/>
    <w:rsid w:val="39BA0CC6"/>
    <w:rsid w:val="3A15756E"/>
    <w:rsid w:val="3A7B5C65"/>
    <w:rsid w:val="3AE21AEF"/>
    <w:rsid w:val="3AF53B39"/>
    <w:rsid w:val="3B356B7F"/>
    <w:rsid w:val="3B6A6842"/>
    <w:rsid w:val="3B9E7C1A"/>
    <w:rsid w:val="3BF52777"/>
    <w:rsid w:val="3C162EA1"/>
    <w:rsid w:val="3C6D7ABE"/>
    <w:rsid w:val="3D257B6D"/>
    <w:rsid w:val="3FE46307"/>
    <w:rsid w:val="408E7D01"/>
    <w:rsid w:val="40B848AC"/>
    <w:rsid w:val="40C56329"/>
    <w:rsid w:val="40FA55F1"/>
    <w:rsid w:val="41E847DD"/>
    <w:rsid w:val="41EB7F7E"/>
    <w:rsid w:val="423B1518"/>
    <w:rsid w:val="4261106B"/>
    <w:rsid w:val="43070AB3"/>
    <w:rsid w:val="434427AB"/>
    <w:rsid w:val="43BE69D2"/>
    <w:rsid w:val="43E621E7"/>
    <w:rsid w:val="43F20F25"/>
    <w:rsid w:val="442B6797"/>
    <w:rsid w:val="443F5E8B"/>
    <w:rsid w:val="44EA15EF"/>
    <w:rsid w:val="45196317"/>
    <w:rsid w:val="4572687D"/>
    <w:rsid w:val="464C4627"/>
    <w:rsid w:val="47062973"/>
    <w:rsid w:val="47AD083A"/>
    <w:rsid w:val="4813281F"/>
    <w:rsid w:val="494D1510"/>
    <w:rsid w:val="49E5244C"/>
    <w:rsid w:val="4B176E70"/>
    <w:rsid w:val="4B2D12E0"/>
    <w:rsid w:val="4B6D5029"/>
    <w:rsid w:val="4BC1664B"/>
    <w:rsid w:val="4BEE2CE5"/>
    <w:rsid w:val="4C623605"/>
    <w:rsid w:val="4CA050D9"/>
    <w:rsid w:val="4CB202AB"/>
    <w:rsid w:val="4EA54F24"/>
    <w:rsid w:val="4EBA24B6"/>
    <w:rsid w:val="4EEE210A"/>
    <w:rsid w:val="4F1C6684"/>
    <w:rsid w:val="4F1D6961"/>
    <w:rsid w:val="4F354991"/>
    <w:rsid w:val="51B86D0A"/>
    <w:rsid w:val="51BD416D"/>
    <w:rsid w:val="51C74E51"/>
    <w:rsid w:val="52083B4B"/>
    <w:rsid w:val="520D3710"/>
    <w:rsid w:val="52D92ACB"/>
    <w:rsid w:val="532200B3"/>
    <w:rsid w:val="53FC6961"/>
    <w:rsid w:val="54A044C2"/>
    <w:rsid w:val="551406DA"/>
    <w:rsid w:val="55526F4F"/>
    <w:rsid w:val="560F7ED3"/>
    <w:rsid w:val="56394A2A"/>
    <w:rsid w:val="56444627"/>
    <w:rsid w:val="56460F3B"/>
    <w:rsid w:val="56C673DE"/>
    <w:rsid w:val="57957521"/>
    <w:rsid w:val="57B32E88"/>
    <w:rsid w:val="57B41E16"/>
    <w:rsid w:val="57BF4619"/>
    <w:rsid w:val="585E7399"/>
    <w:rsid w:val="591C3A60"/>
    <w:rsid w:val="5934515C"/>
    <w:rsid w:val="5A567D0D"/>
    <w:rsid w:val="5A747E1E"/>
    <w:rsid w:val="5A8A40A8"/>
    <w:rsid w:val="5B1E54D1"/>
    <w:rsid w:val="5B3F6AA3"/>
    <w:rsid w:val="5B740392"/>
    <w:rsid w:val="5BC74F3E"/>
    <w:rsid w:val="5BFE33C9"/>
    <w:rsid w:val="5C012A31"/>
    <w:rsid w:val="5D2D5718"/>
    <w:rsid w:val="5DF1463E"/>
    <w:rsid w:val="5E007AEC"/>
    <w:rsid w:val="5E844F66"/>
    <w:rsid w:val="5FE92E95"/>
    <w:rsid w:val="601E5D22"/>
    <w:rsid w:val="61A36CB7"/>
    <w:rsid w:val="62961B18"/>
    <w:rsid w:val="6317585E"/>
    <w:rsid w:val="63255D77"/>
    <w:rsid w:val="63A6467B"/>
    <w:rsid w:val="644A4CFE"/>
    <w:rsid w:val="647E3E5D"/>
    <w:rsid w:val="64821D0C"/>
    <w:rsid w:val="64D3386A"/>
    <w:rsid w:val="65076FC2"/>
    <w:rsid w:val="655D6146"/>
    <w:rsid w:val="65B83050"/>
    <w:rsid w:val="65DB1B3C"/>
    <w:rsid w:val="67041B2F"/>
    <w:rsid w:val="670667A5"/>
    <w:rsid w:val="68054BD7"/>
    <w:rsid w:val="68C205F3"/>
    <w:rsid w:val="68CB6407"/>
    <w:rsid w:val="69D378AE"/>
    <w:rsid w:val="69DE7D78"/>
    <w:rsid w:val="6AD140F3"/>
    <w:rsid w:val="6B0858EE"/>
    <w:rsid w:val="6B4F4706"/>
    <w:rsid w:val="6BA83D4B"/>
    <w:rsid w:val="6C195FBB"/>
    <w:rsid w:val="6C332E0B"/>
    <w:rsid w:val="6D48236F"/>
    <w:rsid w:val="6D681F91"/>
    <w:rsid w:val="6D6E1C17"/>
    <w:rsid w:val="6D7F21B4"/>
    <w:rsid w:val="6DC248ED"/>
    <w:rsid w:val="6E252174"/>
    <w:rsid w:val="6ED24439"/>
    <w:rsid w:val="6F3F45C2"/>
    <w:rsid w:val="6F6B7741"/>
    <w:rsid w:val="6FB71213"/>
    <w:rsid w:val="6FB95AFA"/>
    <w:rsid w:val="6FE969BF"/>
    <w:rsid w:val="71085920"/>
    <w:rsid w:val="72874BD2"/>
    <w:rsid w:val="72FE7B9F"/>
    <w:rsid w:val="741B2627"/>
    <w:rsid w:val="741F3207"/>
    <w:rsid w:val="7465577D"/>
    <w:rsid w:val="7597538D"/>
    <w:rsid w:val="7682446F"/>
    <w:rsid w:val="76AB0D04"/>
    <w:rsid w:val="76C44E03"/>
    <w:rsid w:val="77317430"/>
    <w:rsid w:val="77444B03"/>
    <w:rsid w:val="77B95EEB"/>
    <w:rsid w:val="7807775C"/>
    <w:rsid w:val="789F3DA6"/>
    <w:rsid w:val="78EE0BDE"/>
    <w:rsid w:val="79100F95"/>
    <w:rsid w:val="793C3243"/>
    <w:rsid w:val="795D2413"/>
    <w:rsid w:val="7AFD5EAB"/>
    <w:rsid w:val="7B154D1A"/>
    <w:rsid w:val="7BC22E13"/>
    <w:rsid w:val="7BED58B6"/>
    <w:rsid w:val="7C2E6021"/>
    <w:rsid w:val="7C2F0FDC"/>
    <w:rsid w:val="7CC03541"/>
    <w:rsid w:val="7D630E9D"/>
    <w:rsid w:val="7E6724F3"/>
    <w:rsid w:val="7E8916D4"/>
    <w:rsid w:val="7EAE000A"/>
    <w:rsid w:val="7EC3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67"/>
    <w:qFormat/>
    <w:uiPriority w:val="0"/>
    <w:pPr>
      <w:keepNext/>
      <w:snapToGrid w:val="0"/>
      <w:spacing w:line="360" w:lineRule="atLeast"/>
      <w:outlineLvl w:val="0"/>
    </w:pPr>
    <w:rPr>
      <w:rFonts w:ascii="宋体"/>
      <w:kern w:val="0"/>
      <w:sz w:val="20"/>
    </w:rPr>
  </w:style>
  <w:style w:type="paragraph" w:styleId="4">
    <w:name w:val="heading 2"/>
    <w:basedOn w:val="1"/>
    <w:next w:val="1"/>
    <w:link w:val="68"/>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69"/>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360" w:lineRule="auto"/>
      <w:ind w:firstLine="420"/>
    </w:pPr>
    <w:rPr>
      <w:sz w:val="24"/>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0"/>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2"/>
    <w:qFormat/>
    <w:uiPriority w:val="0"/>
  </w:style>
  <w:style w:type="paragraph" w:styleId="33">
    <w:name w:val="Body Text Indent 2"/>
    <w:basedOn w:val="1"/>
    <w:link w:val="73"/>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5"/>
    <w:qFormat/>
    <w:uiPriority w:val="0"/>
    <w:pPr>
      <w:adjustRightInd/>
      <w:spacing w:line="240" w:lineRule="auto"/>
      <w:textAlignment w:val="auto"/>
    </w:pPr>
  </w:style>
  <w:style w:type="paragraph" w:styleId="55">
    <w:name w:val="Body Text First Indent"/>
    <w:basedOn w:val="22"/>
    <w:next w:val="1"/>
    <w:qFormat/>
    <w:uiPriority w:val="0"/>
    <w:pPr>
      <w:spacing w:line="360" w:lineRule="auto"/>
      <w:ind w:firstLine="420"/>
    </w:pPr>
    <w:rPr>
      <w:rFonts w:ascii="宋体" w:hAnsi="宋体"/>
      <w:sz w:val="24"/>
    </w:rPr>
  </w:style>
  <w:style w:type="paragraph" w:styleId="56">
    <w:name w:val="Body Text First Indent 2"/>
    <w:basedOn w:val="23"/>
    <w:link w:val="76"/>
    <w:qFormat/>
    <w:uiPriority w:val="0"/>
    <w:pPr>
      <w:spacing w:after="120" w:line="240" w:lineRule="auto"/>
      <w:ind w:left="420" w:leftChars="200" w:firstLine="420" w:firstLineChars="200"/>
    </w:pPr>
  </w:style>
  <w:style w:type="table" w:styleId="58">
    <w:name w:val="Table Grid"/>
    <w:basedOn w:val="5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1 字符"/>
    <w:link w:val="3"/>
    <w:qFormat/>
    <w:uiPriority w:val="0"/>
    <w:rPr>
      <w:rFonts w:ascii="宋体"/>
    </w:rPr>
  </w:style>
  <w:style w:type="character" w:customStyle="1" w:styleId="68">
    <w:name w:val="标题 2 字符"/>
    <w:link w:val="4"/>
    <w:qFormat/>
    <w:uiPriority w:val="0"/>
    <w:rPr>
      <w:rFonts w:ascii="Arial" w:hAnsi="Arial" w:eastAsia="黑体"/>
      <w:b/>
      <w:kern w:val="2"/>
      <w:sz w:val="32"/>
    </w:rPr>
  </w:style>
  <w:style w:type="character" w:customStyle="1" w:styleId="69">
    <w:name w:val="标题 3 字符"/>
    <w:link w:val="5"/>
    <w:qFormat/>
    <w:uiPriority w:val="0"/>
    <w:rPr>
      <w:rFonts w:eastAsia="宋体"/>
      <w:b/>
      <w:kern w:val="2"/>
      <w:sz w:val="32"/>
      <w:lang w:val="en-US" w:eastAsia="zh-CN"/>
    </w:rPr>
  </w:style>
  <w:style w:type="character" w:customStyle="1" w:styleId="70">
    <w:name w:val="批注文字 字符"/>
    <w:link w:val="19"/>
    <w:qFormat/>
    <w:uiPriority w:val="0"/>
    <w:rPr>
      <w:sz w:val="24"/>
    </w:rPr>
  </w:style>
  <w:style w:type="character" w:customStyle="1" w:styleId="71">
    <w:name w:val="正文文本缩进 字符"/>
    <w:link w:val="23"/>
    <w:qFormat/>
    <w:uiPriority w:val="0"/>
    <w:rPr>
      <w:kern w:val="2"/>
      <w:sz w:val="44"/>
    </w:rPr>
  </w:style>
  <w:style w:type="character" w:customStyle="1" w:styleId="72">
    <w:name w:val="日期 字符"/>
    <w:link w:val="32"/>
    <w:qFormat/>
    <w:uiPriority w:val="0"/>
    <w:rPr>
      <w:kern w:val="2"/>
      <w:sz w:val="28"/>
    </w:rPr>
  </w:style>
  <w:style w:type="character" w:customStyle="1" w:styleId="73">
    <w:name w:val="正文文本缩进 2 字符"/>
    <w:link w:val="33"/>
    <w:qFormat/>
    <w:uiPriority w:val="0"/>
    <w:rPr>
      <w:kern w:val="2"/>
      <w:sz w:val="28"/>
    </w:rPr>
  </w:style>
  <w:style w:type="character" w:customStyle="1" w:styleId="74">
    <w:name w:val="脚注文本 字符"/>
    <w:link w:val="40"/>
    <w:qFormat/>
    <w:uiPriority w:val="0"/>
    <w:rPr>
      <w:kern w:val="2"/>
      <w:sz w:val="18"/>
    </w:rPr>
  </w:style>
  <w:style w:type="character" w:customStyle="1" w:styleId="75">
    <w:name w:val="批注主题 字符"/>
    <w:link w:val="54"/>
    <w:qFormat/>
    <w:uiPriority w:val="0"/>
  </w:style>
  <w:style w:type="character" w:customStyle="1" w:styleId="76">
    <w:name w:val="正文文本首行缩进 2 字符"/>
    <w:link w:val="56"/>
    <w:qFormat/>
    <w:uiPriority w:val="0"/>
  </w:style>
  <w:style w:type="paragraph" w:customStyle="1" w:styleId="77">
    <w:name w:val="BodyText"/>
    <w:basedOn w:val="1"/>
    <w:next w:val="78"/>
    <w:qFormat/>
    <w:uiPriority w:val="0"/>
    <w:pPr>
      <w:textAlignment w:val="baseline"/>
    </w:pPr>
    <w:rPr>
      <w:rFonts w:ascii="仿宋_GB2312" w:eastAsia="仿宋_GB2312"/>
      <w:sz w:val="32"/>
    </w:rPr>
  </w:style>
  <w:style w:type="paragraph" w:customStyle="1" w:styleId="78">
    <w:name w:val="BodyTextIndent"/>
    <w:basedOn w:val="1"/>
    <w:qFormat/>
    <w:uiPriority w:val="0"/>
    <w:pPr>
      <w:spacing w:line="700" w:lineRule="exact"/>
      <w:ind w:left="960"/>
      <w:textAlignment w:val="baseline"/>
    </w:pPr>
    <w:rPr>
      <w:sz w:val="44"/>
    </w:rPr>
  </w:style>
  <w:style w:type="character" w:customStyle="1" w:styleId="79">
    <w:name w:val="标书正文:  0.74 厘米 Char1"/>
    <w:qFormat/>
    <w:uiPriority w:val="0"/>
    <w:rPr>
      <w:rFonts w:eastAsia="宋体"/>
      <w:kern w:val="2"/>
      <w:sz w:val="24"/>
      <w:lang w:val="en-US" w:eastAsia="zh-CN"/>
    </w:rPr>
  </w:style>
  <w:style w:type="character" w:customStyle="1" w:styleId="80">
    <w:name w:val="UserStyle_34"/>
    <w:qFormat/>
    <w:uiPriority w:val="0"/>
    <w:rPr>
      <w:rFonts w:ascii="楷体_GB2312" w:eastAsia="楷体_GB2312"/>
      <w:sz w:val="28"/>
      <w:szCs w:val="28"/>
    </w:rPr>
  </w:style>
  <w:style w:type="character" w:customStyle="1" w:styleId="81">
    <w:name w:val="title_emph1"/>
    <w:qFormat/>
    <w:uiPriority w:val="0"/>
    <w:rPr>
      <w:rFonts w:hint="default" w:ascii="Arial" w:hAnsi="Arial"/>
      <w:b/>
      <w:sz w:val="20"/>
    </w:rPr>
  </w:style>
  <w:style w:type="character" w:customStyle="1" w:styleId="82">
    <w:name w:val="UserStyle_74"/>
    <w:semiHidden/>
    <w:qFormat/>
    <w:uiPriority w:val="0"/>
    <w:rPr>
      <w:kern w:val="2"/>
      <w:sz w:val="28"/>
      <w:lang w:val="en-US" w:eastAsia="zh-CN" w:bidi="ar-SA"/>
    </w:rPr>
  </w:style>
  <w:style w:type="character" w:customStyle="1" w:styleId="83">
    <w:name w:val="UserStyle_39"/>
    <w:qFormat/>
    <w:uiPriority w:val="0"/>
    <w:rPr>
      <w:rFonts w:ascii="宋体" w:hAnsi="宋体" w:eastAsia="宋体"/>
      <w:sz w:val="18"/>
      <w:szCs w:val="18"/>
    </w:rPr>
  </w:style>
  <w:style w:type="character" w:customStyle="1" w:styleId="84">
    <w:name w:val="Table Text Char Char Char Char"/>
    <w:link w:val="85"/>
    <w:qFormat/>
    <w:uiPriority w:val="0"/>
    <w:rPr>
      <w:rFonts w:ascii="Arial" w:hAnsi="Arial"/>
      <w:kern w:val="2"/>
      <w:sz w:val="18"/>
      <w:lang w:val="en-US" w:eastAsia="zh-CN" w:bidi="ar-SA"/>
    </w:rPr>
  </w:style>
  <w:style w:type="paragraph" w:customStyle="1" w:styleId="85">
    <w:name w:val="Table Text Char Char Char"/>
    <w:link w:val="84"/>
    <w:qFormat/>
    <w:uiPriority w:val="0"/>
    <w:pPr>
      <w:snapToGrid w:val="0"/>
      <w:spacing w:before="80" w:after="80"/>
    </w:pPr>
    <w:rPr>
      <w:rFonts w:ascii="Arial" w:hAnsi="Arial" w:eastAsia="宋体" w:cs="Times New Roman"/>
      <w:kern w:val="2"/>
      <w:sz w:val="18"/>
      <w:lang w:val="en-US" w:eastAsia="zh-CN" w:bidi="ar-SA"/>
    </w:rPr>
  </w:style>
  <w:style w:type="character" w:customStyle="1" w:styleId="86">
    <w:name w:val="文字 Char"/>
    <w:link w:val="87"/>
    <w:qFormat/>
    <w:uiPriority w:val="0"/>
    <w:rPr>
      <w:rFonts w:ascii="宋体"/>
      <w:kern w:val="2"/>
      <w:sz w:val="28"/>
    </w:rPr>
  </w:style>
  <w:style w:type="paragraph" w:customStyle="1" w:styleId="87">
    <w:name w:val="文字"/>
    <w:basedOn w:val="1"/>
    <w:link w:val="86"/>
    <w:qFormat/>
    <w:uiPriority w:val="0"/>
    <w:pPr>
      <w:tabs>
        <w:tab w:val="left" w:pos="8520"/>
      </w:tabs>
      <w:spacing w:line="312" w:lineRule="auto"/>
      <w:ind w:right="-210" w:firstLine="556"/>
    </w:pPr>
    <w:rPr>
      <w:rFonts w:ascii="宋体"/>
    </w:rPr>
  </w:style>
  <w:style w:type="character" w:customStyle="1" w:styleId="88">
    <w:name w:val="Char Char3"/>
    <w:qFormat/>
    <w:uiPriority w:val="0"/>
    <w:rPr>
      <w:rFonts w:eastAsia="宋体"/>
      <w:kern w:val="2"/>
      <w:sz w:val="18"/>
      <w:lang w:val="en-US" w:eastAsia="zh-CN"/>
    </w:rPr>
  </w:style>
  <w:style w:type="character" w:customStyle="1" w:styleId="89">
    <w:name w:val="未命名11"/>
    <w:qFormat/>
    <w:uiPriority w:val="0"/>
    <w:rPr>
      <w:color w:val="77FFFF"/>
      <w:sz w:val="24"/>
    </w:rPr>
  </w:style>
  <w:style w:type="character" w:customStyle="1" w:styleId="90">
    <w:name w:val="Char Char4"/>
    <w:qFormat/>
    <w:uiPriority w:val="0"/>
    <w:rPr>
      <w:rFonts w:eastAsia="宋体"/>
      <w:b/>
      <w:kern w:val="2"/>
      <w:sz w:val="21"/>
      <w:lang w:val="en-US" w:eastAsia="zh-CN"/>
    </w:rPr>
  </w:style>
  <w:style w:type="character" w:customStyle="1" w:styleId="91">
    <w:name w:val="Char Char2"/>
    <w:qFormat/>
    <w:uiPriority w:val="0"/>
    <w:rPr>
      <w:rFonts w:eastAsia="宋体"/>
      <w:kern w:val="2"/>
      <w:sz w:val="18"/>
      <w:lang w:val="en-US" w:eastAsia="zh-CN"/>
    </w:rPr>
  </w:style>
  <w:style w:type="character" w:customStyle="1" w:styleId="92">
    <w:name w:val="crowed11"/>
    <w:qFormat/>
    <w:uiPriority w:val="0"/>
    <w:rPr>
      <w:rFonts w:hint="default" w:ascii="_x000B__x000C_" w:hAnsi="_x000B__x000C_"/>
      <w:sz w:val="24"/>
    </w:rPr>
  </w:style>
  <w:style w:type="character" w:customStyle="1" w:styleId="93">
    <w:name w:val="top-det1"/>
    <w:qFormat/>
    <w:uiPriority w:val="0"/>
    <w:rPr>
      <w:b/>
      <w:color w:val="000000"/>
    </w:rPr>
  </w:style>
  <w:style w:type="character" w:customStyle="1" w:styleId="94">
    <w:name w:val="H2 Char"/>
    <w:qFormat/>
    <w:uiPriority w:val="0"/>
    <w:rPr>
      <w:rFonts w:ascii="Arial" w:hAnsi="Arial" w:eastAsia="宋体"/>
      <w:kern w:val="2"/>
      <w:sz w:val="28"/>
      <w:lang w:val="en-US" w:eastAsia="zh-CN"/>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har Char"/>
    <w:qFormat/>
    <w:uiPriority w:val="0"/>
    <w:rPr>
      <w:rFonts w:ascii="宋体" w:hAnsi="宋体" w:eastAsia="宋体"/>
      <w:kern w:val="2"/>
      <w:sz w:val="24"/>
      <w:lang w:val="en-US" w:eastAsia="zh-CN" w:bidi="ar-SA"/>
    </w:rPr>
  </w:style>
  <w:style w:type="character" w:customStyle="1" w:styleId="98">
    <w:name w:val="UserStyle_21"/>
    <w:link w:val="99"/>
    <w:qFormat/>
    <w:uiPriority w:val="0"/>
    <w:rPr>
      <w:b/>
      <w:kern w:val="2"/>
      <w:sz w:val="32"/>
    </w:rPr>
  </w:style>
  <w:style w:type="paragraph" w:customStyle="1" w:styleId="99">
    <w:name w:val="Heading3"/>
    <w:basedOn w:val="1"/>
    <w:next w:val="1"/>
    <w:link w:val="98"/>
    <w:qFormat/>
    <w:uiPriority w:val="0"/>
    <w:pPr>
      <w:keepNext/>
      <w:keepLines/>
      <w:spacing w:before="260" w:after="260" w:line="413" w:lineRule="auto"/>
    </w:pPr>
    <w:rPr>
      <w:b/>
      <w:sz w:val="32"/>
    </w:rPr>
  </w:style>
  <w:style w:type="character" w:customStyle="1" w:styleId="100">
    <w:name w:val="Char Char7"/>
    <w:qFormat/>
    <w:uiPriority w:val="0"/>
    <w:rPr>
      <w:rFonts w:ascii="宋体" w:hAnsi="宋体" w:eastAsia="宋体"/>
      <w:kern w:val="2"/>
      <w:sz w:val="28"/>
    </w:rPr>
  </w:style>
  <w:style w:type="character" w:customStyle="1" w:styleId="101">
    <w:name w:val="Char Char6"/>
    <w:qFormat/>
    <w:uiPriority w:val="0"/>
    <w:rPr>
      <w:rFonts w:ascii="仿宋_GB2312" w:eastAsia="仿宋_GB2312"/>
      <w:kern w:val="2"/>
      <w:sz w:val="32"/>
    </w:rPr>
  </w:style>
  <w:style w:type="character" w:customStyle="1" w:styleId="102">
    <w:name w:val="正文 + 三号 Char"/>
    <w:qFormat/>
    <w:uiPriority w:val="0"/>
    <w:rPr>
      <w:rFonts w:eastAsia="宋体"/>
      <w:kern w:val="2"/>
      <w:sz w:val="21"/>
      <w:lang w:val="en-US" w:eastAsia="zh-CN"/>
    </w:rPr>
  </w:style>
  <w:style w:type="character" w:customStyle="1" w:styleId="103">
    <w:name w:val="NormalCharacter"/>
    <w:qFormat/>
    <w:uiPriority w:val="0"/>
  </w:style>
  <w:style w:type="character" w:customStyle="1" w:styleId="104">
    <w:name w:val="Table Text Char"/>
    <w:link w:val="105"/>
    <w:qFormat/>
    <w:uiPriority w:val="0"/>
    <w:rPr>
      <w:rFonts w:ascii="Arial" w:hAnsi="Arial"/>
      <w:kern w:val="2"/>
      <w:sz w:val="18"/>
      <w:lang w:val="en-US" w:eastAsia="zh-CN" w:bidi="ar-SA"/>
    </w:rPr>
  </w:style>
  <w:style w:type="paragraph" w:customStyle="1" w:styleId="105">
    <w:name w:val="Table Text"/>
    <w:link w:val="104"/>
    <w:qFormat/>
    <w:uiPriority w:val="0"/>
    <w:pPr>
      <w:snapToGrid w:val="0"/>
      <w:spacing w:before="80" w:after="80"/>
    </w:pPr>
    <w:rPr>
      <w:rFonts w:ascii="Arial" w:hAnsi="Arial" w:eastAsia="宋体" w:cs="Times New Roman"/>
      <w:kern w:val="2"/>
      <w:sz w:val="18"/>
      <w:lang w:val="en-US" w:eastAsia="zh-CN" w:bidi="ar-SA"/>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Char Char11"/>
    <w:qFormat/>
    <w:uiPriority w:val="0"/>
    <w:rPr>
      <w:rFonts w:ascii="宋体"/>
      <w:kern w:val="2"/>
      <w:sz w:val="28"/>
    </w:rPr>
  </w:style>
  <w:style w:type="character" w:customStyle="1" w:styleId="108">
    <w:name w:val="样式 宋体"/>
    <w:qFormat/>
    <w:uiPriority w:val="0"/>
    <w:rPr>
      <w:rFonts w:ascii="宋体" w:hAnsi="宋体" w:eastAsia="宋体"/>
      <w:sz w:val="28"/>
    </w:rPr>
  </w:style>
  <w:style w:type="character" w:customStyle="1" w:styleId="109">
    <w:name w:val="content-white1"/>
    <w:qFormat/>
    <w:uiPriority w:val="0"/>
    <w:rPr>
      <w:rFonts w:ascii="_x000B__x000C_" w:hAnsi="_x000B__x000C_"/>
      <w:color w:val="auto"/>
      <w:sz w:val="18"/>
      <w:u w:val="none"/>
    </w:rPr>
  </w:style>
  <w:style w:type="character" w:customStyle="1" w:styleId="110">
    <w:name w:val="v151"/>
    <w:qFormat/>
    <w:uiPriority w:val="0"/>
    <w:rPr>
      <w:sz w:val="18"/>
    </w:rPr>
  </w:style>
  <w:style w:type="character" w:customStyle="1" w:styleId="111">
    <w:name w:val="font1"/>
    <w:qFormat/>
    <w:uiPriority w:val="0"/>
    <w:rPr>
      <w:color w:val="000000"/>
      <w:sz w:val="18"/>
    </w:rPr>
  </w:style>
  <w:style w:type="character" w:customStyle="1" w:styleId="112">
    <w:name w:val="ca-11"/>
    <w:qFormat/>
    <w:uiPriority w:val="0"/>
    <w:rPr>
      <w:rFonts w:hint="eastAsia" w:ascii="楷体_GB2312" w:eastAsia="楷体_GB2312"/>
      <w:sz w:val="28"/>
      <w:szCs w:val="28"/>
    </w:rPr>
  </w:style>
  <w:style w:type="character" w:customStyle="1" w:styleId="113">
    <w:name w:val="Table Heading Char Char"/>
    <w:qFormat/>
    <w:uiPriority w:val="0"/>
    <w:rPr>
      <w:rFonts w:ascii="Arial" w:hAnsi="Arial" w:eastAsia="黑体"/>
      <w:kern w:val="2"/>
      <w:sz w:val="18"/>
      <w:lang w:val="en-US" w:eastAsia="zh-CN"/>
    </w:rPr>
  </w:style>
  <w:style w:type="paragraph" w:customStyle="1" w:styleId="114">
    <w:name w:val="样式 宋体 五号 行距: 单倍行距"/>
    <w:basedOn w:val="1"/>
    <w:qFormat/>
    <w:uiPriority w:val="0"/>
    <w:pPr>
      <w:adjustRightInd w:val="0"/>
      <w:jc w:val="left"/>
    </w:pPr>
    <w:rPr>
      <w:rFonts w:ascii="宋体" w:hAnsi="宋体"/>
      <w:kern w:val="0"/>
      <w:sz w:val="21"/>
    </w:rPr>
  </w:style>
  <w:style w:type="paragraph" w:customStyle="1" w:styleId="115">
    <w:name w:val="Char Char Char Char Char Char Char"/>
    <w:basedOn w:val="1"/>
    <w:qFormat/>
    <w:uiPriority w:val="0"/>
    <w:rPr>
      <w:rFonts w:ascii="Tahoma" w:hAnsi="Tahoma"/>
      <w:sz w:val="24"/>
    </w:rPr>
  </w:style>
  <w:style w:type="paragraph" w:customStyle="1" w:styleId="116">
    <w:name w:val="样式1xz"/>
    <w:basedOn w:val="1"/>
    <w:qFormat/>
    <w:uiPriority w:val="0"/>
    <w:pPr>
      <w:tabs>
        <w:tab w:val="left" w:pos="1050"/>
        <w:tab w:val="right" w:leader="dot" w:pos="8296"/>
      </w:tabs>
    </w:pPr>
    <w:rPr>
      <w:caps/>
      <w:spacing w:val="20"/>
      <w:sz w:val="24"/>
    </w:rPr>
  </w:style>
  <w:style w:type="paragraph" w:customStyle="1" w:styleId="11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8">
    <w:name w:val="表头样式"/>
    <w:basedOn w:val="1"/>
    <w:qFormat/>
    <w:uiPriority w:val="0"/>
    <w:pPr>
      <w:autoSpaceDE w:val="0"/>
      <w:autoSpaceDN w:val="0"/>
      <w:adjustRightInd w:val="0"/>
      <w:spacing w:line="360" w:lineRule="auto"/>
      <w:jc w:val="left"/>
    </w:pPr>
    <w:rPr>
      <w:b/>
      <w:kern w:val="0"/>
      <w:sz w:val="21"/>
    </w:rPr>
  </w:style>
  <w:style w:type="paragraph" w:customStyle="1" w:styleId="119">
    <w:name w:val="正文文本缩进 21"/>
    <w:basedOn w:val="1"/>
    <w:qFormat/>
    <w:uiPriority w:val="0"/>
    <w:pPr>
      <w:adjustRightInd w:val="0"/>
      <w:spacing w:before="120"/>
      <w:ind w:firstLine="420"/>
      <w:textAlignment w:val="baseline"/>
    </w:pPr>
    <w:rPr>
      <w:sz w:val="24"/>
    </w:rPr>
  </w:style>
  <w:style w:type="paragraph" w:customStyle="1" w:styleId="12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1">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2">
    <w:name w:val="正文字缩2字"/>
    <w:basedOn w:val="1"/>
    <w:qFormat/>
    <w:uiPriority w:val="0"/>
    <w:pPr>
      <w:spacing w:before="60" w:after="60" w:line="360" w:lineRule="auto"/>
      <w:ind w:left="200" w:leftChars="200" w:firstLine="200" w:firstLineChars="200"/>
    </w:pPr>
    <w:rPr>
      <w:sz w:val="24"/>
    </w:rPr>
  </w:style>
  <w:style w:type="paragraph" w:customStyle="1" w:styleId="123">
    <w:name w:val="Char Char 字元 字元 字元 Char Char Char Char"/>
    <w:basedOn w:val="1"/>
    <w:qFormat/>
    <w:uiPriority w:val="0"/>
    <w:pPr>
      <w:adjustRightInd w:val="0"/>
      <w:spacing w:line="360" w:lineRule="auto"/>
    </w:pPr>
    <w:rPr>
      <w:kern w:val="0"/>
      <w:sz w:val="24"/>
    </w:rPr>
  </w:style>
  <w:style w:type="paragraph" w:customStyle="1" w:styleId="12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5">
    <w:name w:val="标题3——2"/>
    <w:basedOn w:val="5"/>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2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27">
    <w:name w:val="样式 正文缩进正文（首行缩进两字）表正文正文非缩进特点标题4段1 + 首行缩进:  2 字符"/>
    <w:basedOn w:val="2"/>
    <w:qFormat/>
    <w:uiPriority w:val="0"/>
    <w:pPr>
      <w:ind w:firstLine="480" w:firstLineChars="200"/>
    </w:pPr>
  </w:style>
  <w:style w:type="paragraph" w:customStyle="1" w:styleId="128">
    <w:name w:val="可研正文"/>
    <w:basedOn w:val="22"/>
    <w:qFormat/>
    <w:uiPriority w:val="0"/>
    <w:pPr>
      <w:adjustRightInd w:val="0"/>
      <w:snapToGrid w:val="0"/>
      <w:spacing w:line="440" w:lineRule="exact"/>
      <w:ind w:firstLine="567"/>
    </w:pPr>
    <w:rPr>
      <w:sz w:val="28"/>
    </w:rPr>
  </w:style>
  <w:style w:type="paragraph" w:customStyle="1" w:styleId="12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30">
    <w:name w:val="正文 A"/>
    <w:qFormat/>
    <w:uiPriority w:val="0"/>
    <w:pPr>
      <w:widowControl w:val="0"/>
      <w:jc w:val="both"/>
    </w:pPr>
    <w:rPr>
      <w:rFonts w:ascii="Times New Roman" w:hAnsi="Times New Roman" w:eastAsia="宋体" w:cs="Arial Unicode MS"/>
      <w:color w:val="000000"/>
      <w:kern w:val="2"/>
      <w:sz w:val="21"/>
      <w:szCs w:val="21"/>
      <w:lang w:val="en-US" w:eastAsia="zh-CN" w:bidi="ar-SA"/>
    </w:rPr>
  </w:style>
  <w:style w:type="paragraph" w:customStyle="1" w:styleId="13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3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3">
    <w:name w:val="IN Feature"/>
    <w:next w:val="13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38">
    <w:name w:val="1"/>
    <w:basedOn w:val="1"/>
    <w:next w:val="30"/>
    <w:qFormat/>
    <w:uiPriority w:val="0"/>
    <w:rPr>
      <w:rFonts w:ascii="宋体" w:hAnsi="Courier New"/>
      <w:sz w:val="21"/>
    </w:rPr>
  </w:style>
  <w:style w:type="paragraph" w:customStyle="1" w:styleId="139">
    <w:name w:val="Char Char14 Char Char"/>
    <w:basedOn w:val="1"/>
    <w:qFormat/>
    <w:uiPriority w:val="0"/>
    <w:rPr>
      <w:sz w:val="21"/>
      <w:szCs w:val="24"/>
    </w:rPr>
  </w:style>
  <w:style w:type="paragraph" w:customStyle="1" w:styleId="14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1">
    <w:name w:val="Char Char Char Char Char Char Char Char Char Char Char Char Char Char Char Char"/>
    <w:basedOn w:val="1"/>
    <w:qFormat/>
    <w:uiPriority w:val="0"/>
    <w:pPr>
      <w:tabs>
        <w:tab w:val="left" w:pos="360"/>
      </w:tabs>
    </w:pPr>
    <w:rPr>
      <w:sz w:val="24"/>
    </w:rPr>
  </w:style>
  <w:style w:type="paragraph" w:customStyle="1" w:styleId="142">
    <w:name w:val="表格内文字"/>
    <w:basedOn w:val="30"/>
    <w:qFormat/>
    <w:uiPriority w:val="0"/>
    <w:pPr>
      <w:adjustRightInd w:val="0"/>
    </w:pPr>
    <w:rPr>
      <w:color w:val="000000"/>
      <w:lang w:val="en-GB"/>
    </w:rPr>
  </w:style>
  <w:style w:type="paragraph" w:customStyle="1" w:styleId="14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44">
    <w:name w:val="图片文字"/>
    <w:basedOn w:val="1"/>
    <w:qFormat/>
    <w:uiPriority w:val="0"/>
    <w:pPr>
      <w:spacing w:line="240" w:lineRule="atLeast"/>
      <w:jc w:val="center"/>
    </w:pPr>
    <w:rPr>
      <w:sz w:val="21"/>
    </w:rPr>
  </w:style>
  <w:style w:type="paragraph" w:customStyle="1" w:styleId="145">
    <w:name w:val="样式 行距: 1.5 倍行距1"/>
    <w:basedOn w:val="1"/>
    <w:qFormat/>
    <w:uiPriority w:val="0"/>
    <w:pPr>
      <w:snapToGrid w:val="0"/>
    </w:pPr>
    <w:rPr>
      <w:sz w:val="21"/>
    </w:rPr>
  </w:style>
  <w:style w:type="paragraph" w:customStyle="1" w:styleId="14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7">
    <w:name w:val="Char Char Char"/>
    <w:basedOn w:val="1"/>
    <w:qFormat/>
    <w:uiPriority w:val="0"/>
    <w:rPr>
      <w:rFonts w:ascii="Tahoma" w:hAnsi="Tahoma"/>
      <w:sz w:val="24"/>
    </w:rPr>
  </w:style>
  <w:style w:type="paragraph" w:customStyle="1" w:styleId="148">
    <w:name w:val="表格文本"/>
    <w:qFormat/>
    <w:uiPriority w:val="0"/>
    <w:pPr>
      <w:tabs>
        <w:tab w:val="decimal" w:pos="0"/>
      </w:tabs>
    </w:pPr>
    <w:rPr>
      <w:rFonts w:ascii="Arial" w:hAnsi="Arial" w:eastAsia="宋体" w:cs="Times New Roman"/>
      <w:sz w:val="21"/>
      <w:lang w:val="en-US" w:eastAsia="zh-CN" w:bidi="ar-SA"/>
    </w:rPr>
  </w:style>
  <w:style w:type="paragraph" w:customStyle="1" w:styleId="149">
    <w:name w:val="默认段落字体 Para Char Char Char Char Char Char Char"/>
    <w:basedOn w:val="1"/>
    <w:qFormat/>
    <w:uiPriority w:val="0"/>
    <w:rPr>
      <w:rFonts w:ascii="Tahoma" w:hAnsi="Tahoma"/>
      <w:sz w:val="24"/>
    </w:rPr>
  </w:style>
  <w:style w:type="paragraph" w:customStyle="1" w:styleId="150">
    <w:name w:val="Title - Revision"/>
    <w:basedOn w:val="53"/>
    <w:qFormat/>
    <w:uiPriority w:val="0"/>
    <w:pPr>
      <w:spacing w:before="720"/>
    </w:pPr>
  </w:style>
  <w:style w:type="paragraph" w:customStyle="1" w:styleId="151">
    <w:name w:val="Char1 Char Char Char"/>
    <w:basedOn w:val="1"/>
    <w:qFormat/>
    <w:uiPriority w:val="0"/>
    <w:rPr>
      <w:rFonts w:ascii="Tahoma" w:hAnsi="Tahoma"/>
      <w:sz w:val="30"/>
    </w:rPr>
  </w:style>
  <w:style w:type="paragraph" w:customStyle="1" w:styleId="15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55">
    <w:name w:val="Char"/>
    <w:basedOn w:val="1"/>
    <w:qFormat/>
    <w:uiPriority w:val="0"/>
    <w:pPr>
      <w:spacing w:line="240" w:lineRule="atLeast"/>
      <w:ind w:left="420" w:firstLine="420"/>
    </w:pPr>
    <w:rPr>
      <w:kern w:val="0"/>
      <w:sz w:val="21"/>
    </w:rPr>
  </w:style>
  <w:style w:type="paragraph" w:customStyle="1" w:styleId="15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8">
    <w:name w:val="Style Heading 3h3Heading 3 - oldLevel 3 HeadH3level_3PIM 3se..."/>
    <w:basedOn w:val="5"/>
    <w:qFormat/>
    <w:uiPriority w:val="0"/>
    <w:pPr>
      <w:numPr>
        <w:ilvl w:val="2"/>
        <w:numId w:val="2"/>
      </w:numPr>
      <w:tabs>
        <w:tab w:val="left" w:pos="709"/>
        <w:tab w:val="left" w:pos="1620"/>
      </w:tabs>
    </w:pPr>
  </w:style>
  <w:style w:type="paragraph" w:customStyle="1" w:styleId="159">
    <w:name w:val="Char2 Char Char Char Char Char Char"/>
    <w:basedOn w:val="1"/>
    <w:qFormat/>
    <w:uiPriority w:val="0"/>
    <w:rPr>
      <w:rFonts w:ascii="仿宋_GB2312"/>
      <w:b/>
      <w:sz w:val="30"/>
    </w:rPr>
  </w:style>
  <w:style w:type="paragraph" w:customStyle="1" w:styleId="160">
    <w:name w:val="默认段落字体 Para Char Char Char Char Char Char Char Char Char1 Char Char Char Char"/>
    <w:basedOn w:val="1"/>
    <w:qFormat/>
    <w:uiPriority w:val="0"/>
    <w:rPr>
      <w:rFonts w:ascii="Tahoma" w:hAnsi="Tahoma"/>
      <w:sz w:val="24"/>
    </w:rPr>
  </w:style>
  <w:style w:type="paragraph" w:customStyle="1" w:styleId="16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3">
    <w:name w:val="Char Char Char Char Char"/>
    <w:basedOn w:val="1"/>
    <w:qFormat/>
    <w:uiPriority w:val="0"/>
    <w:pPr>
      <w:tabs>
        <w:tab w:val="left" w:pos="425"/>
      </w:tabs>
      <w:ind w:left="1620" w:hanging="360"/>
    </w:pPr>
    <w:rPr>
      <w:rFonts w:ascii="Tahoma" w:hAnsi="Tahoma"/>
      <w:sz w:val="24"/>
    </w:rPr>
  </w:style>
  <w:style w:type="paragraph" w:customStyle="1" w:styleId="164">
    <w:name w:val="标题无"/>
    <w:basedOn w:val="1"/>
    <w:qFormat/>
    <w:uiPriority w:val="0"/>
    <w:pPr>
      <w:spacing w:line="360" w:lineRule="auto"/>
    </w:pPr>
    <w:rPr>
      <w:sz w:val="24"/>
    </w:rPr>
  </w:style>
  <w:style w:type="paragraph" w:customStyle="1" w:styleId="165">
    <w:name w:val="段落正文"/>
    <w:basedOn w:val="1"/>
    <w:qFormat/>
    <w:uiPriority w:val="0"/>
    <w:pPr>
      <w:spacing w:before="156" w:beforeLines="50" w:line="360" w:lineRule="auto"/>
      <w:ind w:firstLine="200" w:firstLineChars="200"/>
    </w:pPr>
    <w:rPr>
      <w:spacing w:val="2"/>
      <w:sz w:val="24"/>
    </w:rPr>
  </w:style>
  <w:style w:type="paragraph" w:customStyle="1" w:styleId="166">
    <w:name w:val="正文1"/>
    <w:basedOn w:val="1"/>
    <w:qFormat/>
    <w:uiPriority w:val="0"/>
    <w:pPr>
      <w:spacing w:line="300" w:lineRule="auto"/>
      <w:ind w:firstLine="200" w:firstLineChars="200"/>
    </w:pPr>
    <w:rPr>
      <w:sz w:val="24"/>
    </w:rPr>
  </w:style>
  <w:style w:type="paragraph" w:customStyle="1" w:styleId="167">
    <w:name w:val="二级列表"/>
    <w:basedOn w:val="165"/>
    <w:next w:val="165"/>
    <w:qFormat/>
    <w:uiPriority w:val="0"/>
    <w:pPr>
      <w:tabs>
        <w:tab w:val="left" w:pos="2120"/>
      </w:tabs>
      <w:ind w:firstLine="0" w:firstLineChars="0"/>
    </w:pPr>
    <w:rPr>
      <w:b/>
    </w:rPr>
  </w:style>
  <w:style w:type="paragraph" w:customStyle="1" w:styleId="168">
    <w:name w:val="摘要"/>
    <w:basedOn w:val="1"/>
    <w:next w:val="4"/>
    <w:qFormat/>
    <w:uiPriority w:val="0"/>
    <w:pPr>
      <w:spacing w:line="360" w:lineRule="auto"/>
    </w:pPr>
    <w:rPr>
      <w:rFonts w:eastAsia="黑体"/>
      <w:sz w:val="20"/>
    </w:rPr>
  </w:style>
  <w:style w:type="paragraph" w:customStyle="1" w:styleId="169">
    <w:name w:val="文本框样式1"/>
    <w:basedOn w:val="1"/>
    <w:qFormat/>
    <w:uiPriority w:val="0"/>
    <w:pPr>
      <w:adjustRightInd w:val="0"/>
      <w:snapToGrid w:val="0"/>
      <w:spacing w:before="60" w:line="180" w:lineRule="exact"/>
      <w:jc w:val="center"/>
    </w:pPr>
    <w:rPr>
      <w:sz w:val="21"/>
    </w:rPr>
  </w:style>
  <w:style w:type="paragraph" w:customStyle="1" w:styleId="170">
    <w:name w:val="操作步骤"/>
    <w:basedOn w:val="1"/>
    <w:qFormat/>
    <w:uiPriority w:val="0"/>
    <w:pPr>
      <w:numPr>
        <w:ilvl w:val="0"/>
        <w:numId w:val="5"/>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71">
    <w:name w:val="附录3"/>
    <w:basedOn w:val="1"/>
    <w:next w:val="1"/>
    <w:qFormat/>
    <w:uiPriority w:val="0"/>
    <w:pPr>
      <w:tabs>
        <w:tab w:val="left" w:pos="851"/>
      </w:tabs>
      <w:ind w:left="425" w:hanging="425"/>
      <w:outlineLvl w:val="2"/>
    </w:pPr>
    <w:rPr>
      <w:rFonts w:eastAsia="黑体"/>
      <w:b/>
      <w:sz w:val="32"/>
    </w:rPr>
  </w:style>
  <w:style w:type="paragraph" w:customStyle="1" w:styleId="172">
    <w:name w:val="00"/>
    <w:basedOn w:val="1"/>
    <w:qFormat/>
    <w:uiPriority w:val="0"/>
    <w:pPr>
      <w:autoSpaceDE w:val="0"/>
      <w:autoSpaceDN w:val="0"/>
      <w:adjustRightInd w:val="0"/>
      <w:jc w:val="left"/>
    </w:pPr>
    <w:rPr>
      <w:rFonts w:ascii="黑体" w:eastAsia="黑体"/>
      <w:b/>
      <w:kern w:val="0"/>
      <w:sz w:val="20"/>
    </w:rPr>
  </w:style>
  <w:style w:type="paragraph" w:customStyle="1" w:styleId="173">
    <w:name w:val="章标题"/>
    <w:next w:val="1"/>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段"/>
    <w:next w:val="1"/>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5">
    <w:name w:val="表头文本"/>
    <w:uiPriority w:val="0"/>
    <w:pPr>
      <w:jc w:val="center"/>
    </w:pPr>
    <w:rPr>
      <w:rFonts w:ascii="Arial" w:hAnsi="Arial" w:eastAsia="宋体" w:cs="Times New Roman"/>
      <w:b/>
      <w:sz w:val="21"/>
      <w:lang w:val="en-US" w:eastAsia="zh-CN" w:bidi="ar-SA"/>
    </w:rPr>
  </w:style>
  <w:style w:type="paragraph" w:customStyle="1" w:styleId="176">
    <w:name w:val="编号正文"/>
    <w:basedOn w:val="154"/>
    <w:qFormat/>
    <w:uiPriority w:val="0"/>
    <w:pPr>
      <w:snapToGrid/>
      <w:spacing w:line="360" w:lineRule="auto"/>
      <w:ind w:left="1407" w:hanging="1047"/>
      <w:jc w:val="left"/>
    </w:pPr>
    <w:rPr>
      <w:rFonts w:eastAsia="仿宋_GB2312"/>
    </w:rPr>
  </w:style>
  <w:style w:type="paragraph" w:customStyle="1" w:styleId="177">
    <w:name w:val="图标"/>
    <w:basedOn w:val="1"/>
    <w:next w:val="1"/>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8">
    <w:name w:val="È±Ê¡ÎÄ±¾"/>
    <w:basedOn w:val="1"/>
    <w:uiPriority w:val="0"/>
    <w:pPr>
      <w:widowControl/>
      <w:overflowPunct w:val="0"/>
      <w:autoSpaceDE w:val="0"/>
      <w:autoSpaceDN w:val="0"/>
      <w:adjustRightInd w:val="0"/>
      <w:jc w:val="left"/>
      <w:textAlignment w:val="baseline"/>
    </w:pPr>
    <w:rPr>
      <w:kern w:val="0"/>
      <w:sz w:val="24"/>
    </w:rPr>
  </w:style>
  <w:style w:type="paragraph" w:customStyle="1" w:styleId="179">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80">
    <w:name w:val="正文4"/>
    <w:basedOn w:val="1"/>
    <w:qFormat/>
    <w:uiPriority w:val="0"/>
    <w:pPr>
      <w:tabs>
        <w:tab w:val="left" w:pos="1275"/>
      </w:tabs>
      <w:spacing w:before="60" w:after="60" w:line="360" w:lineRule="auto"/>
      <w:ind w:left="820" w:leftChars="400" w:hanging="705"/>
    </w:pPr>
    <w:rPr>
      <w:sz w:val="24"/>
    </w:rPr>
  </w:style>
  <w:style w:type="paragraph" w:customStyle="1" w:styleId="181">
    <w:name w:val="CSS1级正文 Char"/>
    <w:basedOn w:val="22"/>
    <w:uiPriority w:val="0"/>
    <w:pPr>
      <w:adjustRightInd w:val="0"/>
      <w:snapToGrid w:val="0"/>
      <w:spacing w:line="360" w:lineRule="auto"/>
      <w:ind w:firstLine="480"/>
    </w:pPr>
    <w:rPr>
      <w:rFonts w:ascii="Times New Roman" w:eastAsia="宋体"/>
      <w:sz w:val="24"/>
    </w:rPr>
  </w:style>
  <w:style w:type="paragraph" w:customStyle="1" w:styleId="18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83">
    <w:name w:val="Figure Description"/>
    <w:next w:val="1"/>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4">
    <w:name w:val="样式 首行缩进:  0.74 厘米"/>
    <w:basedOn w:val="1"/>
    <w:uiPriority w:val="0"/>
    <w:pPr>
      <w:spacing w:line="360" w:lineRule="auto"/>
      <w:ind w:firstLine="420"/>
    </w:pPr>
    <w:rPr>
      <w:sz w:val="24"/>
    </w:rPr>
  </w:style>
  <w:style w:type="paragraph" w:customStyle="1" w:styleId="185">
    <w:name w:val="正文文本 21"/>
    <w:basedOn w:val="1"/>
    <w:uiPriority w:val="0"/>
    <w:pPr>
      <w:adjustRightInd w:val="0"/>
      <w:spacing w:before="120" w:line="360" w:lineRule="auto"/>
      <w:ind w:firstLine="480"/>
      <w:textAlignment w:val="baseline"/>
    </w:pPr>
    <w:rPr>
      <w:sz w:val="24"/>
    </w:rPr>
  </w:style>
  <w:style w:type="paragraph" w:customStyle="1" w:styleId="186">
    <w:name w:val="Note"/>
    <w:basedOn w:val="1"/>
    <w:qFormat/>
    <w:uiPriority w:val="0"/>
    <w:pPr>
      <w:pBdr>
        <w:top w:val="single" w:color="auto" w:sz="12" w:space="3"/>
        <w:bottom w:val="single" w:color="auto" w:sz="12" w:space="3"/>
      </w:pBdr>
      <w:spacing w:line="360" w:lineRule="auto"/>
    </w:pPr>
    <w:rPr>
      <w:sz w:val="24"/>
    </w:rPr>
  </w:style>
  <w:style w:type="paragraph" w:customStyle="1" w:styleId="187">
    <w:name w:val="样式1"/>
    <w:basedOn w:val="6"/>
    <w:qFormat/>
    <w:uiPriority w:val="0"/>
    <w:pPr>
      <w:tabs>
        <w:tab w:val="left" w:pos="720"/>
      </w:tabs>
      <w:spacing w:before="500" w:after="260" w:line="560" w:lineRule="atLeast"/>
      <w:ind w:left="420" w:hanging="420"/>
    </w:pPr>
  </w:style>
  <w:style w:type="paragraph" w:customStyle="1" w:styleId="18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9">
    <w:name w:val="Char11"/>
    <w:basedOn w:val="1"/>
    <w:qFormat/>
    <w:uiPriority w:val="0"/>
    <w:pPr>
      <w:spacing w:line="240" w:lineRule="atLeast"/>
      <w:ind w:left="420" w:firstLine="420"/>
    </w:pPr>
    <w:rPr>
      <w:kern w:val="0"/>
      <w:sz w:val="21"/>
    </w:rPr>
  </w:style>
  <w:style w:type="paragraph" w:customStyle="1" w:styleId="190">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1">
    <w:name w:val="附录4"/>
    <w:basedOn w:val="1"/>
    <w:next w:val="1"/>
    <w:uiPriority w:val="0"/>
    <w:pPr>
      <w:widowControl/>
      <w:tabs>
        <w:tab w:val="left" w:pos="1134"/>
      </w:tabs>
      <w:spacing w:line="300" w:lineRule="auto"/>
      <w:ind w:left="1361" w:hanging="1361"/>
      <w:outlineLvl w:val="3"/>
    </w:pPr>
    <w:rPr>
      <w:rFonts w:ascii="Arial" w:hAnsi="Arial" w:eastAsia="黑体"/>
      <w:kern w:val="0"/>
    </w:rPr>
  </w:style>
  <w:style w:type="paragraph" w:customStyle="1" w:styleId="192">
    <w:name w:val="Item Step in Table"/>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93">
    <w:name w:val="表格文字"/>
    <w:basedOn w:val="2"/>
    <w:next w:val="22"/>
    <w:qFormat/>
    <w:uiPriority w:val="0"/>
    <w:pPr>
      <w:spacing w:before="60" w:after="60"/>
      <w:ind w:left="57" w:right="57" w:firstLine="0"/>
      <w:jc w:val="left"/>
    </w:pPr>
    <w:rPr>
      <w:rFonts w:ascii="宋体"/>
    </w:rPr>
  </w:style>
  <w:style w:type="paragraph" w:customStyle="1" w:styleId="194">
    <w:name w:val="样式 正文（首行缩进两字） + 宋体 小四"/>
    <w:basedOn w:val="2"/>
    <w:qFormat/>
    <w:uiPriority w:val="0"/>
    <w:pPr>
      <w:adjustRightInd/>
      <w:snapToGrid/>
      <w:spacing w:line="100" w:lineRule="atLeast"/>
      <w:ind w:firstLine="614" w:firstLineChars="192"/>
      <w:jc w:val="left"/>
    </w:pPr>
    <w:rPr>
      <w:rFonts w:ascii="仿宋_GB2312" w:hAnsi="宋体" w:eastAsia="仿宋_GB2312"/>
      <w:sz w:val="32"/>
    </w:rPr>
  </w:style>
  <w:style w:type="paragraph" w:customStyle="1" w:styleId="19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97">
    <w:name w:val="Char Char1 Char"/>
    <w:basedOn w:val="1"/>
    <w:qFormat/>
    <w:uiPriority w:val="0"/>
    <w:rPr>
      <w:rFonts w:ascii="Tahoma" w:hAnsi="Tahoma"/>
      <w:sz w:val="24"/>
      <w:szCs w:val="24"/>
    </w:rPr>
  </w:style>
  <w:style w:type="paragraph" w:customStyle="1" w:styleId="19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样式2"/>
    <w:basedOn w:val="6"/>
    <w:qFormat/>
    <w:uiPriority w:val="0"/>
    <w:pPr>
      <w:numPr>
        <w:ilvl w:val="0"/>
        <w:numId w:val="7"/>
      </w:numPr>
      <w:spacing w:before="560" w:line="400" w:lineRule="exact"/>
      <w:jc w:val="center"/>
      <w:outlineLvl w:val="0"/>
    </w:pPr>
    <w:rPr>
      <w:b w:val="0"/>
      <w:sz w:val="44"/>
    </w:rPr>
  </w:style>
  <w:style w:type="paragraph" w:customStyle="1" w:styleId="201">
    <w:name w:val="标书正文1"/>
    <w:basedOn w:val="1"/>
    <w:qFormat/>
    <w:uiPriority w:val="0"/>
    <w:pPr>
      <w:spacing w:line="520" w:lineRule="exact"/>
      <w:ind w:firstLine="640" w:firstLineChars="200"/>
    </w:pPr>
    <w:rPr>
      <w:rFonts w:ascii="Calibri" w:hAnsi="Calibri"/>
    </w:rPr>
  </w:style>
  <w:style w:type="paragraph" w:customStyle="1" w:styleId="202">
    <w:name w:val="文章正文"/>
    <w:basedOn w:val="1"/>
    <w:qFormat/>
    <w:uiPriority w:val="0"/>
    <w:pPr>
      <w:ind w:firstLine="560" w:firstLineChars="200"/>
    </w:pPr>
    <w:rPr>
      <w:rFonts w:ascii="仿宋_GB2312" w:hAnsi="宋体" w:eastAsia="仿宋_GB2312"/>
      <w:color w:val="000000"/>
    </w:rPr>
  </w:style>
  <w:style w:type="paragraph" w:customStyle="1" w:styleId="203">
    <w:name w:val="二级条标题"/>
    <w:basedOn w:val="204"/>
    <w:next w:val="174"/>
    <w:qFormat/>
    <w:uiPriority w:val="0"/>
    <w:pPr>
      <w:ind w:left="840"/>
      <w:outlineLvl w:val="3"/>
    </w:pPr>
  </w:style>
  <w:style w:type="paragraph" w:customStyle="1" w:styleId="204">
    <w:name w:val="一级条标题"/>
    <w:basedOn w:val="173"/>
    <w:next w:val="174"/>
    <w:qFormat/>
    <w:uiPriority w:val="0"/>
    <w:pPr>
      <w:numPr>
        <w:numId w:val="0"/>
      </w:numPr>
      <w:spacing w:before="0" w:beforeLines="0" w:after="0" w:afterLines="0"/>
      <w:ind w:left="525"/>
      <w:outlineLvl w:val="2"/>
    </w:pPr>
    <w:rPr>
      <w:sz w:val="21"/>
    </w:rPr>
  </w:style>
  <w:style w:type="paragraph" w:customStyle="1" w:styleId="205">
    <w:name w:val="首行缩进 1"/>
    <w:basedOn w:val="1"/>
    <w:qFormat/>
    <w:uiPriority w:val="0"/>
    <w:pPr>
      <w:spacing w:after="120" w:line="360" w:lineRule="auto"/>
      <w:ind w:firstLine="200" w:firstLineChars="20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08">
    <w:name w:val="附录1"/>
    <w:basedOn w:val="1"/>
    <w:next w:val="1"/>
    <w:uiPriority w:val="0"/>
    <w:pPr>
      <w:tabs>
        <w:tab w:val="left" w:pos="1304"/>
      </w:tabs>
      <w:ind w:left="425" w:hanging="425"/>
      <w:outlineLvl w:val="0"/>
    </w:pPr>
    <w:rPr>
      <w:rFonts w:ascii="黑体" w:hAnsi="黑体" w:eastAsia="黑体"/>
      <w:b/>
      <w:sz w:val="44"/>
    </w:rPr>
  </w:style>
  <w:style w:type="paragraph" w:customStyle="1" w:styleId="209">
    <w:name w:val="Item List"/>
    <w:uiPriority w:val="0"/>
    <w:pPr>
      <w:numPr>
        <w:ilvl w:val="0"/>
        <w:numId w:val="8"/>
      </w:numPr>
      <w:spacing w:line="300" w:lineRule="auto"/>
      <w:jc w:val="both"/>
    </w:pPr>
    <w:rPr>
      <w:rFonts w:ascii="Arial" w:hAnsi="Arial" w:eastAsia="宋体" w:cs="Times New Roman"/>
      <w:sz w:val="21"/>
      <w:lang w:val="en-US" w:eastAsia="zh-CN" w:bidi="ar-SA"/>
    </w:rPr>
  </w:style>
  <w:style w:type="paragraph" w:customStyle="1" w:styleId="210">
    <w:name w:val="Char Char1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211">
    <w:name w:val="图例"/>
    <w:basedOn w:val="1"/>
    <w:uiPriority w:val="0"/>
    <w:pPr>
      <w:spacing w:before="120" w:after="120" w:line="360" w:lineRule="auto"/>
      <w:jc w:val="center"/>
    </w:pPr>
    <w:rPr>
      <w:rFonts w:eastAsia="仿宋_GB2312"/>
      <w:b/>
      <w:sz w:val="24"/>
    </w:rPr>
  </w:style>
  <w:style w:type="paragraph" w:customStyle="1" w:styleId="212">
    <w:name w:val="正文表格"/>
    <w:basedOn w:val="1"/>
    <w:uiPriority w:val="0"/>
    <w:pPr>
      <w:adjustRightInd w:val="0"/>
      <w:spacing w:before="40" w:after="40"/>
    </w:pPr>
    <w:rPr>
      <w:sz w:val="24"/>
    </w:rPr>
  </w:style>
  <w:style w:type="paragraph" w:customStyle="1" w:styleId="213">
    <w:name w:val="bt"/>
    <w:basedOn w:val="1"/>
    <w:next w:val="22"/>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14">
    <w:name w:val="1.正文"/>
    <w:basedOn w:val="1"/>
    <w:uiPriority w:val="0"/>
    <w:pPr>
      <w:spacing w:line="360" w:lineRule="auto"/>
      <w:ind w:left="540" w:leftChars="225" w:firstLine="540" w:firstLineChars="225"/>
    </w:pPr>
    <w:rPr>
      <w:sz w:val="24"/>
    </w:rPr>
  </w:style>
  <w:style w:type="paragraph" w:customStyle="1" w:styleId="215">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6">
    <w:name w:val="文本1"/>
    <w:basedOn w:val="1"/>
    <w:uiPriority w:val="0"/>
    <w:pPr>
      <w:adjustRightInd w:val="0"/>
      <w:spacing w:line="312" w:lineRule="atLeast"/>
      <w:jc w:val="center"/>
      <w:textAlignment w:val="baseline"/>
    </w:pPr>
    <w:rPr>
      <w:kern w:val="0"/>
      <w:sz w:val="18"/>
    </w:rPr>
  </w:style>
  <w:style w:type="paragraph" w:customStyle="1" w:styleId="217">
    <w:name w:val="xl27"/>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18">
    <w:name w:val="简单回函地址"/>
    <w:basedOn w:val="1"/>
    <w:uiPriority w:val="0"/>
    <w:pPr>
      <w:adjustRightInd w:val="0"/>
      <w:snapToGrid w:val="0"/>
      <w:spacing w:line="360" w:lineRule="auto"/>
    </w:pPr>
    <w:rPr>
      <w:sz w:val="24"/>
    </w:rPr>
  </w:style>
  <w:style w:type="paragraph" w:customStyle="1" w:styleId="219">
    <w:name w:val="2表格（表体）"/>
    <w:basedOn w:val="1"/>
    <w:qFormat/>
    <w:uiPriority w:val="99"/>
    <w:pPr>
      <w:spacing w:line="440" w:lineRule="exact"/>
      <w:ind w:firstLine="240" w:firstLineChars="100"/>
    </w:pPr>
  </w:style>
  <w:style w:type="paragraph" w:customStyle="1" w:styleId="220">
    <w:name w:val="样式4"/>
    <w:basedOn w:val="6"/>
    <w:uiPriority w:val="0"/>
    <w:pPr>
      <w:adjustRightInd w:val="0"/>
      <w:snapToGrid w:val="0"/>
    </w:pPr>
  </w:style>
  <w:style w:type="paragraph" w:customStyle="1" w:styleId="221">
    <w:name w:val="样式 正文首行缩进 2 + 首行缩进:  2 字符"/>
    <w:basedOn w:val="1"/>
    <w:uiPriority w:val="0"/>
    <w:pPr>
      <w:numPr>
        <w:ilvl w:val="0"/>
        <w:numId w:val="9"/>
      </w:numPr>
      <w:adjustRightInd w:val="0"/>
      <w:snapToGrid w:val="0"/>
      <w:spacing w:line="360" w:lineRule="auto"/>
    </w:pPr>
    <w:rPr>
      <w:rFonts w:ascii="Arial" w:hAnsi="Arial"/>
      <w:b/>
      <w:sz w:val="24"/>
    </w:rPr>
  </w:style>
  <w:style w:type="paragraph" w:customStyle="1" w:styleId="222">
    <w:name w:val="样式 样式 首行缩进:  2 字符 + 首行缩进:  2 字符"/>
    <w:basedOn w:val="1"/>
    <w:uiPriority w:val="0"/>
    <w:pPr>
      <w:numPr>
        <w:ilvl w:val="0"/>
        <w:numId w:val="10"/>
      </w:numPr>
      <w:tabs>
        <w:tab w:val="clear" w:pos="1230"/>
      </w:tabs>
      <w:spacing w:line="360" w:lineRule="auto"/>
      <w:ind w:firstLine="480" w:firstLineChars="200"/>
    </w:pPr>
    <w:rPr>
      <w:sz w:val="24"/>
    </w:rPr>
  </w:style>
  <w:style w:type="paragraph" w:customStyle="1" w:styleId="223">
    <w:name w:val="样式 标题 1 + 居中 段前: 6 磅 段后: 6 磅 行距: 1.5 倍行距"/>
    <w:basedOn w:val="3"/>
    <w:uiPriority w:val="0"/>
    <w:pPr>
      <w:keepLines/>
      <w:adjustRightInd w:val="0"/>
      <w:spacing w:before="120" w:after="120" w:line="360" w:lineRule="auto"/>
      <w:jc w:val="center"/>
    </w:pPr>
    <w:rPr>
      <w:rFonts w:ascii="Times New Roman"/>
      <w:b/>
      <w:kern w:val="44"/>
      <w:sz w:val="32"/>
    </w:rPr>
  </w:style>
  <w:style w:type="paragraph" w:customStyle="1" w:styleId="224">
    <w:name w:val="Table Contents"/>
    <w:basedOn w:val="22"/>
    <w:uiPriority w:val="0"/>
    <w:pPr>
      <w:suppressAutoHyphens/>
      <w:jc w:val="left"/>
    </w:pPr>
    <w:rPr>
      <w:rFonts w:ascii="Times New Roman" w:eastAsia="Times New Roman"/>
      <w:kern w:val="0"/>
      <w:sz w:val="24"/>
    </w:rPr>
  </w:style>
  <w:style w:type="paragraph" w:customStyle="1" w:styleId="225">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26">
    <w:name w:val="Table Text Char1"/>
    <w:uiPriority w:val="0"/>
    <w:pPr>
      <w:snapToGrid w:val="0"/>
      <w:spacing w:before="80" w:after="80"/>
    </w:pPr>
    <w:rPr>
      <w:rFonts w:ascii="Arial" w:hAnsi="Arial" w:eastAsia="宋体" w:cs="Times New Roman"/>
      <w:kern w:val="2"/>
      <w:sz w:val="18"/>
      <w:lang w:val="en-US" w:eastAsia="zh-CN" w:bidi="ar-SA"/>
    </w:rPr>
  </w:style>
  <w:style w:type="paragraph" w:customStyle="1" w:styleId="227">
    <w:name w:val="Char1"/>
    <w:basedOn w:val="1"/>
    <w:uiPriority w:val="0"/>
    <w:rPr>
      <w:sz w:val="21"/>
    </w:rPr>
  </w:style>
  <w:style w:type="paragraph" w:customStyle="1" w:styleId="228">
    <w:name w:val="Char1 Char Char Char1"/>
    <w:basedOn w:val="1"/>
    <w:uiPriority w:val="0"/>
    <w:rPr>
      <w:rFonts w:ascii="Tahoma" w:hAnsi="Tahoma"/>
      <w:sz w:val="24"/>
    </w:rPr>
  </w:style>
  <w:style w:type="paragraph" w:customStyle="1" w:styleId="229">
    <w:name w:val="正文 + 三号"/>
    <w:basedOn w:val="1"/>
    <w:uiPriority w:val="0"/>
    <w:rPr>
      <w:sz w:val="21"/>
    </w:rPr>
  </w:style>
  <w:style w:type="paragraph" w:customStyle="1" w:styleId="230">
    <w:name w:val="无间隔1"/>
    <w:basedOn w:val="1"/>
    <w:qFormat/>
    <w:uiPriority w:val="1"/>
    <w:pPr>
      <w:spacing w:line="400" w:lineRule="exact"/>
    </w:pPr>
    <w:rPr>
      <w:sz w:val="24"/>
    </w:rPr>
  </w:style>
  <w:style w:type="paragraph" w:customStyle="1" w:styleId="231">
    <w:name w:val="没有缩进（为图形使用）"/>
    <w:basedOn w:val="1"/>
    <w:uiPriority w:val="0"/>
    <w:pPr>
      <w:spacing w:before="120" w:after="120" w:line="360" w:lineRule="auto"/>
    </w:pPr>
    <w:rPr>
      <w:sz w:val="24"/>
    </w:rPr>
  </w:style>
  <w:style w:type="paragraph" w:customStyle="1" w:styleId="232">
    <w:name w:val="_Style 231"/>
    <w:uiPriority w:val="0"/>
    <w:rPr>
      <w:rFonts w:ascii="Times New Roman" w:hAnsi="Times New Roman" w:eastAsia="宋体" w:cs="Times New Roman"/>
      <w:kern w:val="2"/>
      <w:sz w:val="21"/>
      <w:lang w:val="en-US" w:eastAsia="zh-CN" w:bidi="ar-SA"/>
    </w:rPr>
  </w:style>
  <w:style w:type="paragraph" w:customStyle="1" w:styleId="233">
    <w:name w:val="_"/>
    <w:basedOn w:val="1"/>
    <w:uiPriority w:val="0"/>
    <w:pPr>
      <w:adjustRightInd w:val="0"/>
      <w:spacing w:line="360" w:lineRule="auto"/>
      <w:ind w:left="480" w:firstLine="200" w:firstLineChars="200"/>
      <w:textAlignment w:val="baseline"/>
    </w:pPr>
    <w:rPr>
      <w:kern w:val="0"/>
      <w:sz w:val="24"/>
    </w:rPr>
  </w:style>
  <w:style w:type="paragraph" w:customStyle="1" w:styleId="234">
    <w:name w:val="样式 宋体 五号 两端对齐 行距: 单倍行距"/>
    <w:basedOn w:val="1"/>
    <w:uiPriority w:val="0"/>
    <w:pPr>
      <w:adjustRightInd w:val="0"/>
      <w:textAlignment w:val="baseline"/>
    </w:pPr>
    <w:rPr>
      <w:rFonts w:ascii="宋体" w:hAnsi="宋体"/>
      <w:kern w:val="0"/>
      <w:sz w:val="21"/>
    </w:rPr>
  </w:style>
  <w:style w:type="paragraph" w:customStyle="1" w:styleId="235">
    <w:name w:val="content"/>
    <w:basedOn w:val="1"/>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6">
    <w:name w:val="af"/>
    <w:basedOn w:val="1"/>
    <w:uiPriority w:val="0"/>
    <w:pPr>
      <w:widowControl/>
      <w:spacing w:line="300" w:lineRule="atLeast"/>
      <w:jc w:val="left"/>
    </w:pPr>
    <w:rPr>
      <w:rFonts w:ascii="宋体" w:hAnsi="宋体"/>
      <w:kern w:val="0"/>
      <w:sz w:val="18"/>
    </w:rPr>
  </w:style>
  <w:style w:type="paragraph" w:customStyle="1" w:styleId="237">
    <w:name w:val="首行缩进"/>
    <w:basedOn w:val="1"/>
    <w:uiPriority w:val="0"/>
    <w:pPr>
      <w:numPr>
        <w:ilvl w:val="0"/>
        <w:numId w:val="11"/>
      </w:numPr>
      <w:spacing w:line="360" w:lineRule="auto"/>
    </w:pPr>
    <w:rPr>
      <w:rFonts w:eastAsia="仿宋_GB2312"/>
    </w:rPr>
  </w:style>
  <w:style w:type="paragraph" w:customStyle="1" w:styleId="238">
    <w:name w:val="正文格式 Char"/>
    <w:basedOn w:val="1"/>
    <w:uiPriority w:val="0"/>
    <w:pPr>
      <w:widowControl/>
      <w:adjustRightInd w:val="0"/>
      <w:spacing w:line="440" w:lineRule="atLeast"/>
      <w:ind w:firstLine="510"/>
      <w:textAlignment w:val="baseline"/>
    </w:pPr>
    <w:rPr>
      <w:kern w:val="0"/>
      <w:sz w:val="24"/>
    </w:rPr>
  </w:style>
  <w:style w:type="paragraph" w:customStyle="1" w:styleId="239">
    <w:name w:val="内容标题"/>
    <w:basedOn w:val="17"/>
    <w:qFormat/>
    <w:uiPriority w:val="0"/>
    <w:rPr>
      <w:rFonts w:ascii="Tahoma" w:hAnsi="Tahoma"/>
      <w:sz w:val="24"/>
    </w:rPr>
  </w:style>
  <w:style w:type="paragraph" w:customStyle="1" w:styleId="24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1">
    <w:name w:val="关键词"/>
    <w:basedOn w:val="1"/>
    <w:next w:val="1"/>
    <w:qFormat/>
    <w:uiPriority w:val="0"/>
    <w:pPr>
      <w:spacing w:line="360" w:lineRule="auto"/>
    </w:pPr>
    <w:rPr>
      <w:rFonts w:eastAsia="黑体"/>
      <w:sz w:val="20"/>
    </w:rPr>
  </w:style>
  <w:style w:type="paragraph" w:customStyle="1" w:styleId="2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4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44">
    <w:name w:val="Char Char Char Char Char Char Char1"/>
    <w:basedOn w:val="17"/>
    <w:qFormat/>
    <w:uiPriority w:val="0"/>
    <w:rPr>
      <w:rFonts w:ascii="宋体" w:hAnsi="Tahoma"/>
    </w:rPr>
  </w:style>
  <w:style w:type="paragraph" w:customStyle="1" w:styleId="245">
    <w:name w:val="标书正文:  0.74 厘米"/>
    <w:basedOn w:val="1"/>
    <w:qFormat/>
    <w:uiPriority w:val="0"/>
    <w:pPr>
      <w:snapToGrid w:val="0"/>
      <w:spacing w:line="360" w:lineRule="auto"/>
      <w:ind w:firstLine="420"/>
    </w:pPr>
    <w:rPr>
      <w:sz w:val="24"/>
    </w:rPr>
  </w:style>
  <w:style w:type="paragraph" w:customStyle="1" w:styleId="246">
    <w:name w:val="列表项目"/>
    <w:basedOn w:val="1"/>
    <w:qFormat/>
    <w:uiPriority w:val="0"/>
    <w:pPr>
      <w:tabs>
        <w:tab w:val="left" w:pos="420"/>
      </w:tabs>
      <w:spacing w:line="288" w:lineRule="auto"/>
      <w:ind w:left="840" w:leftChars="200" w:hanging="420" w:hangingChars="200"/>
    </w:pPr>
    <w:rPr>
      <w:sz w:val="21"/>
    </w:rPr>
  </w:style>
  <w:style w:type="paragraph" w:customStyle="1" w:styleId="24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8">
    <w:name w:val="正文（首行不缩进）"/>
    <w:basedOn w:val="1"/>
    <w:qFormat/>
    <w:uiPriority w:val="0"/>
    <w:pPr>
      <w:autoSpaceDE w:val="0"/>
      <w:autoSpaceDN w:val="0"/>
      <w:adjustRightInd w:val="0"/>
      <w:spacing w:line="360" w:lineRule="auto"/>
      <w:jc w:val="left"/>
    </w:pPr>
    <w:rPr>
      <w:kern w:val="0"/>
      <w:sz w:val="21"/>
    </w:rPr>
  </w:style>
  <w:style w:type="paragraph" w:customStyle="1" w:styleId="249">
    <w:name w:val="表号"/>
    <w:basedOn w:val="1"/>
    <w:qFormat/>
    <w:uiPriority w:val="0"/>
    <w:pPr>
      <w:numPr>
        <w:ilvl w:val="0"/>
        <w:numId w:val="12"/>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50">
    <w:name w:val="Title - Date"/>
    <w:basedOn w:val="53"/>
    <w:next w:val="1"/>
    <w:qFormat/>
    <w:uiPriority w:val="0"/>
    <w:pPr>
      <w:spacing w:before="240" w:after="720"/>
    </w:pPr>
    <w:rPr>
      <w:sz w:val="28"/>
    </w:rPr>
  </w:style>
  <w:style w:type="paragraph" w:customStyle="1" w:styleId="251">
    <w:name w:val="标准正文"/>
    <w:basedOn w:val="23"/>
    <w:qFormat/>
    <w:uiPriority w:val="0"/>
    <w:pPr>
      <w:spacing w:before="60" w:after="60" w:line="360" w:lineRule="auto"/>
      <w:ind w:left="0" w:firstLine="482"/>
    </w:pPr>
    <w:rPr>
      <w:rFonts w:ascii="Arial" w:hAnsi="Arial"/>
      <w:sz w:val="24"/>
    </w:rPr>
  </w:style>
  <w:style w:type="character" w:customStyle="1" w:styleId="252">
    <w:name w:val="font61"/>
    <w:qFormat/>
    <w:uiPriority w:val="0"/>
    <w:rPr>
      <w:rFonts w:ascii="方正仿宋_GBK" w:eastAsia="方正仿宋_GBK" w:cs="方正仿宋_GBK"/>
      <w:color w:val="000000"/>
      <w:sz w:val="24"/>
      <w:szCs w:val="24"/>
      <w:u w:val="none"/>
      <w:lang w:bidi="ar-SA"/>
    </w:rPr>
  </w:style>
  <w:style w:type="character" w:customStyle="1" w:styleId="253">
    <w:name w:val="font41"/>
    <w:basedOn w:val="59"/>
    <w:qFormat/>
    <w:uiPriority w:val="0"/>
    <w:rPr>
      <w:rFonts w:hint="default" w:ascii="方正仿宋_GBK" w:hAnsi="方正仿宋_GBK" w:eastAsia="方正仿宋_GBK" w:cs="方正仿宋_GBK"/>
      <w:color w:val="FF0000"/>
      <w:sz w:val="20"/>
      <w:szCs w:val="20"/>
      <w:u w:val="none"/>
    </w:rPr>
  </w:style>
  <w:style w:type="character" w:customStyle="1" w:styleId="254">
    <w:name w:val="font31"/>
    <w:basedOn w:val="59"/>
    <w:qFormat/>
    <w:uiPriority w:val="0"/>
    <w:rPr>
      <w:rFonts w:hint="default" w:ascii="方正仿宋_GBK" w:hAnsi="方正仿宋_GBK" w:eastAsia="方正仿宋_GBK" w:cs="方正仿宋_GBK"/>
      <w:color w:val="FF0000"/>
      <w:sz w:val="20"/>
      <w:szCs w:val="20"/>
      <w:u w:val="none"/>
    </w:rPr>
  </w:style>
  <w:style w:type="character" w:customStyle="1" w:styleId="255">
    <w:name w:val="font21"/>
    <w:basedOn w:val="59"/>
    <w:qFormat/>
    <w:uiPriority w:val="0"/>
    <w:rPr>
      <w:rFonts w:hint="default"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34</Pages>
  <Words>15708</Words>
  <Characters>16376</Characters>
  <Lines>158</Lines>
  <Paragraphs>44</Paragraphs>
  <TotalTime>1</TotalTime>
  <ScaleCrop>false</ScaleCrop>
  <LinksUpToDate>false</LinksUpToDate>
  <CharactersWithSpaces>17414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2022-11-22T09:03:00Z</dcterms:created>
  <dc:creator>周媛媛</dc:creator>
  <cp:lastModifiedBy>寂冰漓</cp:lastModifiedBy>
  <cp:lastPrinted>2023-06-06T08:34:00Z</cp:lastPrinted>
  <dcterms:modified xsi:type="dcterms:W3CDTF">2023-06-08T03:59:44Z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312089853_cloud</vt:lpwstr>
  </property>
  <property fmtid="{D5CDD505-2E9C-101B-9397-08002B2CF9AE}" pid="4" name="ICV">
    <vt:lpwstr>29FC9E4A8D14426F82FB84838BAA9DA1_13</vt:lpwstr>
  </property>
</Properties>
</file>