
<file path=[Content_Types].xml><?xml version="1.0" encoding="utf-8"?>
<Types xmlns="http://schemas.openxmlformats.org/package/2006/content-types">
  <Default Extension="rels" ContentType="application/vnd.openxmlformats-package.relationships+xml"/>
  <Default Extension="xml" ContentType="application/xml"/>
  <Default Extension="jpeg" ContentType="image/jpeg"/>
  <Default Extension="png" ContentType="image/png"/>
  <Default Extension="bin" ContentType="application/vnd.openxmlformats-officedocument.oleObject"/>
  <Override PartName="/word/settings.xml" ContentType="application/vnd.openxmlformats-officedocument.wordprocessingml.setting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o="urn:schemas-microsoft-com:office:office" xmlns:r="http://schemas.openxmlformats.org/officeDocument/2006/relationships" xmlns:m="http://schemas.openxmlformats.org/officeDocument/2006/math" xmlns:v="urn:schemas-microsoft-com:vml" xmlns:a="http://schemas.openxmlformats.org/drawingml/2006/main" xmlns:wps="http://schemas.microsoft.com/office/word/2010/wordprocessingShape" xmlns:wp="http://schemas.openxmlformats.org/drawingml/2006/wordprocessingDrawing" xmlns:pic="http://schemas.openxmlformats.org/drawingml/2006/picture" xmlns:mc="http://schemas.openxmlformats.org/markup-compatibility/2006" xmlns:wpg="http://schemas.microsoft.com/office/word/2010/wordprocessingGroup" xmlns:wpc="http://schemas.microsoft.com/office/word/2010/wordprocessingCanvas" xmlns:w10="urn:schemas-microsoft-com:office:word" xmlns:w14="http://schemas.microsoft.com/office/word/2010/wordml" xmlns:a14="http://schemas.microsoft.com/office/drawing/2010/main" mc:Ignorable="w14">
  <w:body>
    <w:p>
      <w:pPr>
        <w:jc w:val="center"/>
        <w:textAlignment w:val="baseline"/>
        <w:rPr>
          <w:rFonts w:ascii="Times New Roman" w:eastAsia="方正小标宋_GBK" w:cs="Times New Roman" w:hAnsi="Times New Roman"/>
          <w:b/>
          <w:bCs/>
          <w:sz w:val="44"/>
          <w:szCs w:val="44"/>
        </w:rPr>
      </w:pPr>
      <w:r>
        <w:rPr>
          <w:rFonts w:ascii="Times New Roman" w:eastAsia="方正小标宋_GBK" w:cs="Times New Roman" w:hAnsi="Times New Roman"/>
          <w:b/>
          <w:bCs/>
          <w:sz w:val="44"/>
          <w:szCs w:val="44"/>
        </w:rPr>
        <w:t>江津区长江重庆段</w:t>
      </w:r>
      <w:r>
        <w:rPr>
          <w:rFonts w:ascii="Times New Roman" w:eastAsia="方正小标宋_GBK" w:cs="Times New Roman" w:hAnsi="Times New Roman" w:hint="eastAsia"/>
          <w:b/>
          <w:bCs/>
          <w:sz w:val="44"/>
          <w:szCs w:val="44"/>
        </w:rPr>
        <w:t>“两岸青山•千里林带”</w:t>
      </w:r>
      <w:bookmarkStart w:id="0" w:name="_GoBack"/>
      <w:bookmarkEnd w:id="0"/>
    </w:p>
    <w:p>
      <w:pPr>
        <w:jc w:val="center"/>
        <w:textAlignment w:val="baseline"/>
        <w:rPr>
          <w:rFonts w:ascii="Times New Roman" w:eastAsia="方正小标宋_GBK" w:cs="Times New Roman" w:hAnsi="Times New Roman"/>
          <w:b/>
          <w:bCs/>
          <w:sz w:val="44"/>
          <w:szCs w:val="44"/>
        </w:rPr>
      </w:pPr>
      <w:r>
        <w:rPr>
          <w:rFonts w:ascii="Times New Roman" w:eastAsia="方正小标宋_GBK" w:cs="Times New Roman" w:hAnsi="Times New Roman"/>
          <w:b/>
          <w:bCs/>
          <w:sz w:val="44"/>
          <w:szCs w:val="44"/>
        </w:rPr>
        <w:t>规划建设项目</w:t>
      </w:r>
    </w:p>
    <w:p>
      <w:pPr>
        <w:jc w:val="center"/>
        <w:textAlignment w:val="baseline"/>
        <w:rPr>
          <w:rFonts w:ascii="Times New Roman" w:eastAsia="方正楷体_GBK" w:cs="Times New Roman" w:hAnsi="Times New Roman"/>
          <w:b/>
          <w:bCs/>
          <w:sz w:val="44"/>
          <w:szCs w:val="44"/>
        </w:rPr>
      </w:pPr>
      <w:r>
        <w:rPr>
          <w:rFonts w:ascii="Times New Roman" w:eastAsia="方正楷体_GBK" w:cs="Times New Roman" w:hAnsi="Times New Roman"/>
          <w:sz w:val="32"/>
          <w:szCs w:val="32"/>
        </w:rPr>
        <w:t>（征求意见稿</w:t>
      </w:r>
      <w:r>
        <w:rPr>
          <w:rFonts w:ascii="Times New Roman" w:eastAsia="方正楷体_GBK" w:cs="Times New Roman" w:hAnsi="Times New Roman"/>
          <w:b/>
          <w:sz w:val="32"/>
          <w:szCs w:val="32"/>
        </w:rPr>
        <w:t>）</w:t>
      </w:r>
    </w:p>
    <w:p>
      <w:pPr>
        <w:jc w:val="center"/>
        <w:textAlignment w:val="baseline"/>
        <w:rPr>
          <w:rFonts w:ascii="Times New Roman" w:cs="Times New Roman" w:hAnsi="Times New Roman"/>
          <w:b/>
          <w:bCs/>
          <w:sz w:val="44"/>
          <w:szCs w:val="44"/>
        </w:rPr>
      </w:pPr>
    </w:p>
    <w:p>
      <w:pPr>
        <w:textAlignment w:val="baseline"/>
        <w:rPr>
          <w:rFonts w:ascii="Times New Roman" w:cs="Times New Roman" w:hAnsi="Times New Roman"/>
          <w:b/>
          <w:bCs/>
          <w:sz w:val="44"/>
          <w:szCs w:val="44"/>
        </w:rPr>
      </w:pPr>
    </w:p>
    <w:p>
      <w:pPr>
        <w:jc w:val="center"/>
        <w:textAlignment w:val="baseline"/>
        <w:rPr>
          <w:rFonts w:ascii="Times New Roman" w:eastAsia="方正小标宋_GBK" w:cs="Times New Roman" w:hAnsi="Times New Roman"/>
          <w:b/>
          <w:bCs/>
          <w:sz w:val="72"/>
          <w:szCs w:val="72"/>
        </w:rPr>
      </w:pPr>
      <w:r>
        <w:rPr>
          <w:rFonts w:ascii="Times New Roman" w:eastAsia="方正小标宋_GBK" w:cs="Times New Roman" w:hAnsi="Times New Roman"/>
          <w:b/>
          <w:bCs/>
          <w:sz w:val="72"/>
          <w:szCs w:val="72"/>
        </w:rPr>
        <w:t>总</w:t>
      </w:r>
    </w:p>
    <w:p>
      <w:pPr>
        <w:jc w:val="center"/>
        <w:textAlignment w:val="baseline"/>
        <w:rPr>
          <w:rFonts w:ascii="Times New Roman" w:eastAsia="方正小标宋_GBK" w:cs="Times New Roman" w:hAnsi="Times New Roman"/>
          <w:b/>
          <w:bCs/>
          <w:sz w:val="72"/>
          <w:szCs w:val="72"/>
        </w:rPr>
      </w:pPr>
      <w:r>
        <w:rPr>
          <w:rFonts w:ascii="Times New Roman" w:eastAsia="方正小标宋_GBK" w:cs="Times New Roman" w:hAnsi="Times New Roman"/>
          <w:b/>
          <w:bCs/>
          <w:sz w:val="72"/>
          <w:szCs w:val="72"/>
        </w:rPr>
        <w:t>体</w:t>
      </w:r>
    </w:p>
    <w:p>
      <w:pPr>
        <w:jc w:val="center"/>
        <w:textAlignment w:val="baseline"/>
        <w:rPr>
          <w:rFonts w:ascii="Times New Roman" w:eastAsia="方正小标宋_GBK" w:cs="Times New Roman" w:hAnsi="Times New Roman"/>
          <w:b/>
          <w:bCs/>
          <w:sz w:val="72"/>
          <w:szCs w:val="72"/>
        </w:rPr>
      </w:pPr>
      <w:r>
        <w:rPr>
          <w:rFonts w:ascii="Times New Roman" w:eastAsia="方正小标宋_GBK" w:cs="Times New Roman" w:hAnsi="Times New Roman"/>
          <w:b/>
          <w:bCs/>
          <w:sz w:val="72"/>
          <w:szCs w:val="72"/>
        </w:rPr>
        <w:t>实</w:t>
      </w:r>
    </w:p>
    <w:p>
      <w:pPr>
        <w:jc w:val="center"/>
        <w:textAlignment w:val="baseline"/>
        <w:rPr>
          <w:rFonts w:ascii="Times New Roman" w:eastAsia="方正小标宋_GBK" w:cs="Times New Roman" w:hAnsi="Times New Roman"/>
          <w:b/>
          <w:bCs/>
          <w:sz w:val="72"/>
          <w:szCs w:val="72"/>
        </w:rPr>
      </w:pPr>
      <w:r>
        <w:rPr>
          <w:rFonts w:ascii="Times New Roman" w:eastAsia="方正小标宋_GBK" w:cs="Times New Roman" w:hAnsi="Times New Roman"/>
          <w:b/>
          <w:bCs/>
          <w:sz w:val="72"/>
          <w:szCs w:val="72"/>
        </w:rPr>
        <w:t>施</w:t>
      </w:r>
    </w:p>
    <w:p>
      <w:pPr>
        <w:jc w:val="center"/>
        <w:textAlignment w:val="baseline"/>
        <w:rPr>
          <w:rFonts w:ascii="Times New Roman" w:eastAsia="方正小标宋_GBK" w:cs="Times New Roman" w:hAnsi="Times New Roman"/>
          <w:b/>
          <w:bCs/>
          <w:sz w:val="72"/>
          <w:szCs w:val="72"/>
        </w:rPr>
      </w:pPr>
      <w:r>
        <w:rPr>
          <w:rFonts w:ascii="Times New Roman" w:eastAsia="方正小标宋_GBK" w:cs="Times New Roman" w:hAnsi="Times New Roman"/>
          <w:b/>
          <w:bCs/>
          <w:sz w:val="72"/>
          <w:szCs w:val="72"/>
        </w:rPr>
        <w:t>方</w:t>
      </w:r>
    </w:p>
    <w:p>
      <w:pPr>
        <w:jc w:val="center"/>
        <w:textAlignment w:val="baseline"/>
        <w:rPr>
          <w:rFonts w:ascii="Times New Roman" w:eastAsia="方正小标宋_GBK" w:cs="Times New Roman" w:hAnsi="Times New Roman"/>
          <w:b/>
          <w:bCs/>
          <w:sz w:val="72"/>
          <w:szCs w:val="72"/>
        </w:rPr>
      </w:pPr>
      <w:r>
        <w:rPr>
          <w:rFonts w:ascii="Times New Roman" w:eastAsia="方正小标宋_GBK" w:cs="Times New Roman" w:hAnsi="Times New Roman"/>
          <w:b/>
          <w:bCs/>
          <w:sz w:val="72"/>
          <w:szCs w:val="72"/>
        </w:rPr>
        <w:t>案</w:t>
      </w:r>
    </w:p>
    <w:p>
      <w:pPr>
        <w:pStyle w:val="20"/>
        <w:tabs>
          <w:tab w:val="right" w:leader="dot" w:pos="10253"/>
        </w:tabs>
        <w:ind w:firstLineChars="200" w:firstLine="640"/>
        <w:textAlignment w:val="baseline"/>
        <w:rPr>
          <w:rFonts w:ascii="Times New Roman" w:eastAsia="方正小标宋_GBK" w:cs="Times New Roman" w:hAnsi="Times New Roman"/>
          <w:sz w:val="32"/>
          <w:szCs w:val="32"/>
        </w:rPr>
      </w:pPr>
    </w:p>
    <w:p>
      <w:pPr>
        <w:pStyle w:val="20"/>
        <w:tabs>
          <w:tab w:val="right" w:leader="dot" w:pos="10253"/>
        </w:tabs>
        <w:ind w:firstLineChars="200" w:firstLine="640"/>
        <w:textAlignment w:val="baseline"/>
        <w:rPr>
          <w:rFonts w:ascii="Times New Roman" w:eastAsia="华文行楷" w:cs="Times New Roman" w:hAnsi="Times New Roman"/>
          <w:sz w:val="32"/>
          <w:szCs w:val="32"/>
        </w:rPr>
      </w:pPr>
    </w:p>
    <w:p>
      <w:pPr>
        <w:pStyle w:val="20"/>
        <w:tabs>
          <w:tab w:val="right" w:leader="dot" w:pos="10253"/>
        </w:tabs>
        <w:ind w:firstLineChars="200" w:firstLine="640"/>
        <w:textAlignment w:val="baseline"/>
        <w:rPr>
          <w:rFonts w:ascii="Times New Roman" w:eastAsia="华文行楷" w:cs="Times New Roman" w:hAnsi="Times New Roman"/>
          <w:sz w:val="32"/>
          <w:szCs w:val="32"/>
        </w:rPr>
      </w:pPr>
    </w:p>
    <w:p>
      <w:pPr>
        <w:pStyle w:val="20"/>
        <w:tabs>
          <w:tab w:val="right" w:leader="dot" w:pos="10253"/>
        </w:tabs>
        <w:ind w:firstLineChars="200" w:firstLine="640"/>
        <w:textAlignment w:val="baseline"/>
        <w:rPr>
          <w:rFonts w:ascii="Times New Roman" w:eastAsia="华文行楷" w:cs="Times New Roman" w:hAnsi="Times New Roman"/>
          <w:sz w:val="32"/>
          <w:szCs w:val="32"/>
        </w:rPr>
      </w:pPr>
    </w:p>
    <w:p>
      <w:pPr>
        <w:pStyle w:val="20"/>
        <w:tabs>
          <w:tab w:val="right" w:leader="dot" w:pos="10253"/>
        </w:tabs>
        <w:ind w:firstLineChars="200" w:firstLine="880"/>
        <w:textAlignment w:val="baseline"/>
        <w:rPr>
          <w:rFonts w:ascii="Times New Roman" w:eastAsia="华文行楷" w:cs="Times New Roman" w:hAnsi="Times New Roman"/>
          <w:b/>
          <w:bCs/>
          <w:sz w:val="44"/>
          <w:szCs w:val="44"/>
        </w:rPr>
      </w:pPr>
    </w:p>
    <w:p>
      <w:pPr>
        <w:pStyle w:val="20"/>
        <w:tabs>
          <w:tab w:val="right" w:leader="dot" w:pos="10253"/>
        </w:tabs>
        <w:ind w:firstLineChars="200" w:firstLine="880"/>
        <w:textAlignment w:val="baseline"/>
        <w:rPr>
          <w:rFonts w:ascii="Times New Roman" w:eastAsia="华文行楷" w:cs="Times New Roman" w:hAnsi="Times New Roman"/>
          <w:b/>
          <w:bCs/>
          <w:sz w:val="44"/>
          <w:szCs w:val="44"/>
        </w:rPr>
      </w:pPr>
    </w:p>
    <w:p>
      <w:pPr>
        <w:pStyle w:val="20"/>
        <w:tabs>
          <w:tab w:val="right" w:leader="dot" w:pos="10253"/>
        </w:tabs>
        <w:ind w:firstLineChars="700" w:firstLine="2520"/>
        <w:textAlignment w:val="baseline"/>
        <w:rPr>
          <w:rFonts w:ascii="Times New Roman" w:eastAsia="方正楷体_GBK" w:cs="Times New Roman" w:hAnsi="Times New Roman"/>
          <w:sz w:val="36"/>
          <w:szCs w:val="36"/>
        </w:rPr>
      </w:pPr>
      <w:r>
        <w:rPr>
          <w:rFonts w:ascii="Times New Roman" w:eastAsia="方正楷体_GBK" w:cs="Times New Roman" w:hAnsi="Times New Roman"/>
          <w:b/>
          <w:bCs/>
          <w:sz w:val="36"/>
          <w:szCs w:val="36"/>
        </w:rPr>
        <w:t>重庆市江津区林业局</w:t>
      </w:r>
    </w:p>
    <w:p>
      <w:pPr>
        <w:pStyle w:val="20"/>
        <w:tabs>
          <w:tab w:val="right" w:leader="dot" w:pos="10253"/>
        </w:tabs>
        <w:ind w:firstLineChars="200" w:firstLine="640"/>
        <w:textAlignment w:val="baseline"/>
        <w:rPr>
          <w:rFonts w:ascii="Times New Roman" w:eastAsia="方正楷体_GBK" w:cs="Times New Roman" w:hAnsi="Times New Roman"/>
          <w:sz w:val="32"/>
          <w:szCs w:val="32"/>
        </w:rPr>
      </w:pPr>
      <w:r>
        <w:rPr>
          <w:rFonts w:ascii="Times New Roman" w:eastAsia="方正楷体_GBK" w:cs="Times New Roman" w:hAnsi="Times New Roman"/>
          <w:sz w:val="32"/>
          <w:szCs w:val="32"/>
        </w:rPr>
        <w:t xml:space="preserve">               二○二一年九月</w:t>
      </w:r>
    </w:p>
    <w:p>
      <w:pPr>
        <w:rPr>
          <w:rFonts w:ascii="Times New Roman" w:cs="Times New Roman" w:hAnsi="Times New Roman"/>
        </w:rPr>
      </w:pPr>
    </w:p>
    <w:p>
      <w:pPr>
        <w:pStyle w:val="20"/>
        <w:tabs>
          <w:tab w:val="right" w:leader="dot" w:pos="10253"/>
        </w:tabs>
        <w:jc w:val="center"/>
        <w:textAlignment w:val="baseline"/>
        <w:rPr>
          <w:rFonts w:ascii="Times New Roman" w:eastAsia="方正小标宋_GBK" w:cs="Times New Roman" w:hAnsi="Times New Roman"/>
          <w:sz w:val="36"/>
          <w:szCs w:val="36"/>
        </w:rPr>
        <w:sectPr>
          <w:footerReference w:type="default" r:id="rId2"/>
          <w:pgSz w:w="11910" w:h="16840"/>
          <w:pgMar w:top="1960" w:right="1520" w:bottom="1200" w:left="1680" w:header="1620" w:footer="1015" w:gutter="0"/>
          <w:pgNumType w:start="1"/>
          <w:docGrid w:linePitch="312" w:charSpace="0"/>
        </w:sectPr>
      </w:pPr>
    </w:p>
    <w:p>
      <w:pPr>
        <w:pStyle w:val="20"/>
        <w:tabs>
          <w:tab w:val="right" w:leader="dot" w:pos="10253"/>
        </w:tabs>
        <w:jc w:val="center"/>
        <w:textAlignment w:val="baseline"/>
        <w:rPr>
          <w:rFonts w:ascii="Times New Roman" w:eastAsia="方正小标宋_GBK" w:cs="Times New Roman" w:hAnsi="Times New Roman"/>
          <w:sz w:val="40"/>
          <w:szCs w:val="40"/>
        </w:rPr>
      </w:pPr>
      <w:r>
        <w:rPr>
          <w:rFonts w:ascii="Times New Roman" w:eastAsia="方正小标宋_GBK" w:cs="Times New Roman" w:hAnsi="Times New Roman"/>
          <w:sz w:val="40"/>
          <w:szCs w:val="40"/>
        </w:rPr>
        <w:t>前  言</w:t>
      </w:r>
    </w:p>
    <w:p>
      <w:pPr>
        <w:snapToGrid w:val="0"/>
        <w:spacing w:line="360" w:lineRule="auto"/>
        <w:ind w:firstLineChars="200" w:firstLine="560"/>
        <w:textAlignment w:val="baseline"/>
        <w:rPr>
          <w:rFonts w:ascii="Times New Roman" w:eastAsia="方正仿宋_GBK" w:cs="Times New Roman" w:hAnsi="Times New Roman"/>
          <w:sz w:val="28"/>
          <w:szCs w:val="28"/>
        </w:rPr>
      </w:pP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sz w:val="32"/>
          <w:szCs w:val="32"/>
        </w:rPr>
      </w:pPr>
      <w:r>
        <w:rPr>
          <w:rFonts w:ascii="Times New Roman" w:eastAsia="方正仿宋_GBK" w:cs="Times New Roman" w:hAnsi="Times New Roman"/>
          <w:sz w:val="32"/>
          <w:szCs w:val="32"/>
        </w:rPr>
        <w:t>为深学笃用习近平生态文明思想，深入贯彻习近平总书记关于推动长江经济带发展的重要讲话精神，推动落实《成渝地区双城经济圈建设规划纲要》，着力解决长江重庆段等大江大河两岸水土流失治理难、造林绿化水平低、城乡生态修复困难多、生态屏障功能仍然脆弱等突出问题，统筹推进乡村振兴和城市提升，实现巩固拓展脱贫攻坚成果与乡村振兴有效衔接，促进人与自然和谐共生。着力加强生态环境系统性保护与修复，保持长江生态系统原真性和完整性，以建设大尺度森林、保护生物多样性、构建完整的森林生态系统为理念，以增进市民绿色福祉为宗旨，通过生态空间挖潜力补天窗、生产空间调结构还林草、生活空间增绿量添色彩，努力实现林相季相变化多彩、成片零星相间配置、疏密高低错落有致，逐步在重庆大江大河及两岸形成</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一江碧水、层林叠翠、四季花漾、瓜果飘香</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的千里江山巴渝画廊美景。</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bCs/>
          <w:sz w:val="32"/>
          <w:szCs w:val="32"/>
        </w:rPr>
      </w:pPr>
      <w:r>
        <w:rPr>
          <w:rFonts w:ascii="Times New Roman" w:eastAsia="方正仿宋_GBK" w:cs="Times New Roman" w:hAnsi="Times New Roman"/>
          <w:bCs/>
          <w:sz w:val="32"/>
          <w:szCs w:val="32"/>
        </w:rPr>
        <w:t>江津区位于长江上游，长江流经境内127公里，占整个重庆段的1/5，生态区位极其重要，是保护和治理的核心。实施“两岸青山•千里林带”建设工程，意义重大。为此，</w:t>
      </w:r>
      <w:r>
        <w:rPr>
          <w:rFonts w:ascii="Times New Roman" w:eastAsia="方正仿宋_GBK" w:cs="Times New Roman" w:hAnsi="Times New Roman"/>
          <w:sz w:val="32"/>
          <w:szCs w:val="32"/>
        </w:rPr>
        <w:t>江津区委</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区政府高度重视，</w:t>
      </w:r>
      <w:r>
        <w:rPr>
          <w:rFonts w:ascii="Times New Roman" w:eastAsia="方正仿宋_GBK" w:cs="Times New Roman" w:hAnsi="Times New Roman"/>
          <w:bCs/>
          <w:sz w:val="32"/>
          <w:szCs w:val="32"/>
        </w:rPr>
        <w:t>坚持共抓大保护、不搞大开发，统筹谋划好长江两岸生态修复和保护，以增加两岸生物多样性、提高生态环境质量为主攻方向，着力解决长江两岸造林绿化质量不高、生态屏障功能脆弱等问题，在长江两岸第一层山脊线（平缓地区江岸线外1000米）范围内努力建成两岸青山、千里林带</w:t>
      </w:r>
      <w:r>
        <w:rPr>
          <w:rFonts w:ascii="Times New Roman" w:eastAsia="方正仿宋_GBK" w:cs="Times New Roman" w:hAnsi="Times New Roman"/>
          <w:bCs/>
          <w:sz w:val="32"/>
          <w:szCs w:val="32"/>
          <w:lang w:eastAsia="zh-CN"/>
        </w:rPr>
        <w:t>，</w:t>
      </w:r>
      <w:r>
        <w:rPr>
          <w:rFonts w:ascii="Times New Roman" w:eastAsia="方正仿宋_GBK" w:cs="Times New Roman" w:hAnsi="Times New Roman"/>
          <w:bCs/>
          <w:sz w:val="32"/>
          <w:szCs w:val="32"/>
        </w:rPr>
        <w:t>并且决定，由江津区林业局牵头编制总体实施方案</w:t>
      </w:r>
      <w:r>
        <w:rPr>
          <w:rFonts w:ascii="Times New Roman" w:eastAsia="方正仿宋_GBK" w:cs="Times New Roman" w:hAnsi="Times New Roman"/>
          <w:bCs/>
          <w:sz w:val="32"/>
          <w:szCs w:val="32"/>
          <w:lang w:eastAsia="zh-CN"/>
        </w:rPr>
        <w:t>。</w:t>
      </w:r>
      <w:r>
        <w:rPr>
          <w:rFonts w:ascii="Times New Roman" w:eastAsia="方正仿宋_GBK" w:cs="Times New Roman" w:hAnsi="Times New Roman"/>
          <w:bCs/>
          <w:sz w:val="32"/>
          <w:szCs w:val="32"/>
        </w:rPr>
        <w:t>受江津区林业局委托</w:t>
      </w:r>
      <w:r>
        <w:rPr>
          <w:rFonts w:ascii="Times New Roman" w:eastAsia="方正仿宋_GBK" w:cs="Times New Roman" w:hAnsi="Times New Roman"/>
          <w:bCs/>
          <w:sz w:val="32"/>
          <w:szCs w:val="32"/>
          <w:lang w:eastAsia="zh-CN"/>
        </w:rPr>
        <w:t>，</w:t>
      </w:r>
      <w:r>
        <w:rPr>
          <w:rFonts w:ascii="Times New Roman" w:eastAsia="方正仿宋_GBK" w:cs="Times New Roman" w:hAnsi="Times New Roman"/>
          <w:bCs/>
          <w:sz w:val="32"/>
          <w:szCs w:val="32"/>
        </w:rPr>
        <w:t>重庆市瀚业园林工程有限公司承担了《</w:t>
      </w:r>
      <w:r>
        <w:rPr>
          <w:rFonts w:ascii="Times New Roman" w:eastAsia="方正仿宋_GBK" w:cs="Times New Roman" w:hAnsi="Times New Roman"/>
          <w:sz w:val="32"/>
          <w:szCs w:val="32"/>
        </w:rPr>
        <w:t>江津区长江重庆段</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总体实施方案》</w:t>
      </w:r>
      <w:r>
        <w:rPr>
          <w:rFonts w:ascii="Times New Roman" w:eastAsia="方正仿宋_GBK" w:cs="Times New Roman" w:hAnsi="Times New Roman"/>
          <w:bCs/>
          <w:sz w:val="32"/>
          <w:szCs w:val="32"/>
        </w:rPr>
        <w:t>编制工作</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接到任务后，项目组开展了外业调查和相关数据收集，研究分析了土地利用空间，开展了森林数量提升与质量提升空间分析</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完成了方案的编制工作。文本在编制过程中得到</w:t>
      </w:r>
      <w:r>
        <w:rPr>
          <w:rFonts w:ascii="Times New Roman" w:eastAsia="方正仿宋_GBK" w:cs="Times New Roman" w:hAnsi="Times New Roman"/>
          <w:bCs/>
          <w:sz w:val="32"/>
          <w:szCs w:val="32"/>
        </w:rPr>
        <w:t>江津区林业局、各镇街领导以及相关技术人员的大力支持和帮助，在此一并表示感谢，同时，鉴于编写水平有限，文本中难免有错漏不足之处，敬请批评指正。</w:t>
      </w:r>
    </w:p>
    <w:p>
      <w:pPr>
        <w:pStyle w:val="22"/>
        <w:shd w:val="clear" w:color="auto" w:fill="FFFFFF"/>
        <w:spacing w:before="0" w:beforeAutospacing="0" w:after="0" w:afterAutospacing="0" w:line="360" w:lineRule="auto"/>
        <w:ind w:firstLine="480"/>
        <w:jc w:val="both"/>
        <w:rPr>
          <w:rFonts w:ascii="Times New Roman" w:eastAsia="方正仿宋_GBK" w:cs="Times New Roman" w:hAnsi="Times New Roman"/>
          <w:bCs/>
          <w:sz w:val="32"/>
          <w:szCs w:val="32"/>
        </w:rPr>
      </w:pP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bCs/>
          <w:sz w:val="30"/>
          <w:szCs w:val="30"/>
        </w:rPr>
      </w:pP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bCs/>
          <w:sz w:val="30"/>
          <w:szCs w:val="30"/>
        </w:rPr>
      </w:pP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bCs/>
          <w:sz w:val="30"/>
          <w:szCs w:val="30"/>
        </w:rPr>
      </w:pPr>
    </w:p>
    <w:p>
      <w:pPr>
        <w:pStyle w:val="22"/>
        <w:shd w:val="clear" w:color="auto" w:fill="FFFFFF"/>
        <w:spacing w:before="0" w:beforeAutospacing="0" w:after="0" w:afterAutospacing="0" w:line="360" w:lineRule="auto"/>
        <w:jc w:val="both"/>
        <w:rPr>
          <w:rFonts w:ascii="Times New Roman" w:eastAsia="方正楷体_GBK" w:cs="Times New Roman" w:hAnsi="Times New Roman"/>
          <w:color w:val="FF0000"/>
          <w:sz w:val="28"/>
          <w:szCs w:val="28"/>
        </w:rPr>
      </w:pPr>
    </w:p>
    <w:p>
      <w:pPr>
        <w:widowControl/>
        <w:jc w:val="left"/>
        <w:rPr>
          <w:rFonts w:ascii="Times New Roman" w:eastAsia="华文楷体" w:cs="Times New Roman" w:hAnsi="Times New Roman"/>
          <w:sz w:val="28"/>
          <w:szCs w:val="28"/>
        </w:rPr>
      </w:pPr>
      <w:r>
        <w:rPr>
          <w:rFonts w:ascii="Times New Roman" w:eastAsia="华文楷体" w:cs="Times New Roman" w:hAnsi="Times New Roman"/>
          <w:sz w:val="28"/>
          <w:szCs w:val="28"/>
        </w:rPr>
        <w:br w:type="page"/>
      </w:r>
    </w:p>
    <w:p>
      <w:pPr>
        <w:spacing w:line="360" w:lineRule="auto"/>
        <w:jc w:val="center"/>
        <w:rPr>
          <w:rFonts w:ascii="Times New Roman" w:eastAsia="方正黑体_GBK" w:cs="Times New Roman" w:hAnsi="Times New Roman"/>
          <w:b/>
          <w:bCs/>
          <w:sz w:val="32"/>
          <w:szCs w:val="32"/>
        </w:rPr>
      </w:pPr>
      <w:r>
        <w:rPr>
          <w:rFonts w:ascii="Times New Roman" w:eastAsia="方正黑体_GBK" w:cs="Times New Roman" w:hAnsi="Times New Roman"/>
          <w:b/>
          <w:bCs/>
          <w:sz w:val="32"/>
          <w:szCs w:val="32"/>
        </w:rPr>
        <w:t>目 录</w:t>
      </w:r>
    </w:p>
    <w:p>
      <w:pPr>
        <w:pStyle w:val="21"/>
        <w:tabs>
          <w:tab w:val="right" w:leader="dot" w:pos="8710"/>
        </w:tabs>
        <w:rPr>
          <w:sz w:val="32"/>
          <w:szCs w:val="32"/>
        </w:rPr>
      </w:pPr>
      <w:r>
        <w:rPr>
          <w:rFonts w:ascii="Times New Roman" w:eastAsia="华文楷体" w:cs="Times New Roman" w:hAnsi="Times New Roman"/>
          <w:sz w:val="32"/>
          <w:szCs w:val="32"/>
        </w:rPr>
        <w:fldChar w:fldCharType="begin"/>
      </w:r>
      <w:r>
        <w:rPr>
          <w:rFonts w:ascii="Times New Roman" w:eastAsia="华文楷体" w:cs="Times New Roman" w:hAnsi="Times New Roman"/>
          <w:sz w:val="32"/>
          <w:szCs w:val="32"/>
        </w:rPr>
        <w:instrText xml:space="preserve">TOC \o "1-2" \h \u </w:instrText>
      </w:r>
      <w:r>
        <w:rPr>
          <w:rFonts w:ascii="Times New Roman" w:eastAsia="华文楷体" w:cs="Times New Roman" w:hAnsi="Times New Roman"/>
          <w:sz w:val="32"/>
          <w:szCs w:val="32"/>
        </w:rPr>
        <w:fldChar w:fldCharType="separate"/>
      </w:r>
      <w:r>
        <w:rPr>
          <w:sz w:val="32"/>
          <w:szCs w:val="32"/>
        </w:rPr>
        <w:fldChar w:fldCharType="begin"/>
      </w:r>
      <w:r>
        <w:rPr>
          <w:sz w:val="32"/>
          <w:szCs w:val="32"/>
        </w:rPr>
        <w:instrText>Hyperlink \l "_Toc44272715"</w:instrText>
      </w:r>
      <w:r>
        <w:rPr>
          <w:sz w:val="32"/>
          <w:szCs w:val="32"/>
        </w:rPr>
        <w:fldChar w:fldCharType="separate"/>
      </w:r>
      <w:r>
        <w:rPr>
          <w:rFonts w:ascii="Times New Roman" w:eastAsia="方正黑体_GBK" w:cs="Times New Roman" w:hAnsi="Times New Roman"/>
          <w:bCs w:val="0"/>
          <w:sz w:val="32"/>
          <w:szCs w:val="32"/>
        </w:rPr>
        <w:t>一、基本概况</w:t>
      </w:r>
      <w:r>
        <w:rPr>
          <w:sz w:val="32"/>
          <w:szCs w:val="32"/>
        </w:rPr>
        <w:tab/>
      </w:r>
      <w:r>
        <w:rPr>
          <w:sz w:val="32"/>
          <w:szCs w:val="32"/>
        </w:rPr>
        <w:fldChar w:fldCharType="begin"/>
      </w:r>
      <w:r>
        <w:rPr>
          <w:sz w:val="32"/>
          <w:szCs w:val="32"/>
        </w:rPr>
        <w:instrText>PageRef _Toc44272715 \h</w:instrText>
      </w:r>
      <w:r>
        <w:rPr>
          <w:sz w:val="32"/>
          <w:szCs w:val="32"/>
        </w:rPr>
        <w:fldChar w:fldCharType="separate"/>
      </w:r>
      <w:r>
        <w:rPr>
          <w:sz w:val="32"/>
          <w:szCs w:val="32"/>
        </w:rPr>
        <w:t>1</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"_Toc44272716"</w:instrText>
      </w:r>
      <w:r>
        <w:rPr>
          <w:sz w:val="32"/>
          <w:szCs w:val="32"/>
        </w:rPr>
        <w:fldChar w:fldCharType="separate"/>
      </w:r>
      <w:r>
        <w:rPr>
          <w:rFonts w:ascii="Times New Roman" w:eastAsia="方正楷体_GBK" w:cs="Times New Roman" w:hAnsi="Times New Roman"/>
          <w:sz w:val="32"/>
          <w:szCs w:val="32"/>
        </w:rPr>
        <w:t>（一）地理位置</w:t>
      </w:r>
      <w:r>
        <w:rPr>
          <w:sz w:val="32"/>
          <w:szCs w:val="32"/>
        </w:rPr>
        <w:tab/>
      </w:r>
      <w:r>
        <w:rPr>
          <w:sz w:val="32"/>
          <w:szCs w:val="32"/>
        </w:rPr>
        <w:fldChar w:fldCharType="begin"/>
      </w:r>
      <w:r>
        <w:rPr>
          <w:sz w:val="32"/>
          <w:szCs w:val="32"/>
        </w:rPr>
        <w:instrText>PageRef _Toc44272716 \h</w:instrText>
      </w:r>
      <w:r>
        <w:rPr>
          <w:sz w:val="32"/>
          <w:szCs w:val="32"/>
        </w:rPr>
        <w:fldChar w:fldCharType="separate"/>
      </w:r>
      <w:r>
        <w:rPr>
          <w:sz w:val="32"/>
          <w:szCs w:val="32"/>
        </w:rPr>
        <w:t>1</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"_Toc44272717"</w:instrText>
      </w:r>
      <w:r>
        <w:rPr>
          <w:sz w:val="32"/>
          <w:szCs w:val="32"/>
        </w:rPr>
        <w:fldChar w:fldCharType="separate"/>
      </w:r>
      <w:r>
        <w:rPr>
          <w:rFonts w:ascii="Times New Roman" w:eastAsia="方正楷体_GBK" w:cs="Times New Roman" w:hAnsi="Times New Roman"/>
          <w:sz w:val="32"/>
          <w:szCs w:val="32"/>
        </w:rPr>
        <w:t>（二）自然概况</w:t>
      </w:r>
      <w:r>
        <w:rPr>
          <w:sz w:val="32"/>
          <w:szCs w:val="32"/>
        </w:rPr>
        <w:tab/>
      </w:r>
      <w:r>
        <w:rPr>
          <w:sz w:val="32"/>
          <w:szCs w:val="32"/>
        </w:rPr>
        <w:fldChar w:fldCharType="begin"/>
      </w:r>
      <w:r>
        <w:rPr>
          <w:sz w:val="32"/>
          <w:szCs w:val="32"/>
        </w:rPr>
        <w:instrText>PageRef _Toc44272717 \h</w:instrText>
      </w:r>
      <w:r>
        <w:rPr>
          <w:sz w:val="32"/>
          <w:szCs w:val="32"/>
        </w:rPr>
        <w:fldChar w:fldCharType="separate"/>
      </w:r>
      <w:r>
        <w:rPr>
          <w:sz w:val="32"/>
          <w:szCs w:val="32"/>
        </w:rPr>
        <w:t>1</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"_Toc44272718"</w:instrText>
      </w:r>
      <w:r>
        <w:rPr>
          <w:sz w:val="32"/>
          <w:szCs w:val="32"/>
        </w:rPr>
        <w:fldChar w:fldCharType="separate"/>
      </w:r>
      <w:r>
        <w:rPr>
          <w:rFonts w:ascii="Times New Roman" w:eastAsia="方正楷体_GBK" w:cs="Times New Roman" w:hAnsi="Times New Roman"/>
          <w:sz w:val="32"/>
          <w:szCs w:val="32"/>
        </w:rPr>
        <w:t>（三）资源状况</w:t>
      </w:r>
      <w:r>
        <w:rPr>
          <w:sz w:val="32"/>
          <w:szCs w:val="32"/>
        </w:rPr>
        <w:tab/>
      </w:r>
      <w:r>
        <w:rPr>
          <w:sz w:val="32"/>
          <w:szCs w:val="32"/>
        </w:rPr>
        <w:fldChar w:fldCharType="begin"/>
      </w:r>
      <w:r>
        <w:rPr>
          <w:sz w:val="32"/>
          <w:szCs w:val="32"/>
        </w:rPr>
        <w:instrText>PageRef _Toc44272718 \h</w:instrText>
      </w:r>
      <w:r>
        <w:rPr>
          <w:sz w:val="32"/>
          <w:szCs w:val="32"/>
        </w:rPr>
        <w:fldChar w:fldCharType="separate"/>
      </w:r>
      <w:r>
        <w:rPr>
          <w:sz w:val="32"/>
          <w:szCs w:val="32"/>
        </w:rPr>
        <w:t>2</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"_Toc44272719"</w:instrText>
      </w:r>
      <w:r>
        <w:rPr>
          <w:sz w:val="32"/>
          <w:szCs w:val="32"/>
        </w:rPr>
        <w:fldChar w:fldCharType="separate"/>
      </w:r>
      <w:r>
        <w:rPr>
          <w:rFonts w:ascii="Times New Roman" w:eastAsia="方正楷体_GBK" w:cs="Times New Roman" w:hAnsi="Times New Roman"/>
          <w:sz w:val="32"/>
          <w:szCs w:val="32"/>
        </w:rPr>
        <w:t>（四）经济社会状况</w:t>
      </w:r>
      <w:r>
        <w:rPr>
          <w:sz w:val="32"/>
          <w:szCs w:val="32"/>
        </w:rPr>
        <w:tab/>
      </w:r>
      <w:r>
        <w:rPr>
          <w:sz w:val="32"/>
          <w:szCs w:val="32"/>
        </w:rPr>
        <w:fldChar w:fldCharType="begin"/>
      </w:r>
      <w:r>
        <w:rPr>
          <w:sz w:val="32"/>
          <w:szCs w:val="32"/>
        </w:rPr>
        <w:instrText>PageRef _Toc44272719 \h</w:instrText>
      </w:r>
      <w:r>
        <w:rPr>
          <w:sz w:val="32"/>
          <w:szCs w:val="32"/>
        </w:rPr>
        <w:fldChar w:fldCharType="separate"/>
      </w:r>
      <w:r>
        <w:rPr>
          <w:sz w:val="32"/>
          <w:szCs w:val="32"/>
        </w:rPr>
        <w:t>4</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"_Toc44272720"</w:instrText>
      </w:r>
      <w:r>
        <w:rPr>
          <w:sz w:val="32"/>
          <w:szCs w:val="32"/>
        </w:rPr>
        <w:fldChar w:fldCharType="separate"/>
      </w:r>
      <w:r>
        <w:rPr>
          <w:rFonts w:ascii="Times New Roman" w:eastAsia="方正楷体_GBK" w:cs="Times New Roman" w:hAnsi="Times New Roman"/>
          <w:sz w:val="32"/>
          <w:szCs w:val="32"/>
        </w:rPr>
        <w:t>（五）交通运输状况</w:t>
      </w:r>
      <w:r>
        <w:rPr>
          <w:sz w:val="32"/>
          <w:szCs w:val="32"/>
        </w:rPr>
        <w:tab/>
      </w:r>
      <w:r>
        <w:rPr>
          <w:sz w:val="32"/>
          <w:szCs w:val="32"/>
        </w:rPr>
        <w:fldChar w:fldCharType="begin"/>
      </w:r>
      <w:r>
        <w:rPr>
          <w:sz w:val="32"/>
          <w:szCs w:val="32"/>
        </w:rPr>
        <w:instrText>PageRef _Toc44272720 \h</w:instrText>
      </w:r>
      <w:r>
        <w:rPr>
          <w:sz w:val="32"/>
          <w:szCs w:val="32"/>
        </w:rPr>
        <w:fldChar w:fldCharType="separate"/>
      </w:r>
      <w:r>
        <w:rPr>
          <w:sz w:val="32"/>
          <w:szCs w:val="32"/>
        </w:rPr>
        <w:t>5</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"_Toc44272721"</w:instrText>
      </w:r>
      <w:r>
        <w:rPr>
          <w:sz w:val="32"/>
          <w:szCs w:val="32"/>
        </w:rPr>
        <w:fldChar w:fldCharType="separate"/>
      </w:r>
      <w:r>
        <w:rPr>
          <w:rFonts w:ascii="Times New Roman" w:eastAsia="方正楷体_GBK" w:cs="Times New Roman" w:hAnsi="Times New Roman"/>
          <w:sz w:val="32"/>
          <w:szCs w:val="32"/>
        </w:rPr>
        <w:t>（六）项目区概况</w:t>
      </w:r>
      <w:r>
        <w:rPr>
          <w:sz w:val="32"/>
          <w:szCs w:val="32"/>
        </w:rPr>
        <w:tab/>
      </w:r>
      <w:r>
        <w:rPr>
          <w:sz w:val="32"/>
          <w:szCs w:val="32"/>
        </w:rPr>
        <w:fldChar w:fldCharType="begin"/>
      </w:r>
      <w:r>
        <w:rPr>
          <w:sz w:val="32"/>
          <w:szCs w:val="32"/>
        </w:rPr>
        <w:instrText>PageRef _Toc44272721 \h</w:instrText>
      </w:r>
      <w:r>
        <w:rPr>
          <w:sz w:val="32"/>
          <w:szCs w:val="32"/>
        </w:rPr>
        <w:fldChar w:fldCharType="separate"/>
      </w:r>
      <w:r>
        <w:rPr>
          <w:sz w:val="32"/>
          <w:szCs w:val="32"/>
        </w:rPr>
        <w:t>5</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"_Toc44272722"</w:instrText>
      </w:r>
      <w:r>
        <w:rPr>
          <w:sz w:val="32"/>
          <w:szCs w:val="32"/>
        </w:rPr>
        <w:fldChar w:fldCharType="separate"/>
      </w:r>
      <w:r>
        <w:rPr>
          <w:rFonts w:ascii="Times New Roman" w:eastAsia="方正黑体_GBK" w:cs="Times New Roman" w:hAnsi="Times New Roman"/>
          <w:bCs w:val="0"/>
          <w:sz w:val="32"/>
          <w:szCs w:val="32"/>
        </w:rPr>
        <w:t>二、空间分析</w:t>
      </w:r>
      <w:r>
        <w:rPr>
          <w:sz w:val="32"/>
          <w:szCs w:val="32"/>
        </w:rPr>
        <w:tab/>
      </w:r>
      <w:r>
        <w:rPr>
          <w:sz w:val="32"/>
          <w:szCs w:val="32"/>
        </w:rPr>
        <w:fldChar w:fldCharType="begin"/>
      </w:r>
      <w:r>
        <w:rPr>
          <w:sz w:val="32"/>
          <w:szCs w:val="32"/>
        </w:rPr>
        <w:instrText>PageRef _Toc44272722 \h</w:instrText>
      </w:r>
      <w:r>
        <w:rPr>
          <w:sz w:val="32"/>
          <w:szCs w:val="32"/>
        </w:rPr>
        <w:fldChar w:fldCharType="separate"/>
      </w:r>
      <w:r>
        <w:rPr>
          <w:sz w:val="32"/>
          <w:szCs w:val="32"/>
        </w:rPr>
        <w:t>6</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"_Toc44272723"</w:instrText>
      </w:r>
      <w:r>
        <w:rPr>
          <w:sz w:val="32"/>
          <w:szCs w:val="32"/>
        </w:rPr>
        <w:fldChar w:fldCharType="separate"/>
      </w:r>
      <w:r>
        <w:rPr>
          <w:rFonts w:ascii="Times New Roman" w:eastAsia="方正楷体_GBK" w:cs="Times New Roman" w:hAnsi="Times New Roman"/>
          <w:sz w:val="32"/>
          <w:szCs w:val="32"/>
        </w:rPr>
        <w:t>（一）土地利用现状分析</w:t>
      </w:r>
      <w:r>
        <w:rPr>
          <w:sz w:val="32"/>
          <w:szCs w:val="32"/>
        </w:rPr>
        <w:tab/>
      </w:r>
      <w:r>
        <w:rPr>
          <w:sz w:val="32"/>
          <w:szCs w:val="32"/>
        </w:rPr>
        <w:fldChar w:fldCharType="begin"/>
      </w:r>
      <w:r>
        <w:rPr>
          <w:sz w:val="32"/>
          <w:szCs w:val="32"/>
        </w:rPr>
        <w:instrText>PageRef _Toc44272723 \h</w:instrText>
      </w:r>
      <w:r>
        <w:rPr>
          <w:sz w:val="32"/>
          <w:szCs w:val="32"/>
        </w:rPr>
        <w:fldChar w:fldCharType="separate"/>
      </w:r>
      <w:r>
        <w:rPr>
          <w:sz w:val="32"/>
          <w:szCs w:val="32"/>
        </w:rPr>
        <w:t>6</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"_Toc44272724"</w:instrText>
      </w:r>
      <w:r>
        <w:rPr>
          <w:sz w:val="32"/>
          <w:szCs w:val="32"/>
        </w:rPr>
        <w:fldChar w:fldCharType="separate"/>
      </w:r>
      <w:r>
        <w:rPr>
          <w:rFonts w:ascii="Times New Roman" w:eastAsia="仿宋" w:cs="Times New Roman" w:hAnsi="Times New Roman"/>
          <w:sz w:val="32"/>
          <w:szCs w:val="32"/>
        </w:rPr>
        <w:t>图2：  各地类面积比例示意图</w:t>
      </w:r>
      <w:r>
        <w:rPr>
          <w:sz w:val="32"/>
          <w:szCs w:val="32"/>
        </w:rPr>
        <w:tab/>
      </w:r>
      <w:r>
        <w:rPr>
          <w:sz w:val="32"/>
          <w:szCs w:val="32"/>
        </w:rPr>
        <w:fldChar w:fldCharType="begin"/>
      </w:r>
      <w:r>
        <w:rPr>
          <w:sz w:val="32"/>
          <w:szCs w:val="32"/>
        </w:rPr>
        <w:instrText>PageRef _Toc44272724 \h</w:instrText>
      </w:r>
      <w:r>
        <w:rPr>
          <w:sz w:val="32"/>
          <w:szCs w:val="32"/>
        </w:rPr>
        <w:fldChar w:fldCharType="separate"/>
      </w:r>
      <w:r>
        <w:rPr>
          <w:sz w:val="32"/>
          <w:szCs w:val="32"/>
        </w:rPr>
        <w:t>7</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"_Toc44272725"</w:instrText>
      </w:r>
      <w:r>
        <w:rPr>
          <w:sz w:val="32"/>
          <w:szCs w:val="32"/>
        </w:rPr>
        <w:fldChar w:fldCharType="separate"/>
      </w:r>
      <w:r>
        <w:rPr>
          <w:rFonts w:ascii="Times New Roman" w:eastAsia="方正楷体_GBK" w:cs="Times New Roman" w:hAnsi="Times New Roman"/>
          <w:sz w:val="32"/>
          <w:szCs w:val="32"/>
        </w:rPr>
        <w:t>（二）林地资源现状</w:t>
      </w:r>
      <w:r>
        <w:rPr>
          <w:sz w:val="32"/>
          <w:szCs w:val="32"/>
        </w:rPr>
        <w:tab/>
      </w:r>
      <w:r>
        <w:rPr>
          <w:sz w:val="32"/>
          <w:szCs w:val="32"/>
        </w:rPr>
        <w:fldChar w:fldCharType="begin"/>
      </w:r>
      <w:r>
        <w:rPr>
          <w:sz w:val="32"/>
          <w:szCs w:val="32"/>
        </w:rPr>
        <w:instrText>PageRef _Toc44272725 \h</w:instrText>
      </w:r>
      <w:r>
        <w:rPr>
          <w:sz w:val="32"/>
          <w:szCs w:val="32"/>
        </w:rPr>
        <w:fldChar w:fldCharType="separate"/>
      </w:r>
      <w:r>
        <w:rPr>
          <w:sz w:val="32"/>
          <w:szCs w:val="32"/>
        </w:rPr>
        <w:t>8</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"_Toc44272726"</w:instrText>
      </w:r>
      <w:r>
        <w:rPr>
          <w:sz w:val="32"/>
          <w:szCs w:val="32"/>
        </w:rPr>
        <w:fldChar w:fldCharType="separate"/>
      </w:r>
      <w:r>
        <w:rPr>
          <w:rFonts w:ascii="Times New Roman" w:eastAsia="仿宋" w:cs="Times New Roman" w:hAnsi="Times New Roman"/>
          <w:sz w:val="32"/>
          <w:szCs w:val="32"/>
        </w:rPr>
        <w:t>图3：林地资源面积占比示意图</w:t>
      </w:r>
      <w:r>
        <w:rPr>
          <w:sz w:val="32"/>
          <w:szCs w:val="32"/>
        </w:rPr>
        <w:tab/>
      </w:r>
      <w:r>
        <w:rPr>
          <w:sz w:val="32"/>
          <w:szCs w:val="32"/>
        </w:rPr>
        <w:fldChar w:fldCharType="begin"/>
      </w:r>
      <w:r>
        <w:rPr>
          <w:sz w:val="32"/>
          <w:szCs w:val="32"/>
        </w:rPr>
        <w:instrText>PageRef _Toc44272726 \h</w:instrText>
      </w:r>
      <w:r>
        <w:rPr>
          <w:sz w:val="32"/>
          <w:szCs w:val="32"/>
        </w:rPr>
        <w:fldChar w:fldCharType="separate"/>
      </w:r>
      <w:r>
        <w:rPr>
          <w:sz w:val="32"/>
          <w:szCs w:val="32"/>
        </w:rPr>
        <w:t>8</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"_Toc44272727"</w:instrText>
      </w:r>
      <w:r>
        <w:rPr>
          <w:sz w:val="32"/>
          <w:szCs w:val="32"/>
        </w:rPr>
        <w:fldChar w:fldCharType="separate"/>
      </w:r>
      <w:r>
        <w:rPr>
          <w:rFonts w:ascii="Times New Roman" w:eastAsia="方正楷体_GBK" w:cs="Times New Roman" w:hAnsi="Times New Roman"/>
          <w:sz w:val="32"/>
          <w:szCs w:val="32"/>
        </w:rPr>
        <w:t>（三）森林数量提升空间分析</w:t>
      </w:r>
      <w:r>
        <w:rPr>
          <w:sz w:val="32"/>
          <w:szCs w:val="32"/>
        </w:rPr>
        <w:tab/>
      </w:r>
      <w:r>
        <w:rPr>
          <w:sz w:val="32"/>
          <w:szCs w:val="32"/>
        </w:rPr>
        <w:fldChar w:fldCharType="begin"/>
      </w:r>
      <w:r>
        <w:rPr>
          <w:sz w:val="32"/>
          <w:szCs w:val="32"/>
        </w:rPr>
        <w:instrText>PageRef _Toc44272727 \h</w:instrText>
      </w:r>
      <w:r>
        <w:rPr>
          <w:sz w:val="32"/>
          <w:szCs w:val="32"/>
        </w:rPr>
        <w:fldChar w:fldCharType="separate"/>
      </w:r>
      <w:r>
        <w:rPr>
          <w:sz w:val="32"/>
          <w:szCs w:val="32"/>
        </w:rPr>
        <w:t>9</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"_Toc44272728"</w:instrText>
      </w:r>
      <w:r>
        <w:rPr>
          <w:sz w:val="32"/>
          <w:szCs w:val="32"/>
        </w:rPr>
        <w:fldChar w:fldCharType="separate"/>
      </w:r>
      <w:r>
        <w:rPr>
          <w:rFonts w:ascii="Times New Roman" w:eastAsia="方正楷体_GBK" w:cs="Times New Roman" w:hAnsi="Times New Roman"/>
          <w:sz w:val="32"/>
          <w:szCs w:val="32"/>
        </w:rPr>
        <w:t>（四）森林质量提升潜力分析</w:t>
      </w:r>
      <w:r>
        <w:rPr>
          <w:sz w:val="32"/>
          <w:szCs w:val="32"/>
        </w:rPr>
        <w:tab/>
      </w:r>
      <w:r>
        <w:rPr>
          <w:sz w:val="32"/>
          <w:szCs w:val="32"/>
        </w:rPr>
        <w:fldChar w:fldCharType="begin"/>
      </w:r>
      <w:r>
        <w:rPr>
          <w:sz w:val="32"/>
          <w:szCs w:val="32"/>
        </w:rPr>
        <w:instrText>PageRef _Toc44272728 \h</w:instrText>
      </w:r>
      <w:r>
        <w:rPr>
          <w:sz w:val="32"/>
          <w:szCs w:val="32"/>
        </w:rPr>
        <w:fldChar w:fldCharType="separate"/>
      </w:r>
      <w:r>
        <w:rPr>
          <w:sz w:val="32"/>
          <w:szCs w:val="32"/>
        </w:rPr>
        <w:t>12</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"_Toc44272729"</w:instrText>
      </w:r>
      <w:r>
        <w:rPr>
          <w:sz w:val="32"/>
          <w:szCs w:val="32"/>
        </w:rPr>
        <w:fldChar w:fldCharType="separate"/>
      </w:r>
      <w:r>
        <w:rPr>
          <w:rFonts w:ascii="Times New Roman" w:eastAsia="方正黑体_GBK" w:cs="Times New Roman" w:hAnsi="Times New Roman"/>
          <w:bCs w:val="0"/>
          <w:sz w:val="32"/>
          <w:szCs w:val="32"/>
        </w:rPr>
        <w:t>三、总体要求</w:t>
      </w:r>
      <w:r>
        <w:rPr>
          <w:sz w:val="32"/>
          <w:szCs w:val="32"/>
        </w:rPr>
        <w:tab/>
      </w:r>
      <w:r>
        <w:rPr>
          <w:sz w:val="32"/>
          <w:szCs w:val="32"/>
        </w:rPr>
        <w:fldChar w:fldCharType="begin"/>
      </w:r>
      <w:r>
        <w:rPr>
          <w:sz w:val="32"/>
          <w:szCs w:val="32"/>
        </w:rPr>
        <w:instrText>PageRef _Toc44272729 \h</w:instrText>
      </w:r>
      <w:r>
        <w:rPr>
          <w:sz w:val="32"/>
          <w:szCs w:val="32"/>
        </w:rPr>
        <w:fldChar w:fldCharType="separate"/>
      </w:r>
      <w:r>
        <w:rPr>
          <w:sz w:val="32"/>
          <w:szCs w:val="32"/>
        </w:rPr>
        <w:t>17</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"_Toc44272730"</w:instrText>
      </w:r>
      <w:r>
        <w:rPr>
          <w:sz w:val="32"/>
          <w:szCs w:val="32"/>
        </w:rPr>
        <w:fldChar w:fldCharType="separate"/>
      </w:r>
      <w:r>
        <w:rPr>
          <w:rFonts w:ascii="Times New Roman" w:eastAsia="方正楷体_GBK" w:cs="Times New Roman" w:hAnsi="Times New Roman"/>
          <w:sz w:val="32"/>
          <w:szCs w:val="32"/>
        </w:rPr>
        <w:t>（一）指导思想</w:t>
      </w:r>
      <w:r>
        <w:rPr>
          <w:sz w:val="32"/>
          <w:szCs w:val="32"/>
        </w:rPr>
        <w:tab/>
      </w:r>
      <w:r>
        <w:rPr>
          <w:sz w:val="32"/>
          <w:szCs w:val="32"/>
        </w:rPr>
        <w:fldChar w:fldCharType="begin"/>
      </w:r>
      <w:r>
        <w:rPr>
          <w:sz w:val="32"/>
          <w:szCs w:val="32"/>
        </w:rPr>
        <w:instrText>PageRef _Toc44272730 \h</w:instrText>
      </w:r>
      <w:r>
        <w:rPr>
          <w:sz w:val="32"/>
          <w:szCs w:val="32"/>
        </w:rPr>
        <w:fldChar w:fldCharType="separate"/>
      </w:r>
      <w:r>
        <w:rPr>
          <w:sz w:val="32"/>
          <w:szCs w:val="32"/>
        </w:rPr>
        <w:t>17</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"_Toc44272731"</w:instrText>
      </w:r>
      <w:r>
        <w:rPr>
          <w:sz w:val="32"/>
          <w:szCs w:val="32"/>
        </w:rPr>
        <w:fldChar w:fldCharType="separate"/>
      </w:r>
      <w:r>
        <w:rPr>
          <w:rFonts w:ascii="Times New Roman" w:eastAsia="方正楷体_GBK" w:cs="Times New Roman" w:hAnsi="Times New Roman"/>
          <w:sz w:val="32"/>
          <w:szCs w:val="32"/>
        </w:rPr>
        <w:t>（二）基本原则</w:t>
      </w:r>
      <w:r>
        <w:rPr>
          <w:sz w:val="32"/>
          <w:szCs w:val="32"/>
        </w:rPr>
        <w:tab/>
      </w:r>
      <w:r>
        <w:rPr>
          <w:sz w:val="32"/>
          <w:szCs w:val="32"/>
        </w:rPr>
        <w:fldChar w:fldCharType="begin"/>
      </w:r>
      <w:r>
        <w:rPr>
          <w:sz w:val="32"/>
          <w:szCs w:val="32"/>
        </w:rPr>
        <w:instrText>PageRef _Toc44272731 \h</w:instrText>
      </w:r>
      <w:r>
        <w:rPr>
          <w:sz w:val="32"/>
          <w:szCs w:val="32"/>
        </w:rPr>
        <w:fldChar w:fldCharType="separate"/>
      </w:r>
      <w:r>
        <w:rPr>
          <w:sz w:val="32"/>
          <w:szCs w:val="32"/>
        </w:rPr>
        <w:t>17</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"_Toc44272732"</w:instrText>
      </w:r>
      <w:r>
        <w:rPr>
          <w:sz w:val="32"/>
          <w:szCs w:val="32"/>
        </w:rPr>
        <w:fldChar w:fldCharType="separate"/>
      </w:r>
      <w:r>
        <w:rPr>
          <w:rFonts w:ascii="Times New Roman" w:eastAsia="方正楷体_GBK" w:cs="Times New Roman" w:hAnsi="Times New Roman"/>
          <w:sz w:val="32"/>
          <w:szCs w:val="32"/>
        </w:rPr>
        <w:t>（三）实施范围</w:t>
      </w:r>
      <w:r>
        <w:rPr>
          <w:sz w:val="32"/>
          <w:szCs w:val="32"/>
        </w:rPr>
        <w:tab/>
      </w:r>
      <w:r>
        <w:rPr>
          <w:sz w:val="32"/>
          <w:szCs w:val="32"/>
        </w:rPr>
        <w:fldChar w:fldCharType="begin"/>
      </w:r>
      <w:r>
        <w:rPr>
          <w:sz w:val="32"/>
          <w:szCs w:val="32"/>
        </w:rPr>
        <w:instrText>PageRef _Toc44272732 \h</w:instrText>
      </w:r>
      <w:r>
        <w:rPr>
          <w:sz w:val="32"/>
          <w:szCs w:val="32"/>
        </w:rPr>
        <w:fldChar w:fldCharType="separate"/>
      </w:r>
      <w:r>
        <w:rPr>
          <w:sz w:val="32"/>
          <w:szCs w:val="32"/>
        </w:rPr>
        <w:t>18</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"_Toc44272733"</w:instrText>
      </w:r>
      <w:r>
        <w:rPr>
          <w:sz w:val="32"/>
          <w:szCs w:val="32"/>
        </w:rPr>
        <w:fldChar w:fldCharType="separate"/>
      </w:r>
      <w:r>
        <w:rPr>
          <w:rFonts w:ascii="Times New Roman" w:eastAsia="方正楷体_GBK" w:cs="Times New Roman" w:hAnsi="Times New Roman"/>
          <w:sz w:val="32"/>
          <w:szCs w:val="32"/>
        </w:rPr>
        <w:t>图4：项目规划范围示意图</w:t>
      </w:r>
      <w:r>
        <w:rPr>
          <w:sz w:val="32"/>
          <w:szCs w:val="32"/>
        </w:rPr>
        <w:tab/>
      </w:r>
      <w:r>
        <w:rPr>
          <w:sz w:val="32"/>
          <w:szCs w:val="32"/>
        </w:rPr>
        <w:fldChar w:fldCharType="begin"/>
      </w:r>
      <w:r>
        <w:rPr>
          <w:sz w:val="32"/>
          <w:szCs w:val="32"/>
        </w:rPr>
        <w:instrText>PageRef _Toc44272733 \h</w:instrText>
      </w:r>
      <w:r>
        <w:rPr>
          <w:sz w:val="32"/>
          <w:szCs w:val="32"/>
        </w:rPr>
        <w:fldChar w:fldCharType="separate"/>
      </w:r>
      <w:r>
        <w:rPr>
          <w:sz w:val="32"/>
          <w:szCs w:val="32"/>
        </w:rPr>
        <w:t>19</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"_Toc44272734"</w:instrText>
      </w:r>
      <w:r>
        <w:rPr>
          <w:sz w:val="32"/>
          <w:szCs w:val="32"/>
        </w:rPr>
        <w:fldChar w:fldCharType="separate"/>
      </w:r>
      <w:r>
        <w:rPr>
          <w:rFonts w:ascii="Times New Roman" w:eastAsia="方正楷体_GBK" w:cs="Times New Roman" w:hAnsi="Times New Roman"/>
          <w:sz w:val="32"/>
          <w:szCs w:val="32"/>
        </w:rPr>
        <w:t>（四）总体目标</w:t>
      </w:r>
      <w:r>
        <w:rPr>
          <w:sz w:val="32"/>
          <w:szCs w:val="32"/>
        </w:rPr>
        <w:tab/>
      </w:r>
      <w:r>
        <w:rPr>
          <w:sz w:val="32"/>
          <w:szCs w:val="32"/>
        </w:rPr>
        <w:fldChar w:fldCharType="begin"/>
      </w:r>
      <w:r>
        <w:rPr>
          <w:sz w:val="32"/>
          <w:szCs w:val="32"/>
        </w:rPr>
        <w:instrText>PageRef _Toc44272734 \h</w:instrText>
      </w:r>
      <w:r>
        <w:rPr>
          <w:sz w:val="32"/>
          <w:szCs w:val="32"/>
        </w:rPr>
        <w:fldChar w:fldCharType="separate"/>
      </w:r>
      <w:r>
        <w:rPr>
          <w:sz w:val="32"/>
          <w:szCs w:val="32"/>
        </w:rPr>
        <w:t>19</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"_Toc44272735"</w:instrText>
      </w:r>
      <w:r>
        <w:rPr>
          <w:sz w:val="32"/>
          <w:szCs w:val="32"/>
        </w:rPr>
        <w:fldChar w:fldCharType="separate"/>
      </w:r>
      <w:r>
        <w:rPr>
          <w:rFonts w:ascii="Times New Roman" w:eastAsia="方正楷体_GBK" w:cs="Times New Roman" w:hAnsi="Times New Roman"/>
          <w:sz w:val="32"/>
          <w:szCs w:val="32"/>
        </w:rPr>
        <w:t>（五）实施期限</w:t>
      </w:r>
      <w:r>
        <w:rPr>
          <w:sz w:val="32"/>
          <w:szCs w:val="32"/>
        </w:rPr>
        <w:tab/>
      </w:r>
      <w:r>
        <w:rPr>
          <w:sz w:val="32"/>
          <w:szCs w:val="32"/>
        </w:rPr>
        <w:fldChar w:fldCharType="begin"/>
      </w:r>
      <w:r>
        <w:rPr>
          <w:sz w:val="32"/>
          <w:szCs w:val="32"/>
        </w:rPr>
        <w:instrText>PageRef _Toc44272735 \h</w:instrText>
      </w:r>
      <w:r>
        <w:rPr>
          <w:sz w:val="32"/>
          <w:szCs w:val="32"/>
        </w:rPr>
        <w:fldChar w:fldCharType="separate"/>
      </w:r>
      <w:r>
        <w:rPr>
          <w:sz w:val="32"/>
          <w:szCs w:val="32"/>
        </w:rPr>
        <w:t>21</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"_Toc44272736"</w:instrText>
      </w:r>
      <w:r>
        <w:rPr>
          <w:sz w:val="32"/>
          <w:szCs w:val="32"/>
        </w:rPr>
        <w:fldChar w:fldCharType="separate"/>
      </w:r>
      <w:r>
        <w:rPr>
          <w:rFonts w:ascii="Times New Roman" w:eastAsia="方正黑体_GBK" w:cs="Times New Roman" w:hAnsi="Times New Roman"/>
          <w:bCs w:val="0"/>
          <w:sz w:val="32"/>
          <w:szCs w:val="32"/>
        </w:rPr>
        <w:t>四、主要任务</w:t>
      </w:r>
      <w:r>
        <w:rPr>
          <w:sz w:val="32"/>
          <w:szCs w:val="32"/>
        </w:rPr>
        <w:tab/>
      </w:r>
      <w:r>
        <w:rPr>
          <w:sz w:val="32"/>
          <w:szCs w:val="32"/>
        </w:rPr>
        <w:fldChar w:fldCharType="begin"/>
      </w:r>
      <w:r>
        <w:rPr>
          <w:sz w:val="32"/>
          <w:szCs w:val="32"/>
        </w:rPr>
        <w:instrText>PageRef _Toc44272736 \h</w:instrText>
      </w:r>
      <w:r>
        <w:rPr>
          <w:sz w:val="32"/>
          <w:szCs w:val="32"/>
        </w:rPr>
        <w:fldChar w:fldCharType="separate"/>
      </w:r>
      <w:r>
        <w:rPr>
          <w:sz w:val="32"/>
          <w:szCs w:val="32"/>
        </w:rPr>
        <w:t>22</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"_Toc44272737"</w:instrText>
      </w:r>
      <w:r>
        <w:rPr>
          <w:sz w:val="32"/>
          <w:szCs w:val="32"/>
        </w:rPr>
        <w:fldChar w:fldCharType="separate"/>
      </w:r>
      <w:r>
        <w:rPr>
          <w:rFonts w:ascii="Times New Roman" w:eastAsia="方正楷体_GBK" w:cs="Times New Roman" w:hAnsi="Times New Roman"/>
          <w:sz w:val="32"/>
          <w:szCs w:val="32"/>
        </w:rPr>
        <w:t>（一）实行“二类”分类指导</w:t>
      </w:r>
      <w:r>
        <w:rPr>
          <w:sz w:val="32"/>
          <w:szCs w:val="32"/>
        </w:rPr>
        <w:tab/>
      </w:r>
      <w:r>
        <w:rPr>
          <w:sz w:val="32"/>
          <w:szCs w:val="32"/>
        </w:rPr>
        <w:fldChar w:fldCharType="begin"/>
      </w:r>
      <w:r>
        <w:rPr>
          <w:sz w:val="32"/>
          <w:szCs w:val="32"/>
        </w:rPr>
        <w:instrText>PageRef _Toc44272737 \h</w:instrText>
      </w:r>
      <w:r>
        <w:rPr>
          <w:sz w:val="32"/>
          <w:szCs w:val="32"/>
        </w:rPr>
        <w:fldChar w:fldCharType="separate"/>
      </w:r>
      <w:r>
        <w:rPr>
          <w:sz w:val="32"/>
          <w:szCs w:val="32"/>
        </w:rPr>
        <w:t>23</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"_Toc44272738"</w:instrText>
      </w:r>
      <w:r>
        <w:rPr>
          <w:sz w:val="32"/>
          <w:szCs w:val="32"/>
        </w:rPr>
        <w:fldChar w:fldCharType="separate"/>
      </w:r>
      <w:r>
        <w:rPr>
          <w:rFonts w:ascii="Times New Roman" w:eastAsia="方正楷体_GBK" w:cs="Times New Roman" w:hAnsi="Times New Roman"/>
          <w:sz w:val="32"/>
          <w:szCs w:val="32"/>
        </w:rPr>
        <w:t>（二）落实“三带”空间布局</w:t>
      </w:r>
      <w:r>
        <w:rPr>
          <w:sz w:val="32"/>
          <w:szCs w:val="32"/>
        </w:rPr>
        <w:tab/>
      </w:r>
      <w:r>
        <w:rPr>
          <w:sz w:val="32"/>
          <w:szCs w:val="32"/>
        </w:rPr>
        <w:fldChar w:fldCharType="begin"/>
      </w:r>
      <w:r>
        <w:rPr>
          <w:sz w:val="32"/>
          <w:szCs w:val="32"/>
        </w:rPr>
        <w:instrText>PageRef _Toc44272738 \h</w:instrText>
      </w:r>
      <w:r>
        <w:rPr>
          <w:sz w:val="32"/>
          <w:szCs w:val="32"/>
        </w:rPr>
        <w:fldChar w:fldCharType="separate"/>
      </w:r>
      <w:r>
        <w:rPr>
          <w:sz w:val="32"/>
          <w:szCs w:val="32"/>
        </w:rPr>
        <w:t>23</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"_Toc44272739"</w:instrText>
      </w:r>
      <w:r>
        <w:rPr>
          <w:sz w:val="32"/>
          <w:szCs w:val="32"/>
        </w:rPr>
        <w:fldChar w:fldCharType="separate"/>
      </w:r>
      <w:r>
        <w:rPr>
          <w:rFonts w:ascii="Times New Roman" w:eastAsia="方正楷体_GBK" w:cs="Times New Roman" w:hAnsi="Times New Roman"/>
          <w:sz w:val="32"/>
          <w:szCs w:val="32"/>
        </w:rPr>
        <w:t>图7:   空间布局图</w:t>
      </w:r>
      <w:r>
        <w:rPr>
          <w:sz w:val="32"/>
          <w:szCs w:val="32"/>
        </w:rPr>
        <w:tab/>
      </w:r>
      <w:r>
        <w:rPr>
          <w:sz w:val="32"/>
          <w:szCs w:val="32"/>
        </w:rPr>
        <w:fldChar w:fldCharType="begin"/>
      </w:r>
      <w:r>
        <w:rPr>
          <w:sz w:val="32"/>
          <w:szCs w:val="32"/>
        </w:rPr>
        <w:instrText>PageRef _Toc44272739 \h</w:instrText>
      </w:r>
      <w:r>
        <w:rPr>
          <w:sz w:val="32"/>
          <w:szCs w:val="32"/>
        </w:rPr>
        <w:fldChar w:fldCharType="separate"/>
      </w:r>
      <w:r>
        <w:rPr>
          <w:sz w:val="32"/>
          <w:szCs w:val="32"/>
        </w:rPr>
        <w:t>24</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"_Toc44272740"</w:instrText>
      </w:r>
      <w:r>
        <w:rPr>
          <w:sz w:val="32"/>
          <w:szCs w:val="32"/>
        </w:rPr>
        <w:fldChar w:fldCharType="separate"/>
      </w:r>
      <w:r>
        <w:rPr>
          <w:rFonts w:ascii="Times New Roman" w:eastAsia="方正楷体_GBK" w:cs="Times New Roman" w:hAnsi="Times New Roman"/>
          <w:sz w:val="32"/>
          <w:szCs w:val="32"/>
        </w:rPr>
        <w:t>（三）着力提升森林数量</w:t>
      </w:r>
      <w:r>
        <w:rPr>
          <w:sz w:val="32"/>
          <w:szCs w:val="32"/>
        </w:rPr>
        <w:tab/>
      </w:r>
      <w:r>
        <w:rPr>
          <w:sz w:val="32"/>
          <w:szCs w:val="32"/>
        </w:rPr>
        <w:fldChar w:fldCharType="begin"/>
      </w:r>
      <w:r>
        <w:rPr>
          <w:sz w:val="32"/>
          <w:szCs w:val="32"/>
        </w:rPr>
        <w:instrText>PageRef _Toc44272740 \h</w:instrText>
      </w:r>
      <w:r>
        <w:rPr>
          <w:sz w:val="32"/>
          <w:szCs w:val="32"/>
        </w:rPr>
        <w:fldChar w:fldCharType="separate"/>
      </w:r>
      <w:r>
        <w:rPr>
          <w:sz w:val="32"/>
          <w:szCs w:val="32"/>
        </w:rPr>
        <w:t>24</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"_Toc44272741"</w:instrText>
      </w:r>
      <w:r>
        <w:rPr>
          <w:sz w:val="32"/>
          <w:szCs w:val="32"/>
        </w:rPr>
        <w:fldChar w:fldCharType="separate"/>
      </w:r>
      <w:r>
        <w:rPr>
          <w:rFonts w:ascii="Times New Roman" w:eastAsia="方正楷体_GBK" w:cs="Times New Roman" w:hAnsi="Times New Roman"/>
          <w:sz w:val="32"/>
          <w:szCs w:val="32"/>
        </w:rPr>
        <w:t>（四）着力提升森林质量</w:t>
      </w:r>
      <w:r>
        <w:rPr>
          <w:sz w:val="32"/>
          <w:szCs w:val="32"/>
        </w:rPr>
        <w:tab/>
      </w:r>
      <w:r>
        <w:rPr>
          <w:sz w:val="32"/>
          <w:szCs w:val="32"/>
        </w:rPr>
        <w:fldChar w:fldCharType="begin"/>
      </w:r>
      <w:r>
        <w:rPr>
          <w:sz w:val="32"/>
          <w:szCs w:val="32"/>
        </w:rPr>
        <w:instrText>PageRef _Toc44272741 \h</w:instrText>
      </w:r>
      <w:r>
        <w:rPr>
          <w:sz w:val="32"/>
          <w:szCs w:val="32"/>
        </w:rPr>
        <w:fldChar w:fldCharType="separate"/>
      </w:r>
      <w:r>
        <w:rPr>
          <w:sz w:val="32"/>
          <w:szCs w:val="32"/>
        </w:rPr>
        <w:t>26</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"_Toc44272742"</w:instrText>
      </w:r>
      <w:r>
        <w:rPr>
          <w:sz w:val="32"/>
          <w:szCs w:val="32"/>
        </w:rPr>
        <w:fldChar w:fldCharType="separate"/>
      </w:r>
      <w:r>
        <w:rPr>
          <w:rFonts w:ascii="Times New Roman" w:eastAsia="方正楷体_GBK" w:cs="Times New Roman" w:hAnsi="Times New Roman"/>
          <w:sz w:val="32"/>
          <w:szCs w:val="32"/>
        </w:rPr>
        <w:t>（五）着力提升综合效益</w:t>
      </w:r>
      <w:r>
        <w:rPr>
          <w:sz w:val="32"/>
          <w:szCs w:val="32"/>
        </w:rPr>
        <w:tab/>
      </w:r>
      <w:r>
        <w:rPr>
          <w:sz w:val="32"/>
          <w:szCs w:val="32"/>
        </w:rPr>
        <w:fldChar w:fldCharType="begin"/>
      </w:r>
      <w:r>
        <w:rPr>
          <w:sz w:val="32"/>
          <w:szCs w:val="32"/>
        </w:rPr>
        <w:instrText>PageRef _Toc44272742 \h</w:instrText>
      </w:r>
      <w:r>
        <w:rPr>
          <w:sz w:val="32"/>
          <w:szCs w:val="32"/>
        </w:rPr>
        <w:fldChar w:fldCharType="separate"/>
      </w:r>
      <w:r>
        <w:rPr>
          <w:sz w:val="32"/>
          <w:szCs w:val="32"/>
        </w:rPr>
        <w:t>30</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"_Toc44272743"</w:instrText>
      </w:r>
      <w:r>
        <w:rPr>
          <w:sz w:val="32"/>
          <w:szCs w:val="32"/>
        </w:rPr>
        <w:fldChar w:fldCharType="separate"/>
      </w:r>
      <w:r>
        <w:rPr>
          <w:rFonts w:ascii="Times New Roman" w:eastAsia="方正楷体_GBK" w:cs="Times New Roman" w:hAnsi="Times New Roman"/>
          <w:sz w:val="32"/>
          <w:szCs w:val="32"/>
        </w:rPr>
        <w:t>（六）加强自然生态资源保护</w:t>
      </w:r>
      <w:r>
        <w:rPr>
          <w:sz w:val="32"/>
          <w:szCs w:val="32"/>
        </w:rPr>
        <w:tab/>
      </w:r>
      <w:r>
        <w:rPr>
          <w:sz w:val="32"/>
          <w:szCs w:val="32"/>
        </w:rPr>
        <w:fldChar w:fldCharType="begin"/>
      </w:r>
      <w:r>
        <w:rPr>
          <w:sz w:val="32"/>
          <w:szCs w:val="32"/>
        </w:rPr>
        <w:instrText>PageRef _Toc44272743 \h</w:instrText>
      </w:r>
      <w:r>
        <w:rPr>
          <w:sz w:val="32"/>
          <w:szCs w:val="32"/>
        </w:rPr>
        <w:fldChar w:fldCharType="separate"/>
      </w:r>
      <w:r>
        <w:rPr>
          <w:sz w:val="32"/>
          <w:szCs w:val="32"/>
        </w:rPr>
        <w:t>32</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"_Toc44272744"</w:instrText>
      </w:r>
      <w:r>
        <w:rPr>
          <w:sz w:val="32"/>
          <w:szCs w:val="32"/>
        </w:rPr>
        <w:fldChar w:fldCharType="separate"/>
      </w:r>
      <w:r>
        <w:rPr>
          <w:rFonts w:ascii="方正楷体_GBK" w:eastAsia="方正楷体_GBK" w:cs="Times New Roman" w:hint="eastAsia"/>
          <w:sz w:val="32"/>
          <w:szCs w:val="32"/>
        </w:rPr>
        <w:t>（七）着力强化民生保障</w:t>
      </w:r>
      <w:r>
        <w:rPr>
          <w:sz w:val="32"/>
          <w:szCs w:val="32"/>
        </w:rPr>
        <w:tab/>
      </w:r>
      <w:r>
        <w:rPr>
          <w:sz w:val="32"/>
          <w:szCs w:val="32"/>
        </w:rPr>
        <w:fldChar w:fldCharType="begin"/>
      </w:r>
      <w:r>
        <w:rPr>
          <w:sz w:val="32"/>
          <w:szCs w:val="32"/>
        </w:rPr>
        <w:instrText>PageRef _Toc44272744 \h</w:instrText>
      </w:r>
      <w:r>
        <w:rPr>
          <w:sz w:val="32"/>
          <w:szCs w:val="32"/>
        </w:rPr>
        <w:fldChar w:fldCharType="separate"/>
      </w:r>
      <w:r>
        <w:rPr>
          <w:sz w:val="32"/>
          <w:szCs w:val="32"/>
        </w:rPr>
        <w:t>33</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"_Toc44272745"</w:instrText>
      </w:r>
      <w:r>
        <w:rPr>
          <w:sz w:val="32"/>
          <w:szCs w:val="32"/>
        </w:rPr>
        <w:fldChar w:fldCharType="separate"/>
      </w:r>
      <w:r>
        <w:rPr>
          <w:rFonts w:ascii="Times New Roman" w:eastAsia="方正黑体_GBK" w:cs="Times New Roman" w:hAnsi="Times New Roman"/>
          <w:bCs w:val="0"/>
          <w:sz w:val="32"/>
          <w:szCs w:val="32"/>
        </w:rPr>
        <w:t>五、投资估算</w:t>
      </w:r>
      <w:r>
        <w:rPr>
          <w:sz w:val="32"/>
          <w:szCs w:val="32"/>
        </w:rPr>
        <w:tab/>
      </w:r>
      <w:r>
        <w:rPr>
          <w:sz w:val="32"/>
          <w:szCs w:val="32"/>
        </w:rPr>
        <w:fldChar w:fldCharType="begin"/>
      </w:r>
      <w:r>
        <w:rPr>
          <w:sz w:val="32"/>
          <w:szCs w:val="32"/>
        </w:rPr>
        <w:instrText>PageRef _Toc44272745 \h</w:instrText>
      </w:r>
      <w:r>
        <w:rPr>
          <w:sz w:val="32"/>
          <w:szCs w:val="32"/>
        </w:rPr>
        <w:fldChar w:fldCharType="separate"/>
      </w:r>
      <w:r>
        <w:rPr>
          <w:sz w:val="32"/>
          <w:szCs w:val="32"/>
        </w:rPr>
        <w:t>34</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"_Toc44272746"</w:instrText>
      </w:r>
      <w:r>
        <w:rPr>
          <w:sz w:val="32"/>
          <w:szCs w:val="32"/>
        </w:rPr>
        <w:fldChar w:fldCharType="separate"/>
      </w:r>
      <w:r>
        <w:rPr>
          <w:rFonts w:ascii="Times New Roman" w:eastAsia="方正楷体_GBK" w:cs="Times New Roman" w:hAnsi="Times New Roman"/>
          <w:sz w:val="32"/>
          <w:szCs w:val="32"/>
        </w:rPr>
        <w:t>（四）资金来源</w:t>
      </w:r>
      <w:r>
        <w:rPr>
          <w:sz w:val="32"/>
          <w:szCs w:val="32"/>
        </w:rPr>
        <w:tab/>
      </w:r>
      <w:r>
        <w:rPr>
          <w:sz w:val="32"/>
          <w:szCs w:val="32"/>
        </w:rPr>
        <w:fldChar w:fldCharType="begin"/>
      </w:r>
      <w:r>
        <w:rPr>
          <w:sz w:val="32"/>
          <w:szCs w:val="32"/>
        </w:rPr>
        <w:instrText>PageRef _Toc44272746 \h</w:instrText>
      </w:r>
      <w:r>
        <w:rPr>
          <w:sz w:val="32"/>
          <w:szCs w:val="32"/>
        </w:rPr>
        <w:fldChar w:fldCharType="separate"/>
      </w:r>
      <w:r>
        <w:rPr>
          <w:sz w:val="32"/>
          <w:szCs w:val="32"/>
        </w:rPr>
        <w:t>36</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"_Toc44272747"</w:instrText>
      </w:r>
      <w:r>
        <w:rPr>
          <w:sz w:val="32"/>
          <w:szCs w:val="32"/>
        </w:rPr>
        <w:fldChar w:fldCharType="separate"/>
      </w:r>
      <w:r>
        <w:rPr>
          <w:rFonts w:ascii="Times New Roman" w:eastAsia="方正黑体_GBK" w:cs="Times New Roman" w:hAnsi="Times New Roman"/>
          <w:bCs w:val="0"/>
          <w:sz w:val="32"/>
          <w:szCs w:val="32"/>
        </w:rPr>
        <w:t>六、效益分析</w:t>
      </w:r>
      <w:r>
        <w:rPr>
          <w:sz w:val="32"/>
          <w:szCs w:val="32"/>
        </w:rPr>
        <w:tab/>
      </w:r>
      <w:r>
        <w:rPr>
          <w:sz w:val="32"/>
          <w:szCs w:val="32"/>
        </w:rPr>
        <w:fldChar w:fldCharType="begin"/>
      </w:r>
      <w:r>
        <w:rPr>
          <w:sz w:val="32"/>
          <w:szCs w:val="32"/>
        </w:rPr>
        <w:instrText>PageRef _Toc44272747 \h</w:instrText>
      </w:r>
      <w:r>
        <w:rPr>
          <w:sz w:val="32"/>
          <w:szCs w:val="32"/>
        </w:rPr>
        <w:fldChar w:fldCharType="separate"/>
      </w:r>
      <w:r>
        <w:rPr>
          <w:sz w:val="32"/>
          <w:szCs w:val="32"/>
        </w:rPr>
        <w:t>37</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"_Toc44272748"</w:instrText>
      </w:r>
      <w:r>
        <w:rPr>
          <w:sz w:val="32"/>
          <w:szCs w:val="32"/>
        </w:rPr>
        <w:fldChar w:fldCharType="separate"/>
      </w:r>
      <w:r>
        <w:rPr>
          <w:rFonts w:ascii="Times New Roman" w:eastAsia="方正楷体_GBK" w:cs="Times New Roman" w:hAnsi="Times New Roman"/>
          <w:sz w:val="32"/>
          <w:szCs w:val="32"/>
        </w:rPr>
        <w:t>（一）生态效益</w:t>
      </w:r>
      <w:r>
        <w:rPr>
          <w:sz w:val="32"/>
          <w:szCs w:val="32"/>
        </w:rPr>
        <w:tab/>
      </w:r>
      <w:r>
        <w:rPr>
          <w:sz w:val="32"/>
          <w:szCs w:val="32"/>
        </w:rPr>
        <w:fldChar w:fldCharType="begin"/>
      </w:r>
      <w:r>
        <w:rPr>
          <w:sz w:val="32"/>
          <w:szCs w:val="32"/>
        </w:rPr>
        <w:instrText>PageRef _Toc44272748 \h</w:instrText>
      </w:r>
      <w:r>
        <w:rPr>
          <w:sz w:val="32"/>
          <w:szCs w:val="32"/>
        </w:rPr>
        <w:fldChar w:fldCharType="separate"/>
      </w:r>
      <w:r>
        <w:rPr>
          <w:sz w:val="32"/>
          <w:szCs w:val="32"/>
        </w:rPr>
        <w:t>37</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"_Toc44272749"</w:instrText>
      </w:r>
      <w:r>
        <w:rPr>
          <w:sz w:val="32"/>
          <w:szCs w:val="32"/>
        </w:rPr>
        <w:fldChar w:fldCharType="separate"/>
      </w:r>
      <w:r>
        <w:rPr>
          <w:rFonts w:ascii="Times New Roman" w:eastAsia="方正楷体_GBK" w:cs="Times New Roman" w:hAnsi="Times New Roman"/>
          <w:sz w:val="32"/>
          <w:szCs w:val="32"/>
        </w:rPr>
        <w:t>（二）社会效益</w:t>
      </w:r>
      <w:r>
        <w:rPr>
          <w:sz w:val="32"/>
          <w:szCs w:val="32"/>
        </w:rPr>
        <w:tab/>
      </w:r>
      <w:r>
        <w:rPr>
          <w:sz w:val="32"/>
          <w:szCs w:val="32"/>
        </w:rPr>
        <w:fldChar w:fldCharType="begin"/>
      </w:r>
      <w:r>
        <w:rPr>
          <w:sz w:val="32"/>
          <w:szCs w:val="32"/>
        </w:rPr>
        <w:instrText>PageRef _Toc44272749 \h</w:instrText>
      </w:r>
      <w:r>
        <w:rPr>
          <w:sz w:val="32"/>
          <w:szCs w:val="32"/>
        </w:rPr>
        <w:fldChar w:fldCharType="separate"/>
      </w:r>
      <w:r>
        <w:rPr>
          <w:sz w:val="32"/>
          <w:szCs w:val="32"/>
        </w:rPr>
        <w:t>38</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"_Toc44272750"</w:instrText>
      </w:r>
      <w:r>
        <w:rPr>
          <w:sz w:val="32"/>
          <w:szCs w:val="32"/>
        </w:rPr>
        <w:fldChar w:fldCharType="separate"/>
      </w:r>
      <w:r>
        <w:rPr>
          <w:rFonts w:ascii="Times New Roman" w:eastAsia="方正楷体_GBK" w:cs="Times New Roman" w:hAnsi="Times New Roman"/>
          <w:sz w:val="32"/>
          <w:szCs w:val="32"/>
        </w:rPr>
        <w:t>（三）经济效益</w:t>
      </w:r>
      <w:r>
        <w:rPr>
          <w:sz w:val="32"/>
          <w:szCs w:val="32"/>
        </w:rPr>
        <w:tab/>
      </w:r>
      <w:r>
        <w:rPr>
          <w:sz w:val="32"/>
          <w:szCs w:val="32"/>
        </w:rPr>
        <w:fldChar w:fldCharType="begin"/>
      </w:r>
      <w:r>
        <w:rPr>
          <w:sz w:val="32"/>
          <w:szCs w:val="32"/>
        </w:rPr>
        <w:instrText>PageRef _Toc44272750 \h</w:instrText>
      </w:r>
      <w:r>
        <w:rPr>
          <w:sz w:val="32"/>
          <w:szCs w:val="32"/>
        </w:rPr>
        <w:fldChar w:fldCharType="separate"/>
      </w:r>
      <w:r>
        <w:rPr>
          <w:sz w:val="32"/>
          <w:szCs w:val="32"/>
        </w:rPr>
        <w:t>40</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"_Toc44272751"</w:instrText>
      </w:r>
      <w:r>
        <w:rPr>
          <w:sz w:val="32"/>
          <w:szCs w:val="32"/>
        </w:rPr>
        <w:fldChar w:fldCharType="separate"/>
      </w:r>
      <w:r>
        <w:rPr>
          <w:rFonts w:ascii="Times New Roman" w:eastAsia="方正黑体_GBK" w:cs="Times New Roman" w:hAnsi="Times New Roman"/>
          <w:bCs w:val="0"/>
          <w:sz w:val="32"/>
          <w:szCs w:val="32"/>
        </w:rPr>
        <w:t>七、保障措施</w:t>
      </w:r>
      <w:r>
        <w:rPr>
          <w:sz w:val="32"/>
          <w:szCs w:val="32"/>
        </w:rPr>
        <w:tab/>
      </w:r>
      <w:r>
        <w:rPr>
          <w:sz w:val="32"/>
          <w:szCs w:val="32"/>
        </w:rPr>
        <w:fldChar w:fldCharType="begin"/>
      </w:r>
      <w:r>
        <w:rPr>
          <w:sz w:val="32"/>
          <w:szCs w:val="32"/>
        </w:rPr>
        <w:instrText>PageRef _Toc44272751 \h</w:instrText>
      </w:r>
      <w:r>
        <w:rPr>
          <w:sz w:val="32"/>
          <w:szCs w:val="32"/>
        </w:rPr>
        <w:fldChar w:fldCharType="separate"/>
      </w:r>
      <w:r>
        <w:rPr>
          <w:sz w:val="32"/>
          <w:szCs w:val="32"/>
        </w:rPr>
        <w:t>41</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"_Toc44272752"</w:instrText>
      </w:r>
      <w:r>
        <w:rPr>
          <w:sz w:val="32"/>
          <w:szCs w:val="32"/>
        </w:rPr>
        <w:fldChar w:fldCharType="separate"/>
      </w:r>
      <w:r>
        <w:rPr>
          <w:rFonts w:ascii="Times New Roman" w:eastAsia="方正楷体_GBK" w:cs="Times New Roman" w:hAnsi="Times New Roman"/>
          <w:sz w:val="32"/>
          <w:szCs w:val="32"/>
        </w:rPr>
        <w:t>（一）组织领导</w:t>
      </w:r>
      <w:r>
        <w:rPr>
          <w:sz w:val="32"/>
          <w:szCs w:val="32"/>
        </w:rPr>
        <w:tab/>
      </w:r>
      <w:r>
        <w:rPr>
          <w:sz w:val="32"/>
          <w:szCs w:val="32"/>
        </w:rPr>
        <w:fldChar w:fldCharType="begin"/>
      </w:r>
      <w:r>
        <w:rPr>
          <w:sz w:val="32"/>
          <w:szCs w:val="32"/>
        </w:rPr>
        <w:instrText>PageRef _Toc44272752 \h</w:instrText>
      </w:r>
      <w:r>
        <w:rPr>
          <w:sz w:val="32"/>
          <w:szCs w:val="32"/>
        </w:rPr>
        <w:fldChar w:fldCharType="separate"/>
      </w:r>
      <w:r>
        <w:rPr>
          <w:sz w:val="32"/>
          <w:szCs w:val="32"/>
        </w:rPr>
        <w:t>41</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"_Toc44272753"</w:instrText>
      </w:r>
      <w:r>
        <w:rPr>
          <w:sz w:val="32"/>
          <w:szCs w:val="32"/>
        </w:rPr>
        <w:fldChar w:fldCharType="separate"/>
      </w:r>
      <w:r>
        <w:rPr>
          <w:rFonts w:ascii="Times New Roman" w:eastAsia="方正楷体_GBK" w:cs="Times New Roman" w:hAnsi="Times New Roman"/>
          <w:sz w:val="32"/>
          <w:szCs w:val="32"/>
        </w:rPr>
        <w:t>（二）空间落地</w:t>
      </w:r>
      <w:r>
        <w:rPr>
          <w:sz w:val="32"/>
          <w:szCs w:val="32"/>
        </w:rPr>
        <w:tab/>
      </w:r>
      <w:r>
        <w:rPr>
          <w:sz w:val="32"/>
          <w:szCs w:val="32"/>
        </w:rPr>
        <w:fldChar w:fldCharType="begin"/>
      </w:r>
      <w:r>
        <w:rPr>
          <w:sz w:val="32"/>
          <w:szCs w:val="32"/>
        </w:rPr>
        <w:instrText>PageRef _Toc44272753 \h</w:instrText>
      </w:r>
      <w:r>
        <w:rPr>
          <w:sz w:val="32"/>
          <w:szCs w:val="32"/>
        </w:rPr>
        <w:fldChar w:fldCharType="separate"/>
      </w:r>
      <w:r>
        <w:rPr>
          <w:sz w:val="32"/>
          <w:szCs w:val="32"/>
        </w:rPr>
        <w:t>41</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"_Toc44272754"</w:instrText>
      </w:r>
      <w:r>
        <w:rPr>
          <w:sz w:val="32"/>
          <w:szCs w:val="32"/>
        </w:rPr>
        <w:fldChar w:fldCharType="separate"/>
      </w:r>
      <w:r>
        <w:rPr>
          <w:rFonts w:ascii="Times New Roman" w:eastAsia="方正楷体_GBK" w:cs="Times New Roman" w:hAnsi="Times New Roman"/>
          <w:sz w:val="32"/>
          <w:szCs w:val="32"/>
        </w:rPr>
        <w:t>（三）资金保障</w:t>
      </w:r>
      <w:r>
        <w:rPr>
          <w:sz w:val="32"/>
          <w:szCs w:val="32"/>
        </w:rPr>
        <w:tab/>
      </w:r>
      <w:r>
        <w:rPr>
          <w:sz w:val="32"/>
          <w:szCs w:val="32"/>
        </w:rPr>
        <w:fldChar w:fldCharType="begin"/>
      </w:r>
      <w:r>
        <w:rPr>
          <w:sz w:val="32"/>
          <w:szCs w:val="32"/>
        </w:rPr>
        <w:instrText>PageRef _Toc44272754 \h</w:instrText>
      </w:r>
      <w:r>
        <w:rPr>
          <w:sz w:val="32"/>
          <w:szCs w:val="32"/>
        </w:rPr>
        <w:fldChar w:fldCharType="separate"/>
      </w:r>
      <w:r>
        <w:rPr>
          <w:sz w:val="32"/>
          <w:szCs w:val="32"/>
        </w:rPr>
        <w:t>41</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"_Toc44272755"</w:instrText>
      </w:r>
      <w:r>
        <w:rPr>
          <w:sz w:val="32"/>
          <w:szCs w:val="32"/>
        </w:rPr>
        <w:fldChar w:fldCharType="separate"/>
      </w:r>
      <w:r>
        <w:rPr>
          <w:rFonts w:ascii="Times New Roman" w:eastAsia="方正楷体_GBK" w:cs="Times New Roman" w:hAnsi="Times New Roman"/>
          <w:sz w:val="32"/>
          <w:szCs w:val="32"/>
        </w:rPr>
        <w:t>（四）机制创新</w:t>
      </w:r>
      <w:r>
        <w:rPr>
          <w:sz w:val="32"/>
          <w:szCs w:val="32"/>
        </w:rPr>
        <w:tab/>
      </w:r>
      <w:r>
        <w:rPr>
          <w:sz w:val="32"/>
          <w:szCs w:val="32"/>
        </w:rPr>
        <w:fldChar w:fldCharType="begin"/>
      </w:r>
      <w:r>
        <w:rPr>
          <w:sz w:val="32"/>
          <w:szCs w:val="32"/>
        </w:rPr>
        <w:instrText>PageRef _Toc44272755 \h</w:instrText>
      </w:r>
      <w:r>
        <w:rPr>
          <w:sz w:val="32"/>
          <w:szCs w:val="32"/>
        </w:rPr>
        <w:fldChar w:fldCharType="separate"/>
      </w:r>
      <w:r>
        <w:rPr>
          <w:sz w:val="32"/>
          <w:szCs w:val="32"/>
        </w:rPr>
        <w:t>41</w:t>
      </w:r>
      <w:r>
        <w:rPr>
          <w:sz w:val="32"/>
          <w:szCs w:val="32"/>
        </w:rPr>
        <w:fldChar w:fldCharType="end"/>
      </w:r>
      <w:r>
        <w:rPr>
          <w:sz w:val="32"/>
          <w:szCs w:val="32"/>
        </w:rPr>
        <w:fldChar w:fldCharType="end"/>
      </w:r>
    </w:p>
    <w:p>
      <w:pPr>
        <w:pStyle w:val="21"/>
        <w:tabs>
          <w:tab w:val="right" w:leader="dot" w:pos="8710"/>
        </w:tabs>
        <w:rPr>
          <w:sz w:val="32"/>
          <w:szCs w:val="32"/>
        </w:rPr>
      </w:pPr>
      <w:r>
        <w:rPr>
          <w:sz w:val="32"/>
          <w:szCs w:val="32"/>
        </w:rPr>
        <w:fldChar w:fldCharType="begin"/>
      </w:r>
      <w:r>
        <w:rPr>
          <w:sz w:val="32"/>
          <w:szCs w:val="32"/>
        </w:rPr>
        <w:instrText>Hyperlink \l "_Toc44272756"</w:instrText>
      </w:r>
      <w:r>
        <w:rPr>
          <w:sz w:val="32"/>
          <w:szCs w:val="32"/>
        </w:rPr>
        <w:fldChar w:fldCharType="separate"/>
      </w:r>
      <w:r>
        <w:rPr>
          <w:rFonts w:ascii="Times New Roman" w:eastAsia="方正楷体_GBK" w:cs="Times New Roman" w:hAnsi="Times New Roman"/>
          <w:sz w:val="32"/>
          <w:szCs w:val="32"/>
        </w:rPr>
        <w:t>（五）科技支撑</w:t>
      </w:r>
      <w:r>
        <w:rPr>
          <w:sz w:val="32"/>
          <w:szCs w:val="32"/>
        </w:rPr>
        <w:tab/>
      </w:r>
      <w:r>
        <w:rPr>
          <w:sz w:val="32"/>
          <w:szCs w:val="32"/>
        </w:rPr>
        <w:fldChar w:fldCharType="begin"/>
      </w:r>
      <w:r>
        <w:rPr>
          <w:sz w:val="32"/>
          <w:szCs w:val="32"/>
        </w:rPr>
        <w:instrText>PageRef _Toc44272756 \h</w:instrText>
      </w:r>
      <w:r>
        <w:rPr>
          <w:sz w:val="32"/>
          <w:szCs w:val="32"/>
        </w:rPr>
        <w:fldChar w:fldCharType="separate"/>
      </w:r>
      <w:r>
        <w:rPr>
          <w:sz w:val="32"/>
          <w:szCs w:val="32"/>
        </w:rPr>
        <w:t>42</w:t>
      </w:r>
      <w:r>
        <w:rPr>
          <w:sz w:val="32"/>
          <w:szCs w:val="32"/>
        </w:rPr>
        <w:fldChar w:fldCharType="end"/>
      </w:r>
      <w:r>
        <w:rPr>
          <w:sz w:val="32"/>
          <w:szCs w:val="32"/>
        </w:rPr>
        <w:fldChar w:fldCharType="end"/>
      </w:r>
      <w:r>
        <w:rPr>
          <w:rFonts w:ascii="Times New Roman" w:eastAsia="华文楷体" w:cs="Times New Roman" w:hAnsi="Times New Roman"/>
          <w:sz w:val="32"/>
          <w:szCs w:val="32"/>
        </w:rPr>
        <w:fldChar w:fldCharType="end"/>
      </w:r>
    </w:p>
    <w:p>
      <w:pPr>
        <w:pStyle w:val="4"/>
        <w:rPr>
          <w:rFonts w:ascii="Times New Roman" w:cs="Times New Roman" w:hAnsi="Times New Roman"/>
        </w:rPr>
        <w:sectPr>
          <w:pgSz w:w="11910" w:h="16840"/>
          <w:pgMar w:top="1960" w:right="1520" w:bottom="1200" w:left="1680" w:header="1620" w:footer="1015" w:gutter="0"/>
          <w:pgNumType w:start="1"/>
          <w:docGrid w:linePitch="312" w:charSpace="0"/>
        </w:sectPr>
      </w:pPr>
    </w:p>
    <w:p>
      <w:pPr>
        <w:pStyle w:val="2"/>
        <w:keepNext w:val="0"/>
        <w:keepLines/>
        <w:widowControl w:val="0"/>
        <w:adjustRightInd w:val="0"/>
        <w:snapToGrid w:val="0"/>
        <w:spacing w:before="0" w:after="0" w:line="600" w:lineRule="exact"/>
        <w:ind w:firstLineChars="200" w:firstLine="640"/>
        <w:rPr>
          <w:rFonts w:ascii="Times New Roman" w:eastAsia="方正黑体_GBK" w:cs="Times New Roman" w:hAnsi="Times New Roman"/>
          <w:b w:val="0"/>
          <w:bCs w:val="0"/>
          <w:sz w:val="32"/>
        </w:rPr>
      </w:pPr>
      <w:bookmarkStart w:id="1" w:name="_Toc44272715"/>
      <w:r>
        <w:rPr>
          <w:rFonts w:ascii="Times New Roman" w:eastAsia="方正黑体_GBK" w:cs="Times New Roman" w:hAnsi="Times New Roman"/>
          <w:b w:val="0"/>
          <w:bCs w:val="0"/>
          <w:sz w:val="32"/>
        </w:rPr>
        <w:t>一、基本概况</w:t>
      </w:r>
      <w:bookmarkEnd w:id="1"/>
    </w:p>
    <w:p>
      <w:pPr>
        <w:spacing w:line="600" w:lineRule="exact"/>
        <w:ind w:firstLineChars="200" w:firstLine="600"/>
        <w:outlineLvl w:val="1"/>
        <w:rPr>
          <w:rFonts w:ascii="Times New Roman" w:eastAsia="方正楷体_GBK" w:cs="Times New Roman" w:hAnsi="Times New Roman"/>
          <w:sz w:val="30"/>
          <w:szCs w:val="30"/>
        </w:rPr>
      </w:pPr>
      <w:bookmarkStart w:id="2" w:name="_Toc42510274"/>
      <w:bookmarkStart w:id="3" w:name="_Toc42515556"/>
      <w:bookmarkStart w:id="4" w:name="_Toc44272716"/>
      <w:r>
        <w:rPr>
          <w:rFonts w:ascii="Times New Roman" w:eastAsia="方正楷体_GBK" w:cs="Times New Roman" w:hAnsi="Times New Roman"/>
          <w:sz w:val="30"/>
          <w:szCs w:val="30"/>
        </w:rPr>
        <w:t>（一）地理位置</w:t>
      </w:r>
      <w:bookmarkEnd w:id="2"/>
      <w:bookmarkEnd w:id="4"/>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江津区地处重庆市渝西板块，东邻巴南区、綦江区，南靠贵州习水县，西依永川区、四川合江县，北接璧山区，位于北纬28度28分-29度28分，东经105度49分-106度38分之间，距离重庆主城区40公里，距离重庆江北国际机场70公里。幅员面积3218平方公里，东西宽80公里，南北长100公里，境内水系发达，长江穿城而过，次级河流纵横交错，是长江上游重要的水陆交通枢纽。缙云山、中梁山、铜锣山、石笋山、大娄山在辖区分布，是全区重要的森林保护区和生态屏障区。</w:t>
      </w:r>
    </w:p>
    <w:p>
      <w:pPr>
        <w:spacing w:line="360" w:lineRule="auto"/>
        <w:ind w:firstLineChars="200" w:firstLine="560"/>
        <w:rPr>
          <w:rFonts w:ascii="Times New Roman" w:eastAsia="方正楷体_GBK" w:cs="Times New Roman" w:hAnsi="Times New Roman"/>
          <w:color w:val="FF0000"/>
          <w:sz w:val="28"/>
          <w:szCs w:val="28"/>
        </w:rPr>
      </w:pPr>
      <w:r>
        <w:rPr>
          <w:rFonts w:ascii="Times New Roman" w:eastAsia="方正楷体_GBK" w:cs="Times New Roman" w:hAnsi="Times New Roman"/>
          <w:color w:val="FF0000"/>
          <w:sz w:val="28"/>
          <w:szCs w:val="28"/>
        </w:rPr>
        <w:drawing>
          <wp:inline distT="0" distB="0" distL="114300" distR="114300">
            <wp:extent cx="4657725" cy="3783330"/>
            <wp:effectExtent l="0" t="0" r="0" b="0"/>
            <wp:docPr id="4" name="图片 4" descr="区位分析图"/>
            <wp:cNvGraphicFramePr>
              <a:graphicFrameLocks noChangeAspect="1"/>
            </wp:cNvGraphicFramePr>
            <a:graphic>
              <a:graphicData uri="http://schemas.openxmlformats.org/drawingml/2006/picture">
                <pic:pic>
                  <pic:nvPicPr>
                    <pic:cNvPr id="6" name="图片 6"/>
                    <pic:cNvPicPr/>
                  </pic:nvPicPr>
                  <pic:blipFill>
                    <a:blip r:embed="rId4"/>
                    <a:stretch>
                      <a:fillRect/>
                    </a:stretch>
                  </pic:blipFill>
                  <pic:spPr>
                    <a:xfrm rot="0">
                      <a:off x="0" y="0"/>
                      <a:ext cx="4657725" cy="3783330"/>
                    </a:xfrm>
                    <a:prstGeom prst="rect"/>
                    <a:noFill/>
                    <a:ln w="9525" cmpd="sng" cap="flat">
                      <a:noFill/>
                      <a:prstDash val="solid"/>
                      <a:miter/>
                    </a:ln>
                  </pic:spPr>
                </pic:pic>
              </a:graphicData>
            </a:graphic>
          </wp:inline>
        </w:drawing>
      </w:r>
    </w:p>
    <w:p>
      <w:pPr>
        <w:spacing w:line="360" w:lineRule="auto"/>
        <w:ind w:firstLineChars="200" w:firstLine="420"/>
        <w:jc w:val="center"/>
        <w:rPr>
          <w:rFonts w:ascii="Times New Roman" w:eastAsia="方正楷体_GBK" w:cs="Times New Roman" w:hAnsi="Times New Roman"/>
          <w:b/>
        </w:rPr>
      </w:pPr>
      <w:bookmarkStart w:id="5" w:name="_Toc42510275"/>
      <w:r>
        <w:rPr>
          <w:rFonts w:ascii="Times New Roman" w:eastAsia="方正楷体_GBK" w:cs="Times New Roman" w:hAnsi="Times New Roman"/>
          <w:b/>
        </w:rPr>
        <w:t>图1：江津区位置图</w:t>
      </w:r>
    </w:p>
    <w:p>
      <w:pPr>
        <w:spacing w:line="600" w:lineRule="exact"/>
        <w:ind w:firstLineChars="150" w:firstLine="480"/>
        <w:outlineLvl w:val="1"/>
        <w:rPr>
          <w:rFonts w:ascii="Times New Roman" w:eastAsia="方正楷体_GBK" w:cs="Times New Roman" w:hAnsi="Times New Roman"/>
          <w:sz w:val="32"/>
          <w:szCs w:val="32"/>
        </w:rPr>
      </w:pPr>
      <w:bookmarkStart w:id="6" w:name="_Toc44272717"/>
      <w:r>
        <w:rPr>
          <w:rFonts w:ascii="Times New Roman" w:eastAsia="方正楷体_GBK" w:cs="Times New Roman" w:hAnsi="Times New Roman"/>
          <w:sz w:val="32"/>
          <w:szCs w:val="32"/>
        </w:rPr>
        <w:t>（二）自然概况</w:t>
      </w:r>
      <w:bookmarkEnd w:id="5"/>
      <w:bookmarkEnd w:id="6"/>
    </w:p>
    <w:p>
      <w:pPr>
        <w:pStyle w:val="24"/>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江津地势由南北向长江河谷逐级降低，北部和中部以丘陵、低山为主，南部紧靠贵州以山区为主。北部华盖山等系</w:t>
      </w:r>
      <w:r>
        <w:rPr>
          <w:rFonts w:ascii="Times New Roman" w:eastAsia="方正仿宋_GBK" w:cs="Times New Roman" w:hAnsi="Times New Roman"/>
          <w:sz w:val="32"/>
          <w:szCs w:val="32"/>
          <w:lang w:eastAsia="zh-CN"/>
        </w:rPr>
        <w:t>华蓥山</w:t>
      </w:r>
      <w:r>
        <w:rPr>
          <w:rFonts w:ascii="Times New Roman" w:eastAsia="方正仿宋_GBK" w:cs="Times New Roman" w:hAnsi="Times New Roman"/>
          <w:sz w:val="32"/>
          <w:szCs w:val="32"/>
        </w:rPr>
        <w:t>支脉，南部四面山系云贵高原过渡到四川盆地的梯形地带。全区最高海拔1709.4米，主城区平均海拔209.7米。江津属北半球中亚热带湿润季风气候区，具有气候温和</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四季分明</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夏热冬暖</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光热同季</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无霜期长</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雨量充沛</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湿润多阴等特点。常年平均气温18.4</w:t>
      </w:r>
      <w:r>
        <w:rPr>
          <w:rFonts w:ascii="方正仿宋_GBK" w:eastAsia="方正仿宋_GBK" w:cs="Times New Roman" w:hint="eastAsia"/>
          <w:sz w:val="32"/>
          <w:szCs w:val="32"/>
        </w:rPr>
        <w:t>℃</w:t>
      </w:r>
      <w:r>
        <w:rPr>
          <w:rFonts w:ascii="Times New Roman" w:eastAsia="方正仿宋_GBK" w:cs="Times New Roman" w:hAnsi="Times New Roman"/>
          <w:sz w:val="32"/>
          <w:szCs w:val="32"/>
        </w:rPr>
        <w:t>，年平均日照时数1141小时，年平均降雨量1001.2毫米。年平均风速0.8米/秒，最多风向为NE风。年平均蒸发量为805.5毫米。年雷暴日数37天。主要气象灾害有高温、干旱、低温阴雨、冰雹、大风、寒潮、雷暴。</w:t>
      </w:r>
    </w:p>
    <w:p>
      <w:pPr>
        <w:spacing w:line="600" w:lineRule="exact"/>
        <w:ind w:firstLineChars="200" w:firstLine="640"/>
        <w:outlineLvl w:val="1"/>
        <w:rPr>
          <w:rFonts w:ascii="Times New Roman" w:eastAsia="方正楷体_GBK" w:cs="Times New Roman" w:hAnsi="Times New Roman"/>
          <w:sz w:val="32"/>
          <w:szCs w:val="32"/>
        </w:rPr>
      </w:pPr>
      <w:bookmarkStart w:id="7" w:name="_Toc42510276"/>
      <w:bookmarkStart w:id="8" w:name="_Toc44272718"/>
      <w:r>
        <w:rPr>
          <w:rFonts w:ascii="Times New Roman" w:eastAsia="方正楷体_GBK" w:cs="Times New Roman" w:hAnsi="Times New Roman"/>
          <w:sz w:val="32"/>
          <w:szCs w:val="32"/>
        </w:rPr>
        <w:t>（三）资源状况</w:t>
      </w:r>
      <w:bookmarkEnd w:id="7"/>
      <w:bookmarkEnd w:id="8"/>
    </w:p>
    <w:p>
      <w:pPr>
        <w:spacing w:line="600" w:lineRule="exact"/>
        <w:ind w:firstLineChars="200" w:firstLine="560"/>
        <w:rPr>
          <w:rFonts w:ascii="Times New Roman" w:eastAsia="方正仿宋_GBK" w:cs="Times New Roman" w:hAnsi="Times New Roman"/>
          <w:b/>
          <w:bCs/>
          <w:sz w:val="32"/>
          <w:szCs w:val="32"/>
        </w:rPr>
      </w:pPr>
      <w:r>
        <w:rPr>
          <w:rFonts w:ascii="Times New Roman" w:eastAsia="方正楷体_GBK" w:cs="Times New Roman" w:hAnsi="Times New Roman"/>
          <w:b/>
          <w:bCs/>
          <w:sz w:val="28"/>
          <w:szCs w:val="28"/>
        </w:rPr>
        <w:t xml:space="preserve"> </w:t>
      </w:r>
      <w:r>
        <w:rPr>
          <w:rFonts w:ascii="Times New Roman" w:eastAsia="方正仿宋_GBK" w:cs="Times New Roman" w:hAnsi="Times New Roman"/>
          <w:b/>
          <w:bCs/>
          <w:sz w:val="32"/>
          <w:szCs w:val="32"/>
        </w:rPr>
        <w:t xml:space="preserve"> </w:t>
      </w:r>
      <w:r>
        <w:rPr>
          <w:rFonts w:ascii="Times New Roman" w:eastAsia="方正仿宋_GBK" w:cs="Times New Roman" w:hAnsi="Times New Roman"/>
          <w:b/>
          <w:bCs/>
          <w:sz w:val="32"/>
          <w:szCs w:val="32"/>
          <w:lang w:val="en-US" w:eastAsia="zh-CN"/>
        </w:rPr>
        <w:t>1.</w:t>
      </w:r>
      <w:r>
        <w:rPr>
          <w:rFonts w:ascii="Times New Roman" w:eastAsia="方正仿宋_GBK" w:cs="Times New Roman" w:hAnsi="Times New Roman"/>
          <w:b/>
          <w:bCs/>
          <w:sz w:val="32"/>
          <w:szCs w:val="32"/>
        </w:rPr>
        <w:t>土地资源</w:t>
      </w: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江津区土地总面积482.67万亩，耕地、林地和城镇村及工矿用地是主要土地利用类型，分别占全区总面积的35.45%、30.84%、9.95%，草地、交通用地比重较低。耕地（包括水田、旱地、菜地）面积171.09万亩，占比35.45%；园地（包括果园、茶园、其它园地等）面积40.37万亩，占比8.36%；林地（包括林地、灌木林地、其它林地）面积148.86万亩，占比30.84%；城镇工矿用地（包括城乡居民点用地、城镇用地、村庄、工矿用地、特殊用地等）面积48.00万亩，占比9.95%；交通水利及其他（包括铁路、公路、农村道路）面积9.13万亩，占比1.89%；水域（包括江河、水库、护坡等）面积23.34万亩，占比4.84%。</w:t>
      </w:r>
    </w:p>
    <w:p>
      <w:pPr>
        <w:pStyle w:val="25"/>
        <w:spacing w:beforeLines="50" w:before="120"/>
        <w:ind w:right="62" w:firstLineChars="300" w:firstLine="630"/>
        <w:jc w:val="left"/>
      </w:pPr>
    </w:p>
    <w:p>
      <w:pPr>
        <w:pStyle w:val="25"/>
        <w:spacing w:beforeLines="50" w:before="120"/>
        <w:ind w:right="62" w:firstLineChars="300" w:firstLine="720"/>
        <w:jc w:val="left"/>
        <w:rPr>
          <w:rFonts w:eastAsia="仿宋"/>
          <w:b/>
          <w:sz w:val="24"/>
        </w:rPr>
      </w:pPr>
      <w:r>
        <w:rPr>
          <w:rFonts w:eastAsia="仿宋"/>
          <w:b/>
          <w:sz w:val="24"/>
        </w:rPr>
        <w:t xml:space="preserve">表1               </w:t>
      </w:r>
      <w:r>
        <w:rPr>
          <w:rFonts w:eastAsia="华文楷体"/>
          <w:b/>
          <w:bCs/>
          <w:sz w:val="24"/>
        </w:rPr>
        <w:t>江津区土地利用分类统计表</w:t>
      </w:r>
    </w:p>
    <w:tbl>
      <w:tblPr>
        <w:jc w:val="center"/>
        <w:tblW w:w="8522" w:type="dxa"/>
        <w:tblBorders>
          <w:top w:val="single" w:sz="4" w:space="0" w:color="auto"/>
          <w:left w:val="none" w:sz="0" w:space="0" w:color="auto"/>
          <w:bottom w:val="single" w:sz="4" w:space="0" w:color="auto"/>
          <w:right w:val="none" w:sz="0" w:space="0" w:color="auto"/>
        </w:tblBorders>
        <w:tblLayout w:type="fixed"/>
        <w:tblCellMar>
          <w:top w:w="0" w:type="dxa"/>
          <w:left w:w="108" w:type="dxa"/>
          <w:bottom w:w="0" w:type="dxa"/>
          <w:right w:w="108" w:type="dxa"/>
        </w:tblCellMar>
      </w:tblPr>
      <w:tblGrid>
        <w:gridCol w:w="1384"/>
        <w:gridCol w:w="2876"/>
        <w:gridCol w:w="2215"/>
        <w:gridCol w:w="2047"/>
      </w:tblGrid>
      <w:tr>
        <w:trPr>
          <w:trHeight w:val="439"/>
        </w:trPr>
        <w:tc>
          <w:tcPr>
            <w:tcW w:w="1384" w:type="dxa"/>
            <w:tcBorders>
              <w:top w:val="single" w:sz="4" w:space="0" w:color="auto"/>
              <w:bottom w:val="single" w:sz="4" w:space="0" w:color="auto"/>
            </w:tcBorders>
            <w:vAlign w:val="center"/>
          </w:tcPr>
          <w:p>
            <w:pPr>
              <w:jc w:val="center"/>
              <w:rPr>
                <w:rFonts w:ascii="Times New Roman" w:eastAsia="方正楷体_GBK" w:cs="Times New Roman" w:hAnsi="Times New Roman"/>
                <w:b/>
                <w:bCs/>
                <w:sz w:val="24"/>
              </w:rPr>
            </w:pPr>
            <w:r>
              <w:rPr>
                <w:rFonts w:ascii="Times New Roman" w:eastAsia="方正楷体_GBK" w:cs="Times New Roman" w:hAnsi="Times New Roman"/>
                <w:b/>
                <w:bCs/>
                <w:sz w:val="24"/>
              </w:rPr>
              <w:t>序号</w:t>
            </w:r>
          </w:p>
        </w:tc>
        <w:tc>
          <w:tcPr>
            <w:tcW w:w="2876" w:type="dxa"/>
            <w:tcBorders>
              <w:top w:val="single" w:sz="4" w:space="0" w:color="auto"/>
              <w:bottom w:val="single" w:sz="4" w:space="0" w:color="auto"/>
            </w:tcBorders>
            <w:vAlign w:val="center"/>
          </w:tcPr>
          <w:p>
            <w:pPr>
              <w:jc w:val="center"/>
              <w:rPr>
                <w:rFonts w:ascii="Times New Roman" w:eastAsia="方正楷体_GBK" w:cs="Times New Roman" w:hAnsi="Times New Roman"/>
                <w:b/>
                <w:bCs/>
                <w:sz w:val="24"/>
              </w:rPr>
            </w:pPr>
            <w:r>
              <w:rPr>
                <w:rFonts w:ascii="Times New Roman" w:eastAsia="方正楷体_GBK" w:cs="Times New Roman" w:hAnsi="Times New Roman"/>
                <w:b/>
                <w:bCs/>
                <w:sz w:val="24"/>
              </w:rPr>
              <w:t>土地类型</w:t>
            </w:r>
          </w:p>
        </w:tc>
        <w:tc>
          <w:tcPr>
            <w:tcW w:w="2215" w:type="dxa"/>
            <w:tcBorders>
              <w:top w:val="single" w:sz="4" w:space="0" w:color="auto"/>
              <w:bottom w:val="single" w:sz="4" w:space="0" w:color="auto"/>
            </w:tcBorders>
            <w:vAlign w:val="center"/>
          </w:tcPr>
          <w:p>
            <w:pPr>
              <w:jc w:val="center"/>
              <w:rPr>
                <w:rFonts w:ascii="Times New Roman" w:eastAsia="方正楷体_GBK" w:cs="Times New Roman" w:hAnsi="Times New Roman"/>
                <w:b/>
                <w:bCs/>
                <w:sz w:val="24"/>
              </w:rPr>
            </w:pPr>
            <w:r>
              <w:rPr>
                <w:rFonts w:ascii="Times New Roman" w:eastAsia="方正楷体_GBK" w:cs="Times New Roman" w:hAnsi="Times New Roman"/>
                <w:b/>
                <w:bCs/>
                <w:sz w:val="24"/>
              </w:rPr>
              <w:t>面积（</w:t>
            </w:r>
            <w:r>
              <w:rPr>
                <w:rFonts w:ascii="Times New Roman" w:eastAsia="方正楷体_GBK" w:cs="Times New Roman" w:hAnsi="Times New Roman"/>
                <w:b/>
                <w:sz w:val="28"/>
                <w:szCs w:val="28"/>
              </w:rPr>
              <w:t>万亩</w:t>
            </w:r>
            <w:r>
              <w:rPr>
                <w:rFonts w:ascii="Times New Roman" w:eastAsia="方正楷体_GBK" w:cs="Times New Roman" w:hAnsi="Times New Roman"/>
                <w:b/>
                <w:bCs/>
                <w:sz w:val="24"/>
              </w:rPr>
              <w:t>）</w:t>
            </w:r>
          </w:p>
        </w:tc>
        <w:tc>
          <w:tcPr>
            <w:tcW w:w="2047" w:type="dxa"/>
            <w:tcBorders>
              <w:top w:val="single" w:sz="4" w:space="0" w:color="auto"/>
              <w:bottom w:val="single" w:sz="4" w:space="0" w:color="auto"/>
            </w:tcBorders>
            <w:vAlign w:val="center"/>
          </w:tcPr>
          <w:p>
            <w:pPr>
              <w:jc w:val="center"/>
              <w:rPr>
                <w:rFonts w:ascii="Times New Roman" w:eastAsia="方正楷体_GBK" w:cs="Times New Roman" w:hAnsi="Times New Roman"/>
                <w:b/>
                <w:bCs/>
                <w:sz w:val="24"/>
              </w:rPr>
            </w:pPr>
            <w:r>
              <w:rPr>
                <w:rFonts w:ascii="Times New Roman" w:eastAsia="方正楷体_GBK" w:cs="Times New Roman" w:hAnsi="Times New Roman"/>
                <w:b/>
                <w:bCs/>
                <w:sz w:val="24"/>
              </w:rPr>
              <w:t>百分比（%）</w:t>
            </w:r>
          </w:p>
        </w:tc>
      </w:tr>
      <w:tr>
        <w:tc>
          <w:tcPr>
            <w:tcW w:w="1384" w:type="dxa"/>
            <w:tcBorders>
              <w:top w:val="single" w:sz="4" w:space="0" w:color="auto"/>
            </w:tcBorders>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1</w:t>
            </w:r>
          </w:p>
        </w:tc>
        <w:tc>
          <w:tcPr>
            <w:tcW w:w="2876" w:type="dxa"/>
            <w:tcBorders>
              <w:top w:val="single" w:sz="4" w:space="0" w:color="auto"/>
            </w:tcBorders>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耕地</w:t>
            </w:r>
          </w:p>
        </w:tc>
        <w:tc>
          <w:tcPr>
            <w:tcW w:w="2215" w:type="dxa"/>
            <w:tcBorders>
              <w:top w:val="single" w:sz="4" w:space="0" w:color="auto"/>
            </w:tcBorders>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171.09</w:t>
            </w:r>
          </w:p>
        </w:tc>
        <w:tc>
          <w:tcPr>
            <w:tcW w:w="2047" w:type="dxa"/>
            <w:tcBorders>
              <w:top w:val="single" w:sz="4" w:space="0" w:color="auto"/>
            </w:tcBorders>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35.35</w:t>
            </w:r>
          </w:p>
        </w:tc>
      </w:tr>
      <w:tr>
        <w:tc>
          <w:tcPr>
            <w:tcW w:w="1384"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2</w:t>
            </w:r>
          </w:p>
        </w:tc>
        <w:tc>
          <w:tcPr>
            <w:tcW w:w="2876"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园地</w:t>
            </w:r>
          </w:p>
        </w:tc>
        <w:tc>
          <w:tcPr>
            <w:tcW w:w="2215"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40.37</w:t>
            </w:r>
          </w:p>
        </w:tc>
        <w:tc>
          <w:tcPr>
            <w:tcW w:w="2047"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8.36</w:t>
            </w:r>
          </w:p>
        </w:tc>
      </w:tr>
      <w:tr>
        <w:tc>
          <w:tcPr>
            <w:tcW w:w="1384"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3</w:t>
            </w:r>
          </w:p>
        </w:tc>
        <w:tc>
          <w:tcPr>
            <w:tcW w:w="2876"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林地</w:t>
            </w:r>
          </w:p>
        </w:tc>
        <w:tc>
          <w:tcPr>
            <w:tcW w:w="2215"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148.86</w:t>
            </w:r>
          </w:p>
        </w:tc>
        <w:tc>
          <w:tcPr>
            <w:tcW w:w="2047"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30.84</w:t>
            </w:r>
          </w:p>
        </w:tc>
      </w:tr>
      <w:tr>
        <w:tc>
          <w:tcPr>
            <w:tcW w:w="1384"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4</w:t>
            </w:r>
          </w:p>
        </w:tc>
        <w:tc>
          <w:tcPr>
            <w:tcW w:w="2876"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草地</w:t>
            </w:r>
          </w:p>
        </w:tc>
        <w:tc>
          <w:tcPr>
            <w:tcW w:w="2215"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8.60</w:t>
            </w:r>
          </w:p>
        </w:tc>
        <w:tc>
          <w:tcPr>
            <w:tcW w:w="2047"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1.78</w:t>
            </w:r>
          </w:p>
        </w:tc>
      </w:tr>
      <w:tr>
        <w:tc>
          <w:tcPr>
            <w:tcW w:w="1384"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5</w:t>
            </w:r>
          </w:p>
        </w:tc>
        <w:tc>
          <w:tcPr>
            <w:tcW w:w="2876"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城镇村及工矿用地</w:t>
            </w:r>
          </w:p>
        </w:tc>
        <w:tc>
          <w:tcPr>
            <w:tcW w:w="2215"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48</w:t>
            </w:r>
          </w:p>
        </w:tc>
        <w:tc>
          <w:tcPr>
            <w:tcW w:w="2047"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9.95</w:t>
            </w:r>
          </w:p>
        </w:tc>
      </w:tr>
      <w:tr>
        <w:tc>
          <w:tcPr>
            <w:tcW w:w="1384"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6</w:t>
            </w:r>
          </w:p>
        </w:tc>
        <w:tc>
          <w:tcPr>
            <w:tcW w:w="2876"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交通运输用地</w:t>
            </w:r>
          </w:p>
        </w:tc>
        <w:tc>
          <w:tcPr>
            <w:tcW w:w="2215"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9.13</w:t>
            </w:r>
          </w:p>
        </w:tc>
        <w:tc>
          <w:tcPr>
            <w:tcW w:w="2047"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1.89</w:t>
            </w:r>
          </w:p>
        </w:tc>
      </w:tr>
      <w:tr>
        <w:tc>
          <w:tcPr>
            <w:tcW w:w="1384"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7</w:t>
            </w:r>
          </w:p>
        </w:tc>
        <w:tc>
          <w:tcPr>
            <w:tcW w:w="2876"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水域及水利设施用地</w:t>
            </w:r>
          </w:p>
        </w:tc>
        <w:tc>
          <w:tcPr>
            <w:tcW w:w="2215"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23.34</w:t>
            </w:r>
          </w:p>
        </w:tc>
        <w:tc>
          <w:tcPr>
            <w:tcW w:w="2047"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4.84</w:t>
            </w:r>
          </w:p>
        </w:tc>
      </w:tr>
      <w:tr>
        <w:tc>
          <w:tcPr>
            <w:tcW w:w="1384"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8</w:t>
            </w:r>
          </w:p>
        </w:tc>
        <w:tc>
          <w:tcPr>
            <w:tcW w:w="2876"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其他土地</w:t>
            </w:r>
          </w:p>
        </w:tc>
        <w:tc>
          <w:tcPr>
            <w:tcW w:w="2215"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33.28</w:t>
            </w:r>
          </w:p>
        </w:tc>
        <w:tc>
          <w:tcPr>
            <w:tcW w:w="2047" w:type="dxa"/>
            <w:vAlign w:val="center"/>
          </w:tcPr>
          <w:p>
            <w:pPr>
              <w:jc w:val="center"/>
              <w:rPr>
                <w:rFonts w:ascii="Times New Roman" w:eastAsia="方正楷体_GBK" w:cs="Times New Roman" w:hAnsi="Times New Roman"/>
                <w:sz w:val="24"/>
              </w:rPr>
            </w:pPr>
            <w:r>
              <w:rPr>
                <w:rFonts w:ascii="Times New Roman" w:eastAsia="方正楷体_GBK" w:cs="Times New Roman" w:hAnsi="Times New Roman"/>
                <w:sz w:val="24"/>
              </w:rPr>
              <w:t>6.89</w:t>
            </w:r>
          </w:p>
        </w:tc>
      </w:tr>
      <w:tr>
        <w:tc>
          <w:tcPr>
            <w:tcW w:w="4260" w:type="dxa"/>
            <w:gridSpan w:val="2"/>
            <w:vAlign w:val="center"/>
          </w:tcPr>
          <w:p>
            <w:pPr>
              <w:jc w:val="center"/>
              <w:rPr>
                <w:rFonts w:ascii="Times New Roman" w:eastAsia="方正楷体_GBK" w:cs="Times New Roman" w:hAnsi="Times New Roman"/>
                <w:b/>
                <w:sz w:val="24"/>
              </w:rPr>
            </w:pPr>
            <w:r>
              <w:rPr>
                <w:rFonts w:ascii="Times New Roman" w:eastAsia="方正楷体_GBK" w:cs="Times New Roman" w:hAnsi="Times New Roman"/>
                <w:b/>
                <w:sz w:val="24"/>
              </w:rPr>
              <w:t>合计</w:t>
            </w:r>
          </w:p>
        </w:tc>
        <w:tc>
          <w:tcPr>
            <w:tcW w:w="2215" w:type="dxa"/>
            <w:vAlign w:val="center"/>
          </w:tcPr>
          <w:p>
            <w:pPr>
              <w:jc w:val="center"/>
              <w:rPr>
                <w:rFonts w:ascii="Times New Roman" w:eastAsia="方正楷体_GBK" w:cs="Times New Roman" w:hAnsi="Times New Roman"/>
                <w:b/>
                <w:sz w:val="24"/>
              </w:rPr>
            </w:pPr>
            <w:r>
              <w:rPr>
                <w:rFonts w:ascii="Times New Roman" w:eastAsia="方正楷体_GBK" w:cs="Times New Roman" w:hAnsi="Times New Roman"/>
                <w:b/>
                <w:sz w:val="24"/>
              </w:rPr>
              <w:t>482.67</w:t>
            </w:r>
          </w:p>
        </w:tc>
        <w:tc>
          <w:tcPr>
            <w:tcW w:w="2047" w:type="dxa"/>
            <w:vAlign w:val="center"/>
          </w:tcPr>
          <w:p>
            <w:pPr>
              <w:jc w:val="center"/>
              <w:rPr>
                <w:rFonts w:ascii="Times New Roman" w:eastAsia="方正楷体_GBK" w:cs="Times New Roman" w:hAnsi="Times New Roman"/>
                <w:b/>
                <w:sz w:val="24"/>
              </w:rPr>
            </w:pPr>
            <w:r>
              <w:rPr>
                <w:rFonts w:ascii="Times New Roman" w:eastAsia="方正楷体_GBK" w:cs="Times New Roman" w:hAnsi="Times New Roman"/>
                <w:b/>
                <w:sz w:val="24"/>
              </w:rPr>
              <w:t>100</w:t>
            </w:r>
          </w:p>
        </w:tc>
      </w:tr>
    </w:tbl>
    <w:p>
      <w:pPr>
        <w:spacing w:line="360" w:lineRule="auto"/>
        <w:ind w:firstLineChars="200" w:firstLine="560"/>
        <w:rPr>
          <w:rFonts w:ascii="Times New Roman" w:eastAsia="方正楷体_GBK" w:cs="Times New Roman" w:hAnsi="Times New Roman"/>
          <w:b/>
          <w:sz w:val="28"/>
          <w:szCs w:val="28"/>
        </w:rPr>
      </w:pPr>
    </w:p>
    <w:p>
      <w:pPr>
        <w:spacing w:line="600" w:lineRule="exact"/>
        <w:ind w:firstLineChars="200" w:firstLine="640"/>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2.</w:t>
      </w:r>
      <w:r>
        <w:rPr>
          <w:rFonts w:ascii="Times New Roman" w:eastAsia="方正仿宋_GBK" w:cs="Times New Roman" w:hAnsi="Times New Roman"/>
          <w:b/>
          <w:bCs/>
          <w:sz w:val="32"/>
          <w:szCs w:val="32"/>
        </w:rPr>
        <w:t>森林资源</w:t>
      </w: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江津区森林面积248.75万亩，森林覆盖率51.8%。有较为丰富的森林资源，有各级自然保护区、森林公园8个；有维管束植物200多科2500种，其中国家级珍稀保护植物19种；有野生动物11目30科53属204种，其中脊椎动物71种，国家级珍稀保护动物23种。其中，四面山国家级风景名胜区，是地球同纬度仅存的亚热带原始常绿阔叶林带，被联合国生态保护专家确定为地球上难得的“天然物种基因库”，是生物科学领域一块未开垦的处女地。</w:t>
      </w:r>
    </w:p>
    <w:p>
      <w:pPr>
        <w:spacing w:line="600" w:lineRule="exact"/>
        <w:ind w:firstLineChars="200" w:firstLine="640"/>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3.</w:t>
      </w:r>
      <w:r>
        <w:rPr>
          <w:rFonts w:ascii="Times New Roman" w:eastAsia="方正仿宋_GBK" w:cs="Times New Roman" w:hAnsi="Times New Roman"/>
          <w:b/>
          <w:bCs/>
          <w:sz w:val="32"/>
          <w:szCs w:val="32"/>
        </w:rPr>
        <w:t>水资源</w:t>
      </w: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江津区水资源较丰富，多年平均总径流量为15亿多立方米，平均年径流模数为47.1万立方米/平方公里。流经全区的客水2674亿立方米，地下水资源0.635亿立方米。全区人均占有地表水为1120立方米，亩均占有量为1130立方米，水资源开发利用的潜力很大。全区水资源储量总量25.2亿立方米，人均水资源占有量1680立方米。全区有各类水利工程10466处，其中水库222座，总库容1.2743亿立方米；中型水库2座，总库容0.3001亿立方米；小（一）型水库21座，总库容0.4079亿立方米；小（二）型水库199座，总库容0.5463亿立方米。</w:t>
      </w:r>
    </w:p>
    <w:p>
      <w:pPr>
        <w:spacing w:line="600" w:lineRule="exact"/>
        <w:ind w:firstLineChars="200" w:firstLine="640"/>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4.</w:t>
      </w:r>
      <w:r>
        <w:rPr>
          <w:rFonts w:ascii="Times New Roman" w:eastAsia="方正仿宋_GBK" w:cs="Times New Roman" w:hAnsi="Times New Roman"/>
          <w:b/>
          <w:bCs/>
          <w:sz w:val="32"/>
          <w:szCs w:val="32"/>
        </w:rPr>
        <w:t>矿产资源</w:t>
      </w: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江津矿产资源藏量大，境内有天然气、石膏、石英砂、石灰石、白色软质粘土、矿泉水等10多种。成矿带集中分布于沥鼻峡背斜、温塘峡背斜、观音峡背斜轴部及其两翼。非金属矿在重庆市占有重要地位，达到国家规模的大中型矿床11处。天然气保有储量16.61亿立方米，远景储量达556亿立方米。全区目前有各类矿山69个，其中砖瓦用页岩37个；已设采矿权中，大中型矿山为10个，占采矿权数量的14.49%；矿业年总产值121693万元，占全区生产总值的2.19%。</w:t>
      </w:r>
      <w:bookmarkStart w:id="9" w:name="_Toc42510277"/>
    </w:p>
    <w:p>
      <w:pPr>
        <w:spacing w:line="600" w:lineRule="exact"/>
        <w:ind w:firstLineChars="200" w:firstLine="600"/>
        <w:outlineLvl w:val="1"/>
        <w:rPr>
          <w:rFonts w:ascii="Times New Roman" w:eastAsia="方正楷体_GBK" w:cs="Times New Roman" w:hAnsi="Times New Roman"/>
          <w:sz w:val="30"/>
          <w:szCs w:val="30"/>
        </w:rPr>
      </w:pPr>
      <w:bookmarkStart w:id="10" w:name="_Toc44272719"/>
      <w:r>
        <w:rPr>
          <w:rFonts w:ascii="Times New Roman" w:eastAsia="方正楷体_GBK" w:cs="Times New Roman" w:hAnsi="Times New Roman"/>
          <w:sz w:val="30"/>
          <w:szCs w:val="30"/>
        </w:rPr>
        <w:t>（四）经济社会状况</w:t>
      </w:r>
      <w:bookmarkEnd w:id="9"/>
      <w:bookmarkEnd w:id="10"/>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近年来，江津区经济社会持续向好，2019年，全区实现地区生产总值1036.7亿元，同比增长8.6%。第一产业实现增加值102.6亿元，增长3.5%；第二产业实现增加值594.5亿元，增长10.4%（其中工业实现增加值449.7亿元，增长8.9%）；第三产业实现增加值339.6亿元，增长7.0%。三次产业对经济增长的贡献分别为4.1%、69.8%、26.1%，其中工业对经济增长的贡献为47.2%。三次产业比重为9.9：57.3</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32.8。按常住人口计算，全年人均地区生产总值达到74452元（10792美元），比上年增长7.7%。</w:t>
      </w:r>
    </w:p>
    <w:p>
      <w:pPr>
        <w:spacing w:line="600" w:lineRule="exact"/>
        <w:ind w:firstLineChars="200" w:firstLine="640"/>
        <w:outlineLvl w:val="1"/>
        <w:rPr>
          <w:rFonts w:ascii="Times New Roman" w:eastAsia="方正楷体_GBK" w:cs="Times New Roman" w:hAnsi="Times New Roman"/>
          <w:sz w:val="32"/>
          <w:szCs w:val="32"/>
        </w:rPr>
      </w:pPr>
      <w:bookmarkStart w:id="11" w:name="_Toc42510279"/>
      <w:bookmarkStart w:id="12" w:name="_Toc44272720"/>
      <w:r>
        <w:rPr>
          <w:rFonts w:ascii="Times New Roman" w:eastAsia="方正楷体_GBK" w:cs="Times New Roman" w:hAnsi="Times New Roman"/>
          <w:sz w:val="32"/>
          <w:szCs w:val="32"/>
        </w:rPr>
        <w:t>（五）交通运输状况</w:t>
      </w:r>
      <w:bookmarkEnd w:id="11"/>
      <w:bookmarkEnd w:id="12"/>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江津区地跨长江两岸，紧临渝黔高速公路、成渝高速公路、渝蓉铁路、渝黔铁路，是川东南、黔北通往重庆的必经之地。普通</w:t>
      </w:r>
      <w:r>
        <w:rPr>
          <w:rFonts w:ascii="Times New Roman" w:eastAsia="方正仿宋_GBK" w:cs="Times New Roman" w:hAnsi="Times New Roman"/>
          <w:sz w:val="32"/>
          <w:szCs w:val="32"/>
        </w:rPr>
        <w:fldChar w:fldCharType="begin"/>
      </w:r>
      <w:r>
        <w:instrText>HYPERLINK "https://baike.baidu.com/item/%E5%85%AC%E8%B7%AF/34336"</w:instrText>
      </w:r>
      <w:r>
        <w:rPr>
          <w:rFonts w:ascii="Times New Roman" w:eastAsia="方正仿宋_GBK" w:cs="Times New Roman" w:hAnsi="Times New Roman"/>
          <w:sz w:val="32"/>
          <w:szCs w:val="32"/>
        </w:rPr>
        <w:fldChar w:fldCharType="separate"/>
      </w:r>
      <w:r>
        <w:rPr>
          <w:rFonts w:ascii="Times New Roman" w:eastAsia="方正仿宋_GBK" w:cs="Times New Roman" w:hAnsi="Times New Roman"/>
          <w:sz w:val="32"/>
          <w:szCs w:val="32"/>
        </w:rPr>
        <w:t>公路</w:t>
      </w:r>
      <w:r>
        <w:rPr>
          <w:rFonts w:ascii="Times New Roman" w:eastAsia="方正仿宋_GBK" w:cs="Times New Roman" w:hAnsi="Times New Roman"/>
          <w:sz w:val="32"/>
          <w:szCs w:val="32"/>
        </w:rPr>
        <w:fldChar w:fldCharType="end"/>
      </w:r>
      <w:r>
        <w:rPr>
          <w:rFonts w:ascii="Times New Roman" w:eastAsia="方正仿宋_GBK" w:cs="Times New Roman" w:hAnsi="Times New Roman"/>
          <w:sz w:val="32"/>
          <w:szCs w:val="32"/>
        </w:rPr>
        <w:t>里程累计6500公里。成渝、渝黔、渝贵铁路交汇江津，铁路总里程达161.5公里，火车站16个。长江水道贯穿江津，在建5000吨级泊位5个，建成后港区年设计通过能力1090万吨，兰家沱作业区正在实施粮食码头技改项目、改建项目。规划有5号、17号、19号等重庆轨道交通线，其中，轨道交通5号线延伸线江津段已开工建设，在江津境内设双福站、享堂站、江津高铁站、圣泉寺站4个站。“四好农村路” 通组公路已完成1032公里，全区行政村公路通畅率为100%，村民小组通达率实现100%、通畅率达91%。</w:t>
      </w:r>
      <w:bookmarkEnd w:id="3"/>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outlineLvl w:val="1"/>
        <w:rPr>
          <w:rFonts w:ascii="Times New Roman" w:eastAsia="方正楷体_GBK" w:cs="Times New Roman" w:hAnsi="Times New Roman"/>
          <w:sz w:val="32"/>
          <w:szCs w:val="32"/>
        </w:rPr>
      </w:pPr>
      <w:bookmarkStart w:id="13" w:name="_Toc44272721"/>
      <w:r>
        <w:rPr>
          <w:rFonts w:ascii="Times New Roman" w:eastAsia="方正楷体_GBK" w:cs="Times New Roman" w:hAnsi="Times New Roman"/>
          <w:sz w:val="32"/>
          <w:szCs w:val="32"/>
        </w:rPr>
        <w:t>（六）项目区概况</w:t>
      </w:r>
      <w:bookmarkEnd w:id="13"/>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rPr>
          <w:rFonts w:ascii="Times New Roman" w:eastAsia="方正仿宋_GBK" w:cs="Times New Roman" w:hAnsi="Times New Roman"/>
          <w:b/>
          <w:bCs w:val="0"/>
          <w:sz w:val="32"/>
          <w:szCs w:val="32"/>
        </w:rPr>
      </w:pPr>
      <w:r>
        <w:rPr>
          <w:rFonts w:ascii="Times New Roman" w:eastAsia="方正仿宋_GBK" w:cs="Times New Roman" w:hAnsi="Times New Roman"/>
          <w:b/>
          <w:bCs w:val="0"/>
          <w:sz w:val="32"/>
          <w:szCs w:val="32"/>
          <w:lang w:val="en-US" w:eastAsia="zh-CN"/>
        </w:rPr>
        <w:t>1.</w:t>
      </w:r>
      <w:r>
        <w:rPr>
          <w:rFonts w:ascii="Times New Roman" w:eastAsia="方正仿宋_GBK" w:cs="Times New Roman" w:hAnsi="Times New Roman"/>
          <w:b/>
          <w:bCs w:val="0"/>
          <w:sz w:val="32"/>
          <w:szCs w:val="32"/>
        </w:rPr>
        <w:t>土地利用现状</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rPr>
          <w:rFonts w:ascii="Times New Roman" w:eastAsia="方正仿宋_GBK" w:cs="Times New Roman" w:hAnsi="Times New Roman"/>
          <w:sz w:val="32"/>
          <w:szCs w:val="32"/>
        </w:rPr>
      </w:pPr>
      <w:r>
        <w:rPr>
          <w:rFonts w:ascii="Times New Roman" w:eastAsia="方正仿宋_GBK" w:cs="Times New Roman" w:hAnsi="Times New Roman"/>
          <w:bCs/>
          <w:sz w:val="32"/>
          <w:szCs w:val="32"/>
        </w:rPr>
        <w:t>长江流经江津127公里，占整个重庆段的1/5，生态区位极其重要，是保护和治理的核心。</w:t>
      </w:r>
      <w:r>
        <w:rPr>
          <w:rFonts w:ascii="Times New Roman" w:eastAsia="方正仿宋_GBK" w:cs="Times New Roman" w:hAnsi="Times New Roman"/>
          <w:sz w:val="32"/>
          <w:szCs w:val="32"/>
        </w:rPr>
        <w:t>规划区涉及江津区14个镇街，据资料统计，常住总人口95万人。规划范围内土地利用面积36.35万亩，其中：现有耕地面积10.10万亩，园地7.71万亩，林地8.37万亩，草地0.08万亩，水域及水利设施用地2.96万亩，商服用地0.20万亩，工矿仓储用地1.25万亩，住宅用地3.32万亩，公共管理与公共服务用地0.48万亩，交通运输用地1.74万亩，特殊用地0.10万亩，其他土地0.05万亩。</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2.</w:t>
      </w:r>
      <w:r>
        <w:rPr>
          <w:rFonts w:ascii="Times New Roman" w:eastAsia="方正仿宋_GBK" w:cs="Times New Roman" w:hAnsi="Times New Roman"/>
          <w:b/>
          <w:bCs/>
          <w:sz w:val="32"/>
          <w:szCs w:val="32"/>
        </w:rPr>
        <w:t>林业产业现状</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rPr>
          <w:rFonts w:ascii="Times New Roman" w:eastAsia="方正仿宋_GBK" w:cs="Times New Roman" w:hAnsi="Times New Roman"/>
          <w:sz w:val="32"/>
          <w:szCs w:val="32"/>
        </w:rPr>
      </w:pPr>
      <w:r>
        <w:rPr>
          <w:rFonts w:ascii="Times New Roman" w:eastAsia="方正仿宋_GBK" w:cs="Times New Roman" w:hAnsi="Times New Roman"/>
          <w:sz w:val="32"/>
          <w:szCs w:val="32"/>
        </w:rPr>
        <w:t>规划区经济林果产业主要有花椒、荔枝、桂圆、柑橘、橄榄、笋竹、枳壳、枇杷、油橄榄等，其中：花椒产业基地达4.89万亩，荔枝0.3万亩，桂圆0.45万亩，柑橘1.2万亩，橄榄0.2万亩，笋竹1.99万亩，油橄榄0.8万亩。</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3.</w:t>
      </w:r>
      <w:r>
        <w:rPr>
          <w:rFonts w:ascii="Times New Roman" w:eastAsia="方正仿宋_GBK" w:cs="Times New Roman" w:hAnsi="Times New Roman"/>
          <w:b/>
          <w:bCs/>
          <w:sz w:val="32"/>
          <w:szCs w:val="32"/>
        </w:rPr>
        <w:t>两岸绿化主要问题</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（1）人均耕地面积少，</w:t>
      </w:r>
      <w:r>
        <w:rPr>
          <w:rFonts w:ascii="Times New Roman" w:eastAsia="方正仿宋_GBK" w:cs="Times New Roman" w:hAnsi="Times New Roman"/>
          <w:sz w:val="32"/>
          <w:szCs w:val="32"/>
          <w:lang w:eastAsia="zh-CN"/>
        </w:rPr>
        <w:t>基本</w:t>
      </w:r>
      <w:r>
        <w:rPr>
          <w:rFonts w:ascii="Times New Roman" w:eastAsia="方正仿宋_GBK" w:cs="Times New Roman" w:hAnsi="Times New Roman"/>
          <w:sz w:val="32"/>
          <w:szCs w:val="32"/>
        </w:rPr>
        <w:t>农田占比大，绿化用地落实困难。</w:t>
      </w:r>
    </w:p>
    <w:p>
      <w:pPr>
        <w:pStyle w:val="21"/>
        <w:keepNext w:val="0"/>
        <w:pageBreakBefore w:val="0"/>
        <w:widowControl w:val="0"/>
        <w:tabs>
          <w:tab w:val="right" w:leader="dot" w:pos="10253"/>
        </w:tabs>
        <w:kinsoku/>
        <w:wordWrap/>
        <w:overflowPunct/>
        <w:topLinePunct w:val="0"/>
        <w:autoSpaceDE/>
        <w:autoSpaceDN/>
        <w:bidi w:val="0"/>
        <w:spacing w:line="600" w:lineRule="exact"/>
        <w:ind w:leftChars="0" w:left="0" w:firstLineChars="200" w:firstLine="640"/>
        <w:textAlignment w:val="baseline"/>
        <w:rPr>
          <w:rFonts w:ascii="Times New Roman" w:eastAsia="方正仿宋_GBK" w:cs="Times New Roman" w:hAnsi="Times New Roman"/>
          <w:sz w:val="32"/>
          <w:szCs w:val="32"/>
        </w:rPr>
      </w:pPr>
      <w:r>
        <w:rPr>
          <w:rFonts w:ascii="Times New Roman" w:eastAsia="方正仿宋_GBK" w:cs="Times New Roman" w:hAnsi="Times New Roman"/>
          <w:sz w:val="32"/>
          <w:szCs w:val="32"/>
        </w:rPr>
        <w:t>（2）森林结构单一，生物群落不丰富，景观效果差。</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sz w:val="28"/>
          <w:szCs w:val="28"/>
        </w:rPr>
      </w:pPr>
      <w:r>
        <w:rPr>
          <w:rFonts w:ascii="Times New Roman" w:eastAsia="方正仿宋_GBK" w:cs="Times New Roman" w:hAnsi="Times New Roman"/>
          <w:sz w:val="32"/>
          <w:szCs w:val="32"/>
        </w:rPr>
        <w:t>（3）</w:t>
      </w:r>
      <w:r>
        <w:rPr>
          <w:rFonts w:ascii="Times New Roman" w:eastAsia="方正仿宋_GBK" w:cs="Times New Roman" w:hAnsi="Times New Roman"/>
          <w:sz w:val="28"/>
          <w:szCs w:val="28"/>
        </w:rPr>
        <w:t>部分品种退化，产出效益不明显。</w:t>
      </w:r>
    </w:p>
    <w:p>
      <w:pPr>
        <w:pStyle w:val="21"/>
        <w:keepNext w:val="0"/>
        <w:pageBreakBefore w:val="0"/>
        <w:widowControl w:val="0"/>
        <w:tabs>
          <w:tab w:val="right" w:leader="dot" w:pos="10253"/>
        </w:tabs>
        <w:kinsoku/>
        <w:wordWrap/>
        <w:overflowPunct/>
        <w:topLinePunct w:val="0"/>
        <w:autoSpaceDE/>
        <w:autoSpaceDN/>
        <w:bidi w:val="0"/>
        <w:spacing w:line="600" w:lineRule="exact"/>
        <w:ind w:leftChars="0" w:left="0" w:firstLineChars="200" w:firstLine="640"/>
        <w:textAlignment w:val="baseline"/>
        <w:rPr>
          <w:rFonts w:ascii="Times New Roman" w:eastAsia="方正仿宋_GBK" w:cs="Times New Roman" w:hAnsi="Times New Roman"/>
          <w:sz w:val="28"/>
          <w:szCs w:val="28"/>
        </w:rPr>
      </w:pPr>
      <w:r>
        <w:rPr>
          <w:rFonts w:ascii="Times New Roman" w:eastAsia="方正仿宋_GBK" w:cs="Times New Roman" w:hAnsi="Times New Roman"/>
          <w:sz w:val="32"/>
          <w:szCs w:val="32"/>
        </w:rPr>
        <w:t>（4）</w:t>
      </w:r>
      <w:r>
        <w:rPr>
          <w:rFonts w:ascii="Times New Roman" w:eastAsia="方正仿宋_GBK" w:cs="Times New Roman" w:hAnsi="Times New Roman"/>
          <w:sz w:val="28"/>
          <w:szCs w:val="28"/>
        </w:rPr>
        <w:t>城镇发展，城市规划占用土地，绿化空间缩小。</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sz w:val="28"/>
          <w:szCs w:val="28"/>
        </w:rPr>
      </w:pPr>
      <w:r>
        <w:rPr>
          <w:rFonts w:ascii="Times New Roman" w:eastAsia="方正仿宋_GBK" w:cs="Times New Roman" w:hAnsi="Times New Roman"/>
          <w:sz w:val="32"/>
          <w:szCs w:val="32"/>
        </w:rPr>
        <w:t>（5）</w:t>
      </w:r>
      <w:r>
        <w:rPr>
          <w:rFonts w:ascii="Times New Roman" w:eastAsia="方正仿宋_GBK" w:cs="Times New Roman" w:hAnsi="Times New Roman"/>
          <w:sz w:val="28"/>
          <w:szCs w:val="28"/>
        </w:rPr>
        <w:t>投资标准低，保障机制不健全。</w:t>
      </w:r>
    </w:p>
    <w:p>
      <w:pPr>
        <w:pStyle w:val="2"/>
        <w:keepNext w:val="0"/>
        <w:keepLines/>
        <w:pageBreakBefore w:val="0"/>
        <w:widowControl w:val="0"/>
        <w:kinsoku/>
        <w:wordWrap/>
        <w:overflowPunct/>
        <w:topLinePunct w:val="0"/>
        <w:autoSpaceDE/>
        <w:autoSpaceDN/>
        <w:bidi w:val="0"/>
        <w:adjustRightInd w:val="0"/>
        <w:snapToGrid w:val="0"/>
        <w:spacing w:before="0" w:after="0" w:line="600" w:lineRule="exact"/>
        <w:ind w:left="0" w:firstLineChars="200" w:firstLine="640"/>
        <w:rPr>
          <w:rFonts w:ascii="Times New Roman" w:eastAsia="方正黑体_GBK" w:cs="Times New Roman" w:hAnsi="Times New Roman"/>
          <w:b w:val="0"/>
          <w:bCs w:val="0"/>
          <w:sz w:val="32"/>
        </w:rPr>
      </w:pPr>
      <w:r>
        <w:rPr>
          <w:rFonts w:ascii="Times New Roman" w:eastAsia="方正黑体_GBK" w:cs="Times New Roman" w:hAnsi="Times New Roman"/>
          <w:b w:val="0"/>
          <w:bCs w:val="0"/>
          <w:sz w:val="32"/>
        </w:rPr>
        <w:fldChar w:fldCharType="begin"/>
      </w:r>
      <w:r>
        <w:instrText>HYPERLINK  \l "_Toc22828"</w:instrText>
      </w:r>
      <w:r>
        <w:rPr>
          <w:rFonts w:ascii="Times New Roman" w:eastAsia="方正黑体_GBK" w:cs="Times New Roman" w:hAnsi="Times New Roman"/>
          <w:b w:val="0"/>
          <w:bCs w:val="0"/>
          <w:sz w:val="32"/>
        </w:rPr>
        <w:fldChar w:fldCharType="separate"/>
      </w:r>
      <w:bookmarkStart w:id="14" w:name="_Toc44272722"/>
      <w:r>
        <w:rPr>
          <w:rFonts w:ascii="Times New Roman" w:eastAsia="方正黑体_GBK" w:cs="Times New Roman" w:hAnsi="Times New Roman"/>
          <w:b w:val="0"/>
          <w:bCs w:val="0"/>
          <w:sz w:val="32"/>
        </w:rPr>
        <w:t>二、空间分析</w:t>
      </w:r>
      <w:r>
        <w:rPr>
          <w:rFonts w:ascii="Times New Roman" w:eastAsia="方正黑体_GBK" w:cs="Times New Roman" w:hAnsi="Times New Roman"/>
          <w:b w:val="0"/>
          <w:bCs w:val="0"/>
          <w:sz w:val="32"/>
        </w:rPr>
        <w:fldChar w:fldCharType="end"/>
      </w:r>
      <w:bookmarkEnd w:id="14"/>
    </w:p>
    <w:p>
      <w:pPr>
        <w:keepNext w:val="0"/>
        <w:pageBreakBefore w:val="0"/>
        <w:widowControl w:val="0"/>
        <w:kinsoku/>
        <w:wordWrap/>
        <w:overflowPunct/>
        <w:topLinePunct w:val="0"/>
        <w:autoSpaceDE/>
        <w:autoSpaceDN/>
        <w:bidi w:val="0"/>
        <w:spacing w:line="600" w:lineRule="exact"/>
        <w:ind w:left="0" w:firstLineChars="200" w:firstLine="640"/>
        <w:outlineLvl w:val="1"/>
        <w:rPr>
          <w:rFonts w:ascii="Times New Roman" w:eastAsia="方正楷体_GBK" w:cs="Times New Roman" w:hAnsi="Times New Roman"/>
          <w:sz w:val="32"/>
          <w:szCs w:val="32"/>
        </w:rPr>
      </w:pPr>
      <w:bookmarkStart w:id="15" w:name="_Toc44272723"/>
      <w:r>
        <w:rPr>
          <w:rFonts w:ascii="Times New Roman" w:eastAsia="方正楷体_GBK" w:cs="Times New Roman" w:hAnsi="Times New Roman"/>
          <w:sz w:val="32"/>
          <w:szCs w:val="32"/>
        </w:rPr>
        <w:t>（一）土地利用现状分析</w:t>
      </w:r>
      <w:bookmarkEnd w:id="15"/>
    </w:p>
    <w:p>
      <w:pPr>
        <w:keepNext w:val="0"/>
        <w:keepLines w:val="0"/>
        <w:pageBreakBefore w:val="0"/>
        <w:widowControl w:val="0"/>
        <w:kinsoku/>
        <w:wordWrap/>
        <w:overflowPunct/>
        <w:topLinePunct w:val="0"/>
        <w:autoSpaceDE/>
        <w:autoSpaceDN/>
        <w:bidi w:val="0"/>
        <w:adjustRightInd/>
        <w:snapToGrid/>
        <w:spacing w:line="600" w:lineRule="exact"/>
        <w:ind w:left="0" w:firstLineChars="200" w:firstLine="640"/>
        <w:textAlignment w:val="auto"/>
        <w:rPr>
          <w:rFonts w:ascii="Times New Roman" w:eastAsia="方正仿宋_GBK" w:cs="Times New Roman" w:hAnsi="Times New Roman"/>
          <w:sz w:val="32"/>
          <w:szCs w:val="32"/>
        </w:rPr>
      </w:pPr>
      <w:r>
        <w:rPr>
          <w:rFonts w:ascii="Times New Roman" w:eastAsia="方正仿宋_GBK" w:cs="Times New Roman" w:hAnsi="Times New Roman"/>
          <w:sz w:val="32"/>
          <w:szCs w:val="32"/>
        </w:rPr>
        <w:t>江津段“两岸青山•千里林带”规划范围内面积36.35万亩，根据江津区2021年三调数据，规划范围内现有耕地面积10.10万亩，园地7.71万亩，林地8.37万亩，草地0.08万亩，商服用地0.20万亩，工矿仓储用地1.25万亩，住宅用地3.32万亩，公共管理与公共服务用地0.48万亩，特殊用地0.10万亩，交通运输用地1.74万亩，水域及水利设施用地2.96万亩，其他土地0.05万亩。</w:t>
      </w:r>
    </w:p>
    <w:p>
      <w:pPr>
        <w:keepNext w:val="0"/>
        <w:pageBreakBefore w:val="0"/>
        <w:widowControl w:val="0"/>
        <w:kinsoku/>
        <w:wordWrap/>
        <w:overflowPunct/>
        <w:topLinePunct w:val="0"/>
        <w:autoSpaceDE/>
        <w:autoSpaceDN/>
        <w:bidi w:val="0"/>
        <w:spacing w:line="600" w:lineRule="exact"/>
        <w:ind w:left="0" w:firstLineChars="200" w:firstLine="480"/>
        <w:jc w:val="center"/>
        <w:rPr>
          <w:rFonts w:ascii="Times New Roman" w:eastAsia="仿宋" w:cs="Times New Roman" w:hAnsi="Times New Roman"/>
          <w:b/>
          <w:sz w:val="24"/>
          <w:szCs w:val="28"/>
        </w:rPr>
      </w:pPr>
      <w:r>
        <w:rPr>
          <w:rFonts w:ascii="Times New Roman" w:eastAsia="仿宋" w:cs="Times New Roman" w:hAnsi="Times New Roman"/>
          <w:b/>
          <w:sz w:val="24"/>
        </w:rPr>
        <w:t>表2</w:t>
      </w:r>
      <w:r>
        <w:rPr>
          <w:rFonts w:ascii="Times New Roman" w:eastAsia="仿宋" w:cs="Times New Roman" w:hAnsi="Times New Roman"/>
          <w:b/>
          <w:sz w:val="24"/>
          <w:szCs w:val="28"/>
        </w:rPr>
        <w:t>土地各地类面积及比例现状表</w:t>
      </w:r>
    </w:p>
    <w:tbl>
      <w:tblPr>
        <w:jc w:val="left"/>
        <w:tblInd w:w="96" w:type="dxa"/>
        <w:tblW w:w="8376" w:type="dxa"/>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
      <w:tblGrid>
        <w:gridCol w:w="936"/>
        <w:gridCol w:w="2893"/>
        <w:gridCol w:w="1653"/>
        <w:gridCol w:w="2893"/>
      </w:tblGrid>
      <w:tr>
        <w:trPr>
          <w:trHeight w:val="583"/>
          <w:tblHeader/>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编号</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地类</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面积(万亩）</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sz w:val="24"/>
              </w:rPr>
              <w:t>占国土面积百分比（%）</w:t>
            </w:r>
          </w:p>
        </w:tc>
      </w:tr>
      <w:tr>
        <w:trPr>
          <w:trHeight w:val="320"/>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1</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耕地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10.1002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27.79</w:t>
            </w:r>
          </w:p>
        </w:tc>
      </w:tr>
      <w:tr>
        <w:trPr>
          <w:trHeight w:val="320"/>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2</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园地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7.7141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21.22</w:t>
            </w:r>
          </w:p>
        </w:tc>
      </w:tr>
      <w:tr>
        <w:trPr>
          <w:trHeight w:val="320"/>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3</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林地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8.3705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23.03</w:t>
            </w:r>
          </w:p>
        </w:tc>
      </w:tr>
      <w:tr>
        <w:trPr>
          <w:trHeight w:val="320"/>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4</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草地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0.0759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0.21</w:t>
            </w:r>
          </w:p>
        </w:tc>
      </w:tr>
      <w:tr>
        <w:trPr>
          <w:trHeight w:val="320"/>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5</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商业服务业用地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0.2028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0.56</w:t>
            </w:r>
          </w:p>
        </w:tc>
      </w:tr>
      <w:tr>
        <w:trPr>
          <w:trHeight w:val="320"/>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6</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工矿用地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1.2446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3.42</w:t>
            </w:r>
          </w:p>
        </w:tc>
      </w:tr>
      <w:tr>
        <w:trPr>
          <w:trHeight w:val="320"/>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7</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住宅用地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3.3203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9.13</w:t>
            </w:r>
          </w:p>
        </w:tc>
      </w:tr>
      <w:tr>
        <w:trPr>
          <w:trHeight w:val="375"/>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8</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公共设施与公共服务用地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0.4774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1.31</w:t>
            </w:r>
          </w:p>
        </w:tc>
      </w:tr>
      <w:tr>
        <w:trPr>
          <w:trHeight w:val="320"/>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9</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特殊用地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0.1018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0.28</w:t>
            </w:r>
          </w:p>
        </w:tc>
      </w:tr>
      <w:tr>
        <w:trPr>
          <w:trHeight w:val="320"/>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10</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交通道路用地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1.7350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4.77</w:t>
            </w:r>
          </w:p>
        </w:tc>
      </w:tr>
      <w:tr>
        <w:trPr>
          <w:trHeight w:val="405"/>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11</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水域及水利设施用地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2.9616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8.15</w:t>
            </w:r>
          </w:p>
        </w:tc>
      </w:tr>
      <w:tr>
        <w:trPr>
          <w:trHeight w:val="320"/>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12</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其他用地</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0.0445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0.12</w:t>
            </w:r>
          </w:p>
        </w:tc>
      </w:tr>
      <w:tr>
        <w:trPr>
          <w:trHeight w:val="330"/>
        </w:trPr>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合计</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val="0"/>
              <w:kinsoku/>
              <w:wordWrap/>
              <w:overflowPunct/>
              <w:topLinePunct w:val="0"/>
              <w:autoSpaceDE/>
              <w:autoSpaceDN/>
              <w:bidi w:val="0"/>
              <w:ind w:left="0" w:firstLineChars="200" w:firstLine="480"/>
              <w:jc w:val="center"/>
              <w:rPr>
                <w:rFonts w:ascii="Times New Roman" w:eastAsia="华文楷体" w:cs="Times New Roman" w:hAnsi="Times New Roman"/>
                <w:color w:val="000000"/>
                <w:sz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36.3489 </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pPr>
              <w:keepNext w:val="0"/>
              <w:pageBreakBefore w:val="0"/>
              <w:widowControl/>
              <w:kinsoku/>
              <w:wordWrap/>
              <w:overflowPunct/>
              <w:topLinePunct w:val="0"/>
              <w:autoSpaceDE/>
              <w:autoSpaceDN/>
              <w:bidi w:val="0"/>
              <w:ind w:left="0" w:firstLineChars="200" w:firstLine="480"/>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100.00</w:t>
            </w:r>
          </w:p>
        </w:tc>
      </w:tr>
    </w:tbl>
    <w:p>
      <w:pPr>
        <w:keepNext w:val="0"/>
        <w:pageBreakBefore w:val="0"/>
        <w:widowControl w:val="0"/>
        <w:kinsoku/>
        <w:wordWrap/>
        <w:overflowPunct/>
        <w:topLinePunct w:val="0"/>
        <w:autoSpaceDE/>
        <w:autoSpaceDN/>
        <w:bidi w:val="0"/>
        <w:spacing w:line="360" w:lineRule="auto"/>
        <w:ind w:left="0" w:firstLineChars="200" w:firstLine="420"/>
        <w:rPr>
          <w:rFonts w:ascii="Times New Roman" w:cs="Times New Roman" w:hAnsi="Times New Roman"/>
        </w:rPr>
      </w:pPr>
      <w:r>
        <w:rPr>
          <w:rFonts w:ascii="Times New Roman" w:cs="Times New Roman" w:hAnsi="Times New Roman"/>
        </w:rPr>
        <w:object>
          <v:shapetype id="_x0000_t75" coordsize="21600,2160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type="#_x0000_t75" filled="f" stroked="t" style="width:389.24997pt;height:230.25pt;" o:ole="">
            <v:stroke color="#000000"/>
            <v:imagedata r:id="rId5" o:title="5546376471631699342315"/>
            <o:lock aspectratio="t"/>
          </v:shape>
          <o:OLEObject Type="Embed" ProgID="Package" ShapeID="_x0000_i1" DrawAspect="Icon" ObjectID="_1393063351" r:id="rId6"/>
        </w:object>
      </w:r>
    </w:p>
    <w:p>
      <w:pPr>
        <w:spacing w:line="360" w:lineRule="auto"/>
        <w:ind w:firstLineChars="750" w:firstLine="1800"/>
        <w:outlineLvl w:val="1"/>
        <w:rPr>
          <w:rFonts w:ascii="Times New Roman" w:eastAsia="仿宋" w:cs="Times New Roman" w:hAnsi="Times New Roman"/>
          <w:b/>
          <w:sz w:val="24"/>
          <w:szCs w:val="28"/>
        </w:rPr>
      </w:pPr>
    </w:p>
    <w:p>
      <w:pPr>
        <w:spacing w:line="360" w:lineRule="auto"/>
        <w:ind w:firstLineChars="750" w:firstLine="1800"/>
        <w:outlineLvl w:val="1"/>
        <w:rPr>
          <w:rFonts w:ascii="Times New Roman" w:eastAsia="仿宋" w:cs="Times New Roman" w:hAnsi="Times New Roman"/>
          <w:b/>
          <w:sz w:val="24"/>
          <w:szCs w:val="28"/>
        </w:rPr>
      </w:pPr>
      <w:bookmarkStart w:id="16" w:name="_Toc44272724"/>
      <w:r>
        <w:rPr>
          <w:rFonts w:ascii="Times New Roman" w:eastAsia="仿宋" w:cs="Times New Roman" w:hAnsi="Times New Roman"/>
          <w:b/>
          <w:sz w:val="24"/>
          <w:szCs w:val="28"/>
        </w:rPr>
        <w:t>图2：  各地类面积比例示意图</w:t>
      </w:r>
      <w:bookmarkEnd w:id="16"/>
    </w:p>
    <w:p>
      <w:pPr>
        <w:spacing w:line="360" w:lineRule="auto"/>
        <w:ind w:firstLineChars="200" w:firstLine="560"/>
        <w:outlineLvl w:val="1"/>
        <w:rPr>
          <w:rFonts w:ascii="Times New Roman" w:eastAsia="方正楷体_GBK" w:cs="Times New Roman" w:hAnsi="Times New Roman"/>
          <w:sz w:val="28"/>
          <w:szCs w:val="28"/>
        </w:rPr>
      </w:pPr>
    </w:p>
    <w:p>
      <w:pPr>
        <w:spacing w:line="600" w:lineRule="exact"/>
        <w:ind w:firstLineChars="200" w:firstLine="640"/>
        <w:outlineLvl w:val="1"/>
        <w:rPr>
          <w:rFonts w:ascii="Times New Roman" w:eastAsia="方正楷体_GBK" w:cs="Times New Roman" w:hAnsi="Times New Roman"/>
          <w:sz w:val="32"/>
          <w:szCs w:val="32"/>
        </w:rPr>
      </w:pPr>
      <w:bookmarkStart w:id="17" w:name="_Toc44272725"/>
      <w:r>
        <w:rPr>
          <w:rFonts w:ascii="Times New Roman" w:eastAsia="方正楷体_GBK" w:cs="Times New Roman" w:hAnsi="Times New Roman"/>
          <w:sz w:val="32"/>
          <w:szCs w:val="32"/>
        </w:rPr>
        <w:t>（二）林地资源现状</w:t>
      </w:r>
      <w:bookmarkEnd w:id="17"/>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按照坚决遏制耕地“非农化”、防止“非粮化”要求，江津段“两岸青山•千里林带”规划空间分析是以第三次国土调查结果为基础，同时结合江津区最新林地变更数据。对项目区营造林空间进行详细调查测算，结果显示：规划区现有林地总面积8.37万亩，其中：乔木林地5.2690万亩，灌木林地0.9098万亩，竹林地1.9131万亩，其他林地 0.2786万亩。</w:t>
      </w:r>
    </w:p>
    <w:p>
      <w:pPr>
        <w:spacing w:line="600" w:lineRule="exact"/>
        <w:ind w:firstLineChars="350" w:firstLine="840"/>
        <w:rPr>
          <w:rFonts w:ascii="Times New Roman" w:eastAsia="方正楷体_GBK" w:cs="Times New Roman" w:hAnsi="Times New Roman"/>
          <w:b/>
          <w:sz w:val="24"/>
          <w:szCs w:val="28"/>
        </w:rPr>
      </w:pPr>
      <w:r>
        <w:rPr>
          <w:rFonts w:ascii="Times New Roman" w:eastAsia="方正楷体_GBK" w:cs="Times New Roman" w:hAnsi="Times New Roman"/>
          <w:b/>
          <w:sz w:val="24"/>
        </w:rPr>
        <w:t xml:space="preserve">表3                </w:t>
      </w:r>
      <w:r>
        <w:rPr>
          <w:rFonts w:ascii="Times New Roman" w:eastAsia="方正楷体_GBK" w:cs="Times New Roman" w:hAnsi="Times New Roman"/>
          <w:b/>
          <w:sz w:val="24"/>
          <w:szCs w:val="28"/>
        </w:rPr>
        <w:t>林地资源面积现状表</w:t>
      </w:r>
    </w:p>
    <w:tbl>
      <w:tblPr>
        <w:jc w:val="left"/>
        <w:tblInd w:w="392" w:type="dxa"/>
        <w:tblW w:w="8221" w:type="dxa"/>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
      <w:tblGrid>
        <w:gridCol w:w="992"/>
        <w:gridCol w:w="2126"/>
        <w:gridCol w:w="2268"/>
        <w:gridCol w:w="2835"/>
      </w:tblGrid>
      <w:tr>
        <w:trPr>
          <w:trHeight w:val="583"/>
        </w:trPr>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编号</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林地种类</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面积(万亩）</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sz w:val="24"/>
              </w:rPr>
              <w:t>占林地面积百分比（%）</w:t>
            </w:r>
          </w:p>
        </w:tc>
      </w:tr>
      <w:tr>
        <w:trPr>
          <w:trHeight w:val="454"/>
        </w:trPr>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1</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sz w:val="24"/>
              </w:rPr>
              <w:t>乔木林地</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5.2690</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62.95</w:t>
            </w:r>
          </w:p>
        </w:tc>
      </w:tr>
      <w:tr>
        <w:trPr>
          <w:trHeight w:val="454"/>
        </w:trPr>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2</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sz w:val="24"/>
              </w:rPr>
              <w:t>灌木林地</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0.9098</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10.87</w:t>
            </w:r>
          </w:p>
        </w:tc>
      </w:tr>
      <w:tr>
        <w:trPr>
          <w:trHeight w:val="454"/>
        </w:trPr>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3</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sz w:val="24"/>
              </w:rPr>
              <w:t>竹林地</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1.9131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22.86</w:t>
            </w:r>
          </w:p>
        </w:tc>
      </w:tr>
      <w:tr>
        <w:trPr>
          <w:trHeight w:val="454"/>
        </w:trPr>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4</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sz w:val="24"/>
              </w:rPr>
              <w:t>其他林地</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0.2786</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3.32</w:t>
            </w:r>
          </w:p>
        </w:tc>
      </w:tr>
    </w:tbl>
    <w:p>
      <w:pPr>
        <w:rPr>
          <w:rFonts w:ascii="Times New Roman" w:cs="Times New Roman" w:hAnsi="Times New Roman"/>
        </w:rPr>
      </w:pPr>
    </w:p>
    <w:p>
      <w:pPr>
        <w:pStyle w:val="4"/>
        <w:rPr>
          <w:rFonts w:ascii="Times New Roman" w:cs="Times New Roman" w:hAnsi="Times New Roman"/>
        </w:rPr>
      </w:pPr>
    </w:p>
    <w:p>
      <w:pPr>
        <w:spacing w:line="360" w:lineRule="auto"/>
        <w:ind w:firstLineChars="200" w:firstLine="420"/>
        <w:rPr>
          <w:rFonts w:ascii="Times New Roman" w:eastAsia="方正楷体_GBK" w:cs="Times New Roman" w:hAnsi="Times New Roman"/>
          <w:sz w:val="28"/>
          <w:szCs w:val="28"/>
        </w:rPr>
      </w:pPr>
      <w:r>
        <w:rPr>
          <w:rFonts w:ascii="Times New Roman" w:cs="Times New Roman" w:hAnsi="Times New Roman"/>
        </w:rPr>
        <w:object>
          <v:shape id="_x0000_i2" type="#_x0000_t75" filled="f" stroked="t" style="width:389.24997pt;height:216.0pt;" o:ole="">
            <v:stroke color="#000000"/>
            <v:imagedata r:id="rId7" o:title="3837504311631699342328"/>
            <o:lock aspectratio="t"/>
          </v:shape>
          <o:OLEObject Type="Embed" ProgID="Package" ShapeID="_x0000_i2" DrawAspect="Icon" ObjectID="_1393063352" r:id="rId8"/>
        </w:object>
      </w:r>
    </w:p>
    <w:p>
      <w:pPr>
        <w:spacing w:line="360" w:lineRule="auto"/>
        <w:ind w:firstLineChars="1000" w:firstLine="2400"/>
        <w:outlineLvl w:val="1"/>
        <w:rPr>
          <w:rFonts w:ascii="Times New Roman" w:eastAsia="仿宋" w:cs="Times New Roman" w:hAnsi="Times New Roman"/>
          <w:b/>
          <w:sz w:val="24"/>
          <w:szCs w:val="28"/>
        </w:rPr>
      </w:pPr>
      <w:bookmarkStart w:id="18" w:name="_Toc44272726"/>
      <w:r>
        <w:rPr>
          <w:rFonts w:ascii="Times New Roman" w:eastAsia="仿宋" w:cs="Times New Roman" w:hAnsi="Times New Roman"/>
          <w:b/>
          <w:sz w:val="24"/>
          <w:szCs w:val="28"/>
        </w:rPr>
        <w:t>图3：林地资源面积占比示意图</w:t>
      </w:r>
      <w:bookmarkEnd w:id="18"/>
    </w:p>
    <w:p>
      <w:pPr>
        <w:spacing w:line="360" w:lineRule="auto"/>
        <w:ind w:firstLineChars="200" w:firstLine="560"/>
        <w:outlineLvl w:val="1"/>
        <w:rPr>
          <w:rFonts w:ascii="Times New Roman" w:eastAsia="方正楷体_GBK" w:cs="Times New Roman" w:hAnsi="Times New Roman"/>
          <w:sz w:val="28"/>
          <w:szCs w:val="28"/>
        </w:rPr>
      </w:pPr>
    </w:p>
    <w:p>
      <w:pPr>
        <w:spacing w:line="600" w:lineRule="exact"/>
        <w:ind w:firstLineChars="200" w:firstLine="640"/>
        <w:outlineLvl w:val="1"/>
        <w:rPr>
          <w:rFonts w:ascii="Times New Roman" w:eastAsia="方正楷体_GBK" w:cs="Times New Roman" w:hAnsi="Times New Roman"/>
          <w:sz w:val="32"/>
          <w:szCs w:val="32"/>
        </w:rPr>
      </w:pPr>
      <w:bookmarkStart w:id="19" w:name="_Toc44272727"/>
      <w:r>
        <w:rPr>
          <w:rFonts w:ascii="Times New Roman" w:eastAsia="方正楷体_GBK" w:cs="Times New Roman" w:hAnsi="Times New Roman"/>
          <w:sz w:val="32"/>
          <w:szCs w:val="32"/>
        </w:rPr>
        <w:t>（三）森林数量提升空间分析</w:t>
      </w:r>
      <w:bookmarkEnd w:id="19"/>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jc w:val="left"/>
        <w:textAlignment w:val="auto"/>
        <w:outlineLvl w:val="3"/>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1.</w:t>
      </w:r>
      <w:r>
        <w:rPr>
          <w:rFonts w:ascii="Times New Roman" w:eastAsia="方正仿宋_GBK" w:cs="Times New Roman" w:hAnsi="Times New Roman"/>
          <w:b/>
          <w:bCs/>
          <w:sz w:val="32"/>
          <w:szCs w:val="32"/>
        </w:rPr>
        <w:t>退耕还林培育空间分析</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rPr>
          <w:rFonts w:ascii="Times New Roman" w:eastAsia="方正仿宋_GBK" w:cs="Times New Roman" w:hAnsi="Times New Roman"/>
          <w:sz w:val="32"/>
          <w:szCs w:val="32"/>
        </w:rPr>
      </w:pPr>
      <w:r>
        <w:rPr>
          <w:rFonts w:ascii="Times New Roman" w:eastAsia="方正仿宋_GBK" w:cs="Times New Roman" w:hAnsi="Times New Roman"/>
          <w:sz w:val="32"/>
          <w:szCs w:val="32"/>
        </w:rPr>
        <w:t>依据江津区2021年第三次国土调查数据，分析显示：江津段</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规划范围内耕地面积10.10万亩，其中：水田面积3.64万亩，旱地面积6.46万亩。根据《长江重庆段“两岸青山·千里林带”规划建设技术导则》，优先选择自然保护地核心区的耕地、25度以上坡耕地实施退耕还林，通过造林措施，形成稳定的森林生态系统，从根本上扭转水土流失等生态恶化的趋势。自然保护地核心区的耕地、25度以上坡耕地实施退耕还林后确实无法满足的，可选择重要水源地15-25度坡耕地、严重污染耕地、移民搬迁后确实无法耕种的符合退耕还林条件的耕地。</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rPr>
          <w:rFonts w:ascii="Times New Roman" w:eastAsia="方正仿宋_GBK" w:cs="Times New Roman" w:hAnsi="Times New Roman"/>
          <w:sz w:val="32"/>
          <w:szCs w:val="32"/>
        </w:rPr>
      </w:pPr>
      <w:r>
        <w:rPr>
          <w:rFonts w:ascii="Times New Roman" w:eastAsia="方正仿宋_GBK" w:cs="Times New Roman" w:hAnsi="Times New Roman"/>
          <w:sz w:val="32"/>
          <w:szCs w:val="32"/>
        </w:rPr>
        <w:t>本次任务自然保护地核心区和25度以上坡耕地实施新一轮退耕还林工程。25度以上的坡耕地面积0.4555万亩。</w:t>
      </w:r>
    </w:p>
    <w:p>
      <w:pPr>
        <w:spacing w:line="360" w:lineRule="auto"/>
        <w:ind w:firstLineChars="300" w:firstLine="660"/>
        <w:rPr>
          <w:rFonts w:ascii="Times New Roman" w:eastAsia="方正楷体_GBK" w:cs="Times New Roman" w:hAnsi="Times New Roman"/>
          <w:b/>
          <w:sz w:val="24"/>
        </w:rPr>
      </w:pPr>
      <w:r>
        <w:rPr>
          <w:rFonts w:ascii="Times New Roman" w:eastAsia="方正楷体_GBK" w:cs="Times New Roman" w:hAnsi="Times New Roman"/>
          <w:b/>
          <w:sz w:val="22"/>
          <w:szCs w:val="22"/>
        </w:rPr>
        <w:t xml:space="preserve">表4         </w:t>
      </w:r>
      <w:r>
        <w:rPr>
          <w:rFonts w:ascii="Times New Roman" w:eastAsia="方正楷体_GBK" w:cs="Times New Roman" w:hAnsi="Times New Roman"/>
          <w:b/>
          <w:sz w:val="24"/>
        </w:rPr>
        <w:t>各镇</w:t>
      </w:r>
      <w:r>
        <w:rPr>
          <w:rFonts w:ascii="Times New Roman" w:eastAsia="华文楷体" w:cs="Times New Roman" w:hAnsi="Times New Roman"/>
          <w:b/>
          <w:color w:val="000000"/>
          <w:kern w:val="0"/>
          <w:sz w:val="24"/>
        </w:rPr>
        <w:t>街</w:t>
      </w:r>
      <w:r>
        <w:rPr>
          <w:rFonts w:ascii="Times New Roman" w:eastAsia="方正楷体_GBK" w:cs="Times New Roman" w:hAnsi="Times New Roman"/>
          <w:b/>
          <w:sz w:val="24"/>
        </w:rPr>
        <w:t>退耕还林可利用空间面积一览表</w:t>
      </w:r>
      <w:r>
        <w:rPr>
          <w:rFonts w:ascii="Times New Roman" w:eastAsia="方正楷体_GBK" w:cs="Times New Roman" w:hAnsi="Times New Roman"/>
          <w:b/>
          <w:sz w:val="22"/>
          <w:szCs w:val="22"/>
        </w:rPr>
        <w:t>单位：万亩</w:t>
      </w:r>
    </w:p>
    <w:tbl>
      <w:tblPr>
        <w:jc w:val="left"/>
        <w:tblInd w:w="0" w:type="dxa"/>
        <w:tblW w:w="8522" w:type="dxa"/>
        <w:tblBorders>
          <w:top w:val="none" w:sz="0" w:space="0" w:color="auto"/>
          <w:left w:val="none" w:sz="0" w:space="0" w:color="auto"/>
          <w:bottom w:val="none" w:sz="0" w:space="0" w:color="auto"/>
          <w:right w:val="none" w:sz="0" w:space="0" w:color="auto"/>
        </w:tblBorders>
        <w:tblLayout w:type="fixed"/>
        <w:tblCellMar>
          <w:top w:w="0" w:type="dxa"/>
          <w:left w:w="108" w:type="dxa"/>
          <w:bottom w:w="0" w:type="dxa"/>
          <w:right w:w="108" w:type="dxa"/>
        </w:tblCellMar>
      </w:tblPr>
      <w:tblGrid>
        <w:gridCol w:w="2376"/>
        <w:gridCol w:w="3261"/>
        <w:gridCol w:w="2885"/>
      </w:tblGrid>
      <w:tr>
        <w:trPr>
          <w:trHeight w:val="454"/>
          <w:tblHeader/>
        </w:trPr>
        <w:tc>
          <w:tcPr>
            <w:tcW w:w="2376" w:type="dxa"/>
            <w:tcBorders>
              <w:top w:val="single" w:sz="4" w:space="0" w:color="auto"/>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b/>
                <w:bCs/>
                <w:kern w:val="0"/>
                <w:sz w:val="24"/>
              </w:rPr>
            </w:pPr>
            <w:r>
              <w:rPr>
                <w:rFonts w:ascii="Times New Roman" w:eastAsia="华文楷体" w:cs="Times New Roman" w:hAnsi="Times New Roman"/>
                <w:b/>
                <w:bCs/>
                <w:kern w:val="0"/>
                <w:sz w:val="24"/>
              </w:rPr>
              <w:t>镇街</w:t>
            </w:r>
          </w:p>
        </w:tc>
        <w:tc>
          <w:tcPr>
            <w:tcW w:w="3261" w:type="dxa"/>
            <w:tcBorders>
              <w:top w:val="single" w:sz="4" w:space="0" w:color="auto"/>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b/>
                <w:bCs/>
                <w:kern w:val="0"/>
                <w:sz w:val="24"/>
              </w:rPr>
            </w:pPr>
            <w:r>
              <w:rPr>
                <w:rFonts w:ascii="Times New Roman" w:eastAsia="华文楷体" w:cs="Times New Roman" w:hAnsi="Times New Roman"/>
                <w:b/>
                <w:color w:val="000000"/>
                <w:kern w:val="0"/>
                <w:sz w:val="24"/>
              </w:rPr>
              <w:t>可退耕面积</w:t>
            </w:r>
          </w:p>
        </w:tc>
        <w:tc>
          <w:tcPr>
            <w:tcW w:w="2885" w:type="dxa"/>
            <w:tcBorders>
              <w:top w:val="single" w:sz="4" w:space="0" w:color="auto"/>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b/>
                <w:bCs/>
                <w:kern w:val="0"/>
                <w:sz w:val="24"/>
              </w:rPr>
            </w:pPr>
            <w:r>
              <w:rPr>
                <w:rFonts w:ascii="Times New Roman" w:eastAsia="华文楷体" w:cs="Times New Roman" w:hAnsi="Times New Roman"/>
                <w:b/>
                <w:color w:val="000000"/>
                <w:kern w:val="0"/>
                <w:sz w:val="24"/>
              </w:rPr>
              <w:t>25度以上坡耕地</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白沙镇</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0.0639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0.0639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德感街道</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0.0108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0.0108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鼎山街道</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0.0197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0.0197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几江街道</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0.0035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0.0035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龙华镇</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0.0090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0.0090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珞璜镇</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0.0930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0.0930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圣泉街道</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0.0101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0.0101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石蟆镇</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0.1097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0.1097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石门镇</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0.0131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0.0131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西湖镇</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0.0058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0.0058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先锋镇</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0.0019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0.0019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油溪镇</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0.0274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0.0274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支坪镇</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0.0738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0.0738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朱杨镇</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0.0139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0.0139 </w:t>
            </w:r>
          </w:p>
        </w:tc>
      </w:tr>
      <w:tr>
        <w:trPr>
          <w:trHeight w:val="454"/>
        </w:trPr>
        <w:tc>
          <w:tcPr>
            <w:tcW w:w="2376" w:type="dxa"/>
            <w:tcBorders>
              <w:top w:val="nil"/>
              <w:left w:val="single" w:sz="4" w:space="0" w:color="auto"/>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总计</w:t>
            </w:r>
          </w:p>
        </w:tc>
        <w:tc>
          <w:tcPr>
            <w:tcW w:w="3261"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kern w:val="0"/>
                <w:sz w:val="24"/>
              </w:rPr>
            </w:pPr>
            <w:r>
              <w:rPr>
                <w:rFonts w:ascii="Times New Roman" w:eastAsia="华文楷体" w:cs="Times New Roman" w:hAnsi="Times New Roman"/>
                <w:color w:val="000000"/>
                <w:kern w:val="0"/>
                <w:sz w:val="24"/>
              </w:rPr>
              <w:t xml:space="preserve">0.4555 </w:t>
            </w:r>
          </w:p>
        </w:tc>
        <w:tc>
          <w:tcPr>
            <w:tcW w:w="2885" w:type="dxa"/>
            <w:tcBorders>
              <w:top w:val="nil"/>
              <w:left w:val="nil"/>
              <w:bottom w:val="single" w:sz="4" w:space="0" w:color="auto"/>
              <w:right w:val="single" w:sz="4" w:space="0" w:color="auto"/>
            </w:tcBorders>
            <w:vAlign w:val="center"/>
          </w:tcPr>
          <w:p>
            <w:pPr>
              <w:widowControl/>
              <w:spacing w:line="280" w:lineRule="exact"/>
              <w:jc w:val="center"/>
              <w:textAlignment w:val="center"/>
              <w:rPr>
                <w:rFonts w:ascii="Times New Roman" w:eastAsia="华文楷体" w:cs="Times New Roman" w:hAnsi="Times New Roman"/>
                <w:color w:val="000000"/>
                <w:kern w:val="0"/>
                <w:sz w:val="24"/>
              </w:rPr>
            </w:pPr>
            <w:r>
              <w:rPr>
                <w:rFonts w:ascii="Times New Roman" w:eastAsia="华文楷体" w:cs="Times New Roman" w:hAnsi="Times New Roman"/>
                <w:color w:val="000000"/>
                <w:kern w:val="0"/>
                <w:sz w:val="24"/>
              </w:rPr>
              <w:t xml:space="preserve">0.4555 </w:t>
            </w:r>
          </w:p>
        </w:tc>
      </w:tr>
    </w:tbl>
    <w:p>
      <w:pPr>
        <w:spacing w:line="360" w:lineRule="auto"/>
        <w:ind w:firstLineChars="200" w:firstLine="560"/>
        <w:rPr>
          <w:rFonts w:ascii="Times New Roman" w:eastAsia="方正楷体_GBK" w:cs="Times New Roman" w:hAnsi="Times New Roman"/>
          <w:sz w:val="28"/>
          <w:szCs w:val="28"/>
        </w:rPr>
      </w:pP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由以上分析知：江津段</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规划范围内退耕还林可利用的理论空间为0.4555万亩。</w:t>
      </w:r>
    </w:p>
    <w:p>
      <w:pPr>
        <w:spacing w:line="600" w:lineRule="exact"/>
        <w:ind w:firstLineChars="200" w:firstLine="640"/>
        <w:jc w:val="left"/>
        <w:outlineLvl w:val="3"/>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2.</w:t>
      </w:r>
      <w:r>
        <w:rPr>
          <w:rFonts w:ascii="Times New Roman" w:eastAsia="方正仿宋_GBK" w:cs="Times New Roman" w:hAnsi="Times New Roman"/>
          <w:b/>
          <w:bCs/>
          <w:sz w:val="32"/>
          <w:szCs w:val="32"/>
        </w:rPr>
        <w:t>农业种植结构调整</w:t>
      </w: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根据第三次国土调查数据，江津段</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规划范围内园地7.71万亩，其中果园1.14万亩，其他园地6.54万亩茶园0.0026万亩，可调整果园0.0258万亩，可调整其他果园0.0021万亩。根据《长江重庆段“两岸青山·千里林带”规划建设技术导则》，优先选择园地等非耕地实施。</w:t>
      </w:r>
    </w:p>
    <w:p>
      <w:pPr>
        <w:spacing w:line="360" w:lineRule="auto"/>
        <w:ind w:firstLineChars="450" w:firstLine="1080"/>
        <w:rPr>
          <w:rFonts w:ascii="Times New Roman" w:eastAsia="方正楷体_GBK" w:cs="Times New Roman" w:hAnsi="Times New Roman"/>
          <w:b/>
          <w:sz w:val="24"/>
        </w:rPr>
      </w:pPr>
    </w:p>
    <w:p>
      <w:pPr>
        <w:spacing w:line="360" w:lineRule="auto"/>
        <w:ind w:firstLineChars="150" w:firstLine="330"/>
        <w:rPr>
          <w:rFonts w:ascii="Times New Roman" w:eastAsia="方正楷体_GBK" w:cs="Times New Roman" w:hAnsi="Times New Roman"/>
          <w:b/>
          <w:sz w:val="24"/>
        </w:rPr>
      </w:pPr>
      <w:r>
        <w:rPr>
          <w:rFonts w:ascii="Times New Roman" w:eastAsia="方正楷体_GBK" w:cs="Times New Roman" w:hAnsi="Times New Roman"/>
          <w:b/>
          <w:sz w:val="22"/>
          <w:szCs w:val="22"/>
        </w:rPr>
        <w:t xml:space="preserve">表5      </w:t>
      </w:r>
      <w:r>
        <w:rPr>
          <w:rFonts w:ascii="Times New Roman" w:eastAsia="方正楷体_GBK" w:cs="Times New Roman" w:hAnsi="Times New Roman"/>
          <w:b/>
          <w:sz w:val="24"/>
        </w:rPr>
        <w:t>各镇</w:t>
      </w:r>
      <w:r>
        <w:rPr>
          <w:rFonts w:ascii="Times New Roman" w:eastAsia="华文楷体" w:cs="Times New Roman" w:hAnsi="Times New Roman"/>
          <w:b/>
          <w:color w:val="000000"/>
          <w:kern w:val="0"/>
          <w:sz w:val="24"/>
        </w:rPr>
        <w:t>街</w:t>
      </w:r>
      <w:r>
        <w:rPr>
          <w:rFonts w:ascii="Times New Roman" w:eastAsia="方正楷体_GBK" w:cs="Times New Roman" w:hAnsi="Times New Roman"/>
          <w:b/>
          <w:sz w:val="24"/>
        </w:rPr>
        <w:t>农业种植结构调整可利用空间面积一览表</w:t>
      </w:r>
      <w:r>
        <w:rPr>
          <w:rFonts w:ascii="Times New Roman" w:eastAsia="方正楷体_GBK" w:cs="Times New Roman" w:hAnsi="Times New Roman"/>
          <w:b/>
          <w:sz w:val="22"/>
          <w:szCs w:val="22"/>
        </w:rPr>
        <w:t>单位：万亩</w:t>
      </w:r>
    </w:p>
    <w:tbl>
      <w:tblPr>
        <w:jc w:val="left"/>
        <w:tblInd w:w="0" w:type="dxa"/>
        <w:tblW w:w="5063" w:type="pct"/>
        <w:tblBorders>
          <w:top w:val="none" w:sz="0" w:space="0" w:color="auto"/>
          <w:left w:val="none" w:sz="0" w:space="0" w:color="auto"/>
          <w:bottom w:val="none" w:sz="0" w:space="0" w:color="auto"/>
          <w:right w:val="none" w:sz="0" w:space="0" w:color="auto"/>
        </w:tblBorders>
        <w:tblLayout w:type="fixed"/>
        <w:tblCellMar>
          <w:top w:w="0" w:type="dxa"/>
          <w:left w:w="108" w:type="dxa"/>
          <w:bottom w:w="0" w:type="dxa"/>
          <w:right w:w="108" w:type="dxa"/>
        </w:tblCellMar>
      </w:tblPr>
      <w:tblGrid>
        <w:gridCol w:w="1212"/>
        <w:gridCol w:w="1107"/>
        <w:gridCol w:w="1061"/>
        <w:gridCol w:w="969"/>
        <w:gridCol w:w="1429"/>
        <w:gridCol w:w="1985"/>
        <w:gridCol w:w="1276"/>
      </w:tblGrid>
      <w:tr>
        <w:trPr>
          <w:trHeight w:val="711"/>
          <w:tblHeader/>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b/>
                <w:color w:val="000000"/>
                <w:sz w:val="24"/>
              </w:rPr>
            </w:pPr>
            <w:r>
              <w:rPr>
                <w:rFonts w:ascii="Times New Roman" w:eastAsia="方正楷体_GBK" w:cs="Times New Roman" w:hAnsi="Times New Roman"/>
                <w:b/>
                <w:color w:val="000000"/>
                <w:kern w:val="0"/>
                <w:sz w:val="24"/>
              </w:rPr>
              <w:t>镇 街</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b/>
                <w:color w:val="000000"/>
                <w:sz w:val="24"/>
              </w:rPr>
            </w:pPr>
            <w:r>
              <w:rPr>
                <w:rFonts w:ascii="Times New Roman" w:eastAsia="方正楷体_GBK" w:cs="Times New Roman" w:hAnsi="Times New Roman"/>
                <w:b/>
                <w:sz w:val="24"/>
              </w:rPr>
              <w:t>可利用面积</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b/>
                <w:color w:val="000000"/>
                <w:sz w:val="24"/>
              </w:rPr>
            </w:pPr>
            <w:r>
              <w:rPr>
                <w:rFonts w:ascii="Times New Roman" w:eastAsia="方正楷体_GBK" w:cs="Times New Roman" w:hAnsi="Times New Roman"/>
                <w:b/>
                <w:color w:val="000000"/>
                <w:kern w:val="0"/>
                <w:sz w:val="24"/>
              </w:rPr>
              <w:t>茶园</w:t>
            </w: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b/>
                <w:color w:val="000000"/>
                <w:sz w:val="24"/>
              </w:rPr>
            </w:pPr>
            <w:r>
              <w:rPr>
                <w:rFonts w:ascii="Times New Roman" w:eastAsia="方正楷体_GBK" w:cs="Times New Roman" w:hAnsi="Times New Roman"/>
                <w:b/>
                <w:color w:val="000000"/>
                <w:kern w:val="0"/>
                <w:sz w:val="24"/>
              </w:rPr>
              <w:t>果园</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b/>
                <w:color w:val="000000"/>
                <w:sz w:val="24"/>
              </w:rPr>
            </w:pPr>
            <w:r>
              <w:rPr>
                <w:rFonts w:ascii="Times New Roman" w:eastAsia="方正楷体_GBK" w:cs="Times New Roman" w:hAnsi="Times New Roman"/>
                <w:b/>
                <w:color w:val="000000"/>
                <w:kern w:val="0"/>
                <w:sz w:val="24"/>
              </w:rPr>
              <w:t>可调整果园</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b/>
                <w:color w:val="000000"/>
                <w:sz w:val="24"/>
              </w:rPr>
            </w:pPr>
            <w:r>
              <w:rPr>
                <w:rFonts w:ascii="Times New Roman" w:eastAsia="方正楷体_GBK" w:cs="Times New Roman" w:hAnsi="Times New Roman"/>
                <w:b/>
                <w:color w:val="000000"/>
                <w:kern w:val="0"/>
                <w:sz w:val="24"/>
              </w:rPr>
              <w:t>可调整其他园地</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b/>
                <w:color w:val="000000"/>
                <w:sz w:val="24"/>
              </w:rPr>
            </w:pPr>
            <w:r>
              <w:rPr>
                <w:rFonts w:ascii="Times New Roman" w:eastAsia="方正楷体_GBK" w:cs="Times New Roman" w:hAnsi="Times New Roman"/>
                <w:b/>
                <w:color w:val="000000"/>
                <w:kern w:val="0"/>
                <w:sz w:val="24"/>
              </w:rPr>
              <w:t>其他园地</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白沙镇</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0.6677</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0.1195</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0.5482</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德感街道</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0.4180</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0.0082</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0.4097</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鼎山街道</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0.7028</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0.0697</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0.6331</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几江街道</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0.3311</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ind w:right="120"/>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0.0026</w:t>
            </w: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0.0214</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0.3072</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龙华镇</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1.0322</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0.0628</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0.0255</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0.9439</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珞璜镇</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0.1672</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0.0196</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0.0002</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0.0007</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0.1467</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圣泉街道</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0.2635</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0.0144</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0.0002</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0.2488</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石蟆镇</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0.4472</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0.1964</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0.2508</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石门镇</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0.3722</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0.0435</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0.0004</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0.3283</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西湖镇</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0.2270</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0.1303</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0.0967</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先锋镇</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0.3936</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0.0155</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0.3781</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油溪镇</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0.7182</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0.1741</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0.5441</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支坪镇</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1.7677</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0.2504</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0.0008</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1.5165</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朱杨镇</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0.2057</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0.0170</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方正楷体_GBK" w:cs="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0.1887</w:t>
            </w:r>
          </w:p>
        </w:tc>
      </w:tr>
      <w:tr>
        <w:trPr>
          <w:trHeight w:val="454"/>
        </w:trPr>
        <w:tc>
          <w:tcPr>
            <w:tcW w:w="121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总计</w:t>
            </w:r>
          </w:p>
        </w:tc>
        <w:tc>
          <w:tcPr>
            <w:tcW w:w="110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7.7141</w:t>
            </w:r>
          </w:p>
        </w:tc>
        <w:tc>
          <w:tcPr>
            <w:tcW w:w="106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ind w:right="120"/>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0.0026</w:t>
            </w:r>
          </w:p>
        </w:tc>
        <w:tc>
          <w:tcPr>
            <w:tcW w:w="96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1.1428</w:t>
            </w:r>
          </w:p>
        </w:tc>
        <w:tc>
          <w:tcPr>
            <w:tcW w:w="14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0.0258</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0.0021</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6.5409</w:t>
            </w:r>
          </w:p>
        </w:tc>
      </w:tr>
    </w:tbl>
    <w:p>
      <w:pPr>
        <w:spacing w:line="360" w:lineRule="auto"/>
        <w:ind w:firstLineChars="200" w:firstLine="560"/>
        <w:rPr>
          <w:rFonts w:ascii="Times New Roman" w:eastAsia="方正楷体_GBK" w:cs="Times New Roman" w:hAnsi="Times New Roman"/>
          <w:sz w:val="28"/>
          <w:szCs w:val="28"/>
        </w:rPr>
      </w:pP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由以上分析知：江津段</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规划范围内农业种植结构调整可利用的理论空间为7.71万亩。</w:t>
      </w:r>
    </w:p>
    <w:p>
      <w:pPr>
        <w:spacing w:line="600" w:lineRule="exact"/>
        <w:ind w:firstLineChars="200" w:firstLine="640"/>
        <w:jc w:val="left"/>
        <w:outlineLvl w:val="3"/>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3.</w:t>
      </w:r>
      <w:r>
        <w:rPr>
          <w:rFonts w:ascii="Times New Roman" w:eastAsia="方正仿宋_GBK" w:cs="Times New Roman" w:hAnsi="Times New Roman"/>
          <w:b/>
          <w:bCs/>
          <w:sz w:val="32"/>
          <w:szCs w:val="32"/>
        </w:rPr>
        <w:t>疏林地及未成林造林地空间分析</w:t>
      </w: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根据第三次国土调查数据和2021年林地变更数据，江津段</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规划范围内有疏林地0.0509万亩、未成林造林地0.4638万亩，包含非林业部门管理的疏林地和未成林造林地。通过补植未来10年可纳入森林覆盖率计算的面积为0.4375万亩，按85%成林计算，可增加森林面积0.5255万亩，这部分可提升森林覆盖率1.2百分点。</w:t>
      </w:r>
    </w:p>
    <w:p>
      <w:pPr>
        <w:rPr>
          <w:rFonts w:ascii="Times New Roman" w:cs="Times New Roman" w:hAnsi="Times New Roman"/>
        </w:rPr>
      </w:pPr>
    </w:p>
    <w:p>
      <w:pPr>
        <w:spacing w:line="360" w:lineRule="auto"/>
        <w:jc w:val="center"/>
        <w:rPr>
          <w:rFonts w:ascii="Times New Roman" w:eastAsia="方正楷体_GBK" w:cs="Times New Roman" w:hAnsi="Times New Roman"/>
          <w:b/>
          <w:sz w:val="24"/>
        </w:rPr>
      </w:pPr>
      <w:r>
        <w:rPr>
          <w:rFonts w:ascii="Times New Roman" w:eastAsia="方正楷体_GBK" w:cs="Times New Roman" w:hAnsi="Times New Roman"/>
          <w:b/>
          <w:szCs w:val="21"/>
        </w:rPr>
        <w:t xml:space="preserve">表6    </w:t>
      </w:r>
      <w:r>
        <w:rPr>
          <w:rFonts w:ascii="Times New Roman" w:eastAsia="方正楷体_GBK" w:cs="Times New Roman" w:hAnsi="Times New Roman"/>
          <w:b/>
          <w:sz w:val="24"/>
        </w:rPr>
        <w:t>各镇</w:t>
      </w:r>
      <w:r>
        <w:rPr>
          <w:rFonts w:ascii="Times New Roman" w:eastAsia="华文楷体" w:cs="Times New Roman" w:hAnsi="Times New Roman"/>
          <w:b/>
          <w:color w:val="000000"/>
          <w:kern w:val="0"/>
          <w:sz w:val="24"/>
        </w:rPr>
        <w:t>街</w:t>
      </w:r>
      <w:r>
        <w:rPr>
          <w:rFonts w:ascii="Times New Roman" w:eastAsia="方正楷体_GBK" w:cs="Times New Roman" w:hAnsi="Times New Roman"/>
          <w:b/>
          <w:sz w:val="24"/>
        </w:rPr>
        <w:t>疏林地及未成林造可利用空间面积一览表</w:t>
      </w:r>
      <w:r>
        <w:rPr>
          <w:rFonts w:ascii="Times New Roman" w:eastAsia="方正楷体_GBK" w:cs="Times New Roman" w:hAnsi="Times New Roman"/>
          <w:b/>
          <w:szCs w:val="21"/>
        </w:rPr>
        <w:t>单位：万亩</w:t>
      </w:r>
    </w:p>
    <w:tbl>
      <w:tblPr>
        <w:jc w:val="left"/>
        <w:tblInd w:w="250" w:type="dxa"/>
        <w:tblW w:w="4765" w:type="pct"/>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
      <w:tblGrid>
        <w:gridCol w:w="1984"/>
        <w:gridCol w:w="1985"/>
        <w:gridCol w:w="2270"/>
        <w:gridCol w:w="2268"/>
      </w:tblGrid>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b/>
                <w:color w:val="000000"/>
                <w:sz w:val="24"/>
              </w:rPr>
            </w:pPr>
            <w:r>
              <w:rPr>
                <w:rFonts w:ascii="Times New Roman" w:eastAsia="华文楷体" w:cs="Times New Roman" w:hAnsi="Times New Roman"/>
                <w:b/>
                <w:color w:val="000000"/>
                <w:kern w:val="0"/>
                <w:sz w:val="24"/>
              </w:rPr>
              <w:t>镇街</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b/>
                <w:color w:val="000000"/>
                <w:sz w:val="24"/>
              </w:rPr>
            </w:pPr>
            <w:r>
              <w:rPr>
                <w:rFonts w:ascii="Times New Roman" w:eastAsia="方正楷体_GBK" w:cs="Times New Roman" w:hAnsi="Times New Roman"/>
                <w:b/>
                <w:sz w:val="24"/>
              </w:rPr>
              <w:t>可利用空间面积</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疏林地面积</w:t>
            </w: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未成林地面积</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白沙镇</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0.0656</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spacing w:line="280" w:lineRule="exact"/>
              <w:jc w:val="center"/>
              <w:rPr>
                <w:rFonts w:ascii="Times New Roman" w:eastAsia="华文楷体" w:cs="Times New Roman" w:hAnsi="Times New Roman"/>
                <w:color w:val="000000"/>
                <w:sz w:val="24"/>
              </w:rPr>
            </w:pP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0.0656</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德感街道</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0.0279</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0.0279</w:t>
            </w: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spacing w:line="280" w:lineRule="exact"/>
              <w:jc w:val="center"/>
              <w:rPr>
                <w:rFonts w:ascii="Times New Roman" w:eastAsia="华文楷体" w:cs="Times New Roman" w:hAnsi="Times New Roman"/>
                <w:color w:val="000000"/>
                <w:sz w:val="24"/>
              </w:rPr>
            </w:pP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鼎山街道</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0.0318</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spacing w:line="280" w:lineRule="exact"/>
              <w:jc w:val="center"/>
              <w:rPr>
                <w:rFonts w:ascii="Times New Roman" w:eastAsia="华文楷体" w:cs="Times New Roman" w:hAnsi="Times New Roman"/>
                <w:color w:val="000000"/>
                <w:sz w:val="24"/>
              </w:rPr>
            </w:pP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0.0318</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几江街道</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0.0240</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spacing w:line="280" w:lineRule="exact"/>
              <w:jc w:val="center"/>
              <w:rPr>
                <w:rFonts w:ascii="Times New Roman" w:eastAsia="华文楷体" w:cs="Times New Roman" w:hAnsi="Times New Roman"/>
                <w:color w:val="000000"/>
                <w:sz w:val="24"/>
              </w:rPr>
            </w:pP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0.0240</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龙华镇</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0.0003</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spacing w:line="280" w:lineRule="exact"/>
              <w:jc w:val="center"/>
              <w:rPr>
                <w:rFonts w:ascii="Times New Roman" w:eastAsia="华文楷体" w:cs="Times New Roman" w:hAnsi="Times New Roman"/>
                <w:color w:val="000000"/>
                <w:sz w:val="24"/>
              </w:rPr>
            </w:pP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0.0003</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珞璜镇</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0.0448</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0.0137</w:t>
            </w: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0.0311</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石蟆镇</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0.1500</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spacing w:line="280" w:lineRule="exact"/>
              <w:jc w:val="center"/>
              <w:rPr>
                <w:rFonts w:ascii="Times New Roman" w:eastAsia="华文楷体" w:cs="Times New Roman" w:hAnsi="Times New Roman"/>
                <w:color w:val="000000"/>
                <w:sz w:val="24"/>
              </w:rPr>
            </w:pP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0.1500</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石门镇</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0.0010</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spacing w:line="280" w:lineRule="exact"/>
              <w:jc w:val="center"/>
              <w:rPr>
                <w:rFonts w:ascii="Times New Roman" w:eastAsia="华文楷体" w:cs="Times New Roman" w:hAnsi="Times New Roman"/>
                <w:color w:val="000000"/>
                <w:sz w:val="24"/>
              </w:rPr>
            </w:pP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0.0010</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西湖镇</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0.0003</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0.0003</w:t>
            </w: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spacing w:line="280" w:lineRule="exact"/>
              <w:jc w:val="center"/>
              <w:rPr>
                <w:rFonts w:ascii="Times New Roman" w:eastAsia="华文楷体" w:cs="Times New Roman" w:hAnsi="Times New Roman"/>
                <w:color w:val="000000"/>
                <w:sz w:val="24"/>
              </w:rPr>
            </w:pP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先锋镇</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0.0002</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spacing w:line="280" w:lineRule="exact"/>
              <w:jc w:val="center"/>
              <w:rPr>
                <w:rFonts w:ascii="Times New Roman" w:eastAsia="华文楷体" w:cs="Times New Roman" w:hAnsi="Times New Roman"/>
                <w:color w:val="000000"/>
                <w:sz w:val="24"/>
              </w:rPr>
            </w:pP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0.0002</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油溪镇</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0.0289</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spacing w:line="280" w:lineRule="exact"/>
              <w:jc w:val="center"/>
              <w:rPr>
                <w:rFonts w:ascii="Times New Roman" w:eastAsia="华文楷体" w:cs="Times New Roman" w:hAnsi="Times New Roman"/>
                <w:color w:val="000000"/>
                <w:sz w:val="24"/>
              </w:rPr>
            </w:pP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0.0289</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支坪镇</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0.0765</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spacing w:line="280" w:lineRule="exact"/>
              <w:jc w:val="center"/>
              <w:rPr>
                <w:rFonts w:ascii="Times New Roman" w:eastAsia="华文楷体" w:cs="Times New Roman" w:hAnsi="Times New Roman"/>
                <w:color w:val="000000"/>
                <w:sz w:val="24"/>
              </w:rPr>
            </w:pP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0.0765</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朱杨镇</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0.0634</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0.0089</w:t>
            </w: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0.0544</w:t>
            </w:r>
          </w:p>
        </w:tc>
      </w:tr>
      <w:tr>
        <w:trPr>
          <w:trHeight w:val="407"/>
        </w:trPr>
        <w:tc>
          <w:tcPr>
            <w:tcW w:w="1166"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总计</w:t>
            </w:r>
          </w:p>
        </w:tc>
        <w:tc>
          <w:tcPr>
            <w:tcW w:w="116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0.5147</w:t>
            </w:r>
          </w:p>
        </w:tc>
        <w:tc>
          <w:tcPr>
            <w:tcW w:w="133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0.0509</w:t>
            </w:r>
          </w:p>
        </w:tc>
        <w:tc>
          <w:tcPr>
            <w:tcW w:w="133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0.4638</w:t>
            </w:r>
          </w:p>
        </w:tc>
      </w:tr>
    </w:tbl>
    <w:p>
      <w:pPr>
        <w:spacing w:line="360" w:lineRule="auto"/>
        <w:ind w:firstLineChars="200" w:firstLine="560"/>
        <w:jc w:val="left"/>
        <w:outlineLvl w:val="3"/>
        <w:rPr>
          <w:rFonts w:ascii="Times New Roman" w:eastAsia="方正楷体_GBK" w:cs="Times New Roman" w:hAnsi="Times New Roman"/>
          <w:sz w:val="28"/>
          <w:szCs w:val="28"/>
        </w:rPr>
      </w:pPr>
    </w:p>
    <w:p>
      <w:pPr>
        <w:spacing w:line="600" w:lineRule="exact"/>
        <w:ind w:firstLineChars="200" w:firstLine="640"/>
        <w:jc w:val="left"/>
        <w:outlineLvl w:val="3"/>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4.</w:t>
      </w:r>
      <w:r>
        <w:rPr>
          <w:rFonts w:ascii="Times New Roman" w:eastAsia="方正仿宋_GBK" w:cs="Times New Roman" w:hAnsi="Times New Roman"/>
          <w:b/>
          <w:bCs/>
          <w:sz w:val="32"/>
          <w:szCs w:val="32"/>
        </w:rPr>
        <w:t>农田林网和农村“四旁”植树空间分析</w:t>
      </w:r>
    </w:p>
    <w:p>
      <w:pPr>
        <w:spacing w:line="600" w:lineRule="exact"/>
        <w:ind w:firstLineChars="200" w:firstLine="640"/>
        <w:rPr>
          <w:rFonts w:ascii="Times New Roman" w:eastAsia="方正仿宋_GBK" w:cs="Times New Roman" w:hAnsi="Times New Roman"/>
          <w:kern w:val="0"/>
          <w:sz w:val="32"/>
          <w:szCs w:val="32"/>
        </w:rPr>
      </w:pPr>
      <w:r>
        <w:rPr>
          <w:rFonts w:ascii="Times New Roman" w:eastAsia="方正仿宋_GBK" w:cs="Times New Roman" w:hAnsi="Times New Roman"/>
          <w:kern w:val="0"/>
          <w:sz w:val="32"/>
          <w:szCs w:val="32"/>
        </w:rPr>
        <w:t>“四旁”植树空间主要在路旁、村旁、宅旁、水旁绿化，营造传家树、致富树、摇钱树等。经过资料分析及各街道镇调查显示：项目区农户房前屋后均进行一定程度绿化，但情况参差不齐且树种单一，景观性和价值较低，因此庭院绿化有一些提升空间，各乡镇新建道路，可营造绿化树、景观树。按新的造林技术规程(GB/T15776-2016)，按照经济林每30-50株折算1亩、用材林每60-100株折算1亩计算造林面积。本次测算 “四旁”按每亩50-60株折算1亩，规划区农民房前屋后、道路，水旁可增加绿化面积0.65万亩，按85%的成活率计算，提高森林覆盖率1.52百分点。</w:t>
      </w:r>
    </w:p>
    <w:p>
      <w:pPr>
        <w:spacing w:line="600" w:lineRule="exact"/>
        <w:ind w:firstLineChars="200" w:firstLine="640"/>
        <w:outlineLvl w:val="1"/>
        <w:rPr>
          <w:rFonts w:ascii="Times New Roman" w:eastAsia="方正楷体_GBK" w:cs="Times New Roman" w:hAnsi="Times New Roman"/>
          <w:sz w:val="32"/>
          <w:szCs w:val="32"/>
        </w:rPr>
      </w:pPr>
      <w:bookmarkStart w:id="20" w:name="_Toc533082239"/>
      <w:bookmarkStart w:id="21" w:name="_Toc44272728"/>
      <w:r>
        <w:rPr>
          <w:rFonts w:ascii="Times New Roman" w:eastAsia="方正楷体_GBK" w:cs="Times New Roman" w:hAnsi="Times New Roman"/>
          <w:sz w:val="32"/>
          <w:szCs w:val="32"/>
        </w:rPr>
        <w:t>（四）森林质量提升潜力分析</w:t>
      </w:r>
      <w:bookmarkEnd w:id="20"/>
      <w:bookmarkEnd w:id="21"/>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江津区</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范围内森林质量提升将有效改善林地及林分质量，提高林地生产力。森林质量提升的有效手段为森林抚育等森林经营措施，通过生态景观示范建设，森林抚育，低效林改造，建成区、园区及码头绿化美化等可将景观效果差，林地生产力较低森林培育成健康稳定优质高效美观的森林。</w:t>
      </w:r>
    </w:p>
    <w:p>
      <w:pPr>
        <w:spacing w:line="600" w:lineRule="exact"/>
        <w:ind w:firstLineChars="200" w:firstLine="640"/>
        <w:jc w:val="left"/>
        <w:outlineLvl w:val="3"/>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1.</w:t>
      </w:r>
      <w:r>
        <w:rPr>
          <w:rFonts w:ascii="Times New Roman" w:eastAsia="方正仿宋_GBK" w:cs="Times New Roman" w:hAnsi="Times New Roman"/>
          <w:b/>
          <w:bCs/>
          <w:sz w:val="32"/>
          <w:szCs w:val="32"/>
        </w:rPr>
        <w:t>森林抚育空间分析</w:t>
      </w: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《重庆市林业改革发展资金管理实施细则》</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渝财农〔2017〕240号文件</w:t>
      </w:r>
      <w:r>
        <w:rPr>
          <w:rFonts w:ascii="Times New Roman" w:eastAsia="方正仿宋_GBK" w:cs="Times New Roman" w:hAnsi="Times New Roman"/>
          <w:sz w:val="32"/>
          <w:szCs w:val="32"/>
          <w:lang w:eastAsia="zh-CN"/>
        </w:rPr>
        <w:t>）</w:t>
      </w:r>
      <w:r>
        <w:rPr>
          <w:rFonts w:ascii="Times New Roman" w:eastAsia="方正仿宋_GBK" w:cs="Times New Roman" w:hAnsi="Times New Roman"/>
          <w:sz w:val="32"/>
          <w:szCs w:val="32"/>
        </w:rPr>
        <w:t>提出森林抚育对象为国有林中，或集体和个人所有的公益林中的幼龄林和中龄林，或国家储备林和林业用地中的经济林，以及集体和个人新一轮退耕还林后的林分，不含国家级一级公益林林地，所以本次分析空间为公益林中的中幼龄林。中幼龄林是江津区</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规划区重要的后备森林资源，中幼龄林抚育是改善森林环境、促进林木生长、培育森林资源的重要措施和手段，是江津区长江重庆段</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规划范围内森林资源质量提升的关键。</w:t>
      </w: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江津区</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范围内公益林幼龄林面积为0.8225万亩，中龄林面积为1.2781万亩，经济林幼龄林面积为1.0043万亩，中龄林面积为1.3132万亩。通过对江津区</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范围内公益林中幼龄林进行森林抚育，为林木的生长奠定良好的基础，提高林分质量和林地生产力，加快后备森林资源的质量。经分析测算，目前江津区</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范围内中幼龄林森林抚育的理论空间为4.4272万亩。</w:t>
      </w:r>
    </w:p>
    <w:p>
      <w:pPr>
        <w:spacing w:line="360" w:lineRule="auto"/>
        <w:ind w:firstLineChars="250" w:firstLine="600"/>
        <w:rPr>
          <w:rFonts w:ascii="Times New Roman" w:eastAsia="方正楷体_GBK" w:cs="Times New Roman" w:hAnsi="Times New Roman"/>
          <w:b/>
          <w:sz w:val="24"/>
        </w:rPr>
      </w:pPr>
      <w:r>
        <w:rPr>
          <w:rFonts w:ascii="Times New Roman" w:eastAsia="方正楷体_GBK" w:cs="Times New Roman" w:hAnsi="Times New Roman"/>
          <w:b/>
          <w:sz w:val="24"/>
        </w:rPr>
        <w:t>表7  各镇</w:t>
      </w:r>
      <w:r>
        <w:rPr>
          <w:rFonts w:ascii="Times New Roman" w:eastAsia="华文楷体" w:cs="Times New Roman" w:hAnsi="Times New Roman"/>
          <w:b/>
          <w:color w:val="000000"/>
          <w:kern w:val="0"/>
          <w:sz w:val="24"/>
        </w:rPr>
        <w:t>街</w:t>
      </w:r>
      <w:r>
        <w:rPr>
          <w:rFonts w:ascii="Times New Roman" w:eastAsia="方正楷体_GBK" w:cs="Times New Roman" w:hAnsi="Times New Roman"/>
          <w:b/>
          <w:sz w:val="24"/>
        </w:rPr>
        <w:t>森林抚育可利用空间面积一览表单位：万亩</w:t>
      </w:r>
    </w:p>
    <w:tbl>
      <w:tblPr>
        <w:jc w:val="left"/>
        <w:tblInd w:w="96" w:type="dxa"/>
        <w:tblW w:w="8473" w:type="dxa"/>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
      <w:tblGrid>
        <w:gridCol w:w="1393"/>
        <w:gridCol w:w="1416"/>
        <w:gridCol w:w="1416"/>
        <w:gridCol w:w="1416"/>
        <w:gridCol w:w="1416"/>
        <w:gridCol w:w="1416"/>
      </w:tblGrid>
      <w:tr>
        <w:trPr>
          <w:trHeight w:val="397"/>
          <w:tblHeader/>
        </w:trPr>
        <w:tc>
          <w:tcPr>
            <w:tcW w:w="13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b/>
                <w:color w:val="000000"/>
                <w:sz w:val="24"/>
              </w:rPr>
            </w:pPr>
            <w:r>
              <w:rPr>
                <w:rFonts w:ascii="Times New Roman" w:eastAsia="华文楷体" w:cs="Times New Roman" w:hAnsi="Times New Roman"/>
                <w:b/>
                <w:color w:val="000000"/>
                <w:kern w:val="0"/>
                <w:sz w:val="24"/>
              </w:rPr>
              <w:t>镇街</w:t>
            </w:r>
          </w:p>
        </w:tc>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b/>
                <w:color w:val="000000"/>
                <w:sz w:val="24"/>
              </w:rPr>
            </w:pPr>
            <w:r>
              <w:rPr>
                <w:rFonts w:ascii="Times New Roman" w:eastAsia="方正楷体_GBK" w:cs="Times New Roman" w:hAnsi="Times New Roman"/>
                <w:b/>
                <w:sz w:val="24"/>
              </w:rPr>
              <w:t>可利用空间面积</w:t>
            </w:r>
          </w:p>
        </w:tc>
        <w:tc>
          <w:tcPr>
            <w:tcW w:w="283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b/>
                <w:color w:val="000000"/>
                <w:sz w:val="24"/>
              </w:rPr>
            </w:pPr>
            <w:r>
              <w:rPr>
                <w:rFonts w:ascii="Times New Roman" w:eastAsia="华文楷体" w:cs="Times New Roman" w:hAnsi="Times New Roman"/>
                <w:b/>
                <w:color w:val="000000"/>
                <w:kern w:val="0"/>
                <w:sz w:val="24"/>
              </w:rPr>
              <w:t>公益林</w:t>
            </w:r>
          </w:p>
        </w:tc>
        <w:tc>
          <w:tcPr>
            <w:tcW w:w="283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b/>
                <w:color w:val="000000"/>
                <w:sz w:val="24"/>
              </w:rPr>
            </w:pPr>
            <w:r>
              <w:rPr>
                <w:rFonts w:ascii="Times New Roman" w:eastAsia="华文楷体" w:cs="Times New Roman" w:hAnsi="Times New Roman"/>
                <w:b/>
                <w:color w:val="000000"/>
                <w:kern w:val="0"/>
                <w:sz w:val="24"/>
              </w:rPr>
              <w:t>经济林</w:t>
            </w:r>
          </w:p>
        </w:tc>
      </w:tr>
      <w:tr>
        <w:trPr>
          <w:trHeight w:val="397"/>
          <w:tblHeader/>
        </w:trPr>
        <w:tc>
          <w:tcPr>
            <w:tcW w:w="13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tc>
        <w:tc>
          <w:tcPr>
            <w:tcW w:w="1416"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b/>
                <w:color w:val="000000"/>
                <w:sz w:val="24"/>
              </w:rPr>
            </w:pPr>
            <w:r>
              <w:rPr>
                <w:rFonts w:ascii="Times New Roman" w:eastAsia="华文楷体" w:cs="Times New Roman" w:hAnsi="Times New Roman"/>
                <w:b/>
                <w:color w:val="000000"/>
                <w:kern w:val="0"/>
                <w:sz w:val="24"/>
              </w:rPr>
              <w:t>幼龄林</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b/>
                <w:color w:val="000000"/>
                <w:sz w:val="24"/>
              </w:rPr>
            </w:pPr>
            <w:r>
              <w:rPr>
                <w:rFonts w:ascii="Times New Roman" w:eastAsia="华文楷体" w:cs="Times New Roman" w:hAnsi="Times New Roman"/>
                <w:b/>
                <w:color w:val="000000"/>
                <w:kern w:val="0"/>
                <w:sz w:val="24"/>
              </w:rPr>
              <w:t>中龄林</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b/>
                <w:color w:val="000000"/>
                <w:sz w:val="24"/>
              </w:rPr>
            </w:pPr>
            <w:r>
              <w:rPr>
                <w:rFonts w:ascii="Times New Roman" w:eastAsia="华文楷体" w:cs="Times New Roman" w:hAnsi="Times New Roman"/>
                <w:b/>
                <w:color w:val="000000"/>
                <w:kern w:val="0"/>
                <w:sz w:val="24"/>
              </w:rPr>
              <w:t>幼龄林</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b/>
                <w:color w:val="000000"/>
                <w:sz w:val="24"/>
              </w:rPr>
            </w:pPr>
            <w:r>
              <w:rPr>
                <w:rFonts w:ascii="Times New Roman" w:eastAsia="华文楷体" w:cs="Times New Roman" w:hAnsi="Times New Roman"/>
                <w:b/>
                <w:color w:val="000000"/>
                <w:kern w:val="0"/>
                <w:sz w:val="24"/>
              </w:rPr>
              <w:t>中龄林</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白沙镇</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0.6933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0.0566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0.1264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0.1024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0.4079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德感街道</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0.6259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0.1902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0.0689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0.2944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0.0724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鼎山街道</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0.1632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0.1054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0.0019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0.0552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0.0007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几江街道</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0.0371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0.0122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0.0090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0.0101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0.0058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龙华镇</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0.1986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0.0784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0.0375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0.0647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0.0180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珞璜镇</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0.6743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0.0832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0.5516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0.0080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0.0314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石蟆镇</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0.7216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0.1521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0.2470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0.2002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0.1223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石门镇</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0.0439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0.0029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0.0030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0.0024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0.0356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西湖镇</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0.1034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0.0052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0.0100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0.0118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0.0764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先锋镇</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0.0244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0.0198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华文楷体" w:cs="Times New Roman" w:hAnsi="Times New Roman"/>
                <w:color w:val="000000"/>
                <w:sz w:val="24"/>
              </w:rPr>
            </w:pP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0.0046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spacing w:line="280" w:lineRule="exact"/>
              <w:jc w:val="center"/>
              <w:rPr>
                <w:rFonts w:ascii="Times New Roman" w:eastAsia="华文楷体" w:cs="Times New Roman" w:hAnsi="Times New Roman"/>
                <w:color w:val="000000"/>
                <w:sz w:val="24"/>
              </w:rPr>
            </w:pP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油溪镇</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0.4648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0.0067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0.1212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0.0466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0.2903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支坪镇</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0.4672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0.0356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0.1053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0.1089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0.2174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朱杨镇</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0.2095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0.0740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0.0054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0.0953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0.0349 </w:t>
            </w:r>
          </w:p>
        </w:tc>
      </w:tr>
      <w:tr>
        <w:trPr>
          <w:trHeight w:val="397"/>
        </w:trPr>
        <w:tc>
          <w:tcPr>
            <w:tcW w:w="139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总计</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4.4272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0.8225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1.2871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1.0043 </w:t>
            </w:r>
          </w:p>
        </w:tc>
        <w:tc>
          <w:tcPr>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1.3132 </w:t>
            </w:r>
          </w:p>
        </w:tc>
      </w:tr>
    </w:tbl>
    <w:p>
      <w:pPr>
        <w:spacing w:line="360" w:lineRule="auto"/>
        <w:ind w:firstLineChars="200" w:firstLine="560"/>
        <w:jc w:val="left"/>
        <w:outlineLvl w:val="3"/>
        <w:rPr>
          <w:rFonts w:ascii="Times New Roman" w:eastAsia="方正楷体_GBK" w:cs="Times New Roman" w:hAnsi="Times New Roman"/>
          <w:sz w:val="28"/>
          <w:szCs w:val="28"/>
        </w:rPr>
      </w:pPr>
    </w:p>
    <w:p>
      <w:pPr>
        <w:spacing w:line="600" w:lineRule="exact"/>
        <w:ind w:firstLineChars="200" w:firstLine="640"/>
        <w:jc w:val="left"/>
        <w:outlineLvl w:val="3"/>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2.</w:t>
      </w:r>
      <w:r>
        <w:rPr>
          <w:rFonts w:ascii="Times New Roman" w:eastAsia="方正仿宋_GBK" w:cs="Times New Roman" w:hAnsi="Times New Roman"/>
          <w:b/>
          <w:bCs/>
          <w:sz w:val="32"/>
          <w:szCs w:val="32"/>
        </w:rPr>
        <w:t>低效林改造</w:t>
      </w: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由于树种或种源选择不当，未能做到适地适树或其它经营管理措施不当，造成林木生长衰退、地力退化、功能与效益低下，无培育前途，生态效益或生物量（林产品产量）显著低于同类立地条件经营水平的有林地和灌木林地，主要在第一次和第二次退耕还林地块内实施。</w:t>
      </w:r>
    </w:p>
    <w:p>
      <w:pPr>
        <w:spacing w:line="360" w:lineRule="auto"/>
        <w:ind w:firstLineChars="500" w:firstLine="1050"/>
        <w:rPr>
          <w:rFonts w:ascii="Times New Roman" w:eastAsia="方正楷体_GBK" w:cs="Times New Roman" w:hAnsi="Times New Roman"/>
          <w:b/>
          <w:sz w:val="24"/>
        </w:rPr>
      </w:pPr>
      <w:r>
        <w:rPr>
          <w:rFonts w:ascii="Times New Roman" w:eastAsia="方正楷体_GBK" w:cs="Times New Roman" w:hAnsi="Times New Roman"/>
          <w:b/>
          <w:szCs w:val="21"/>
        </w:rPr>
        <w:t xml:space="preserve">表8      </w:t>
      </w:r>
      <w:r>
        <w:rPr>
          <w:rFonts w:ascii="Times New Roman" w:eastAsia="方正楷体_GBK" w:cs="Times New Roman" w:hAnsi="Times New Roman"/>
          <w:b/>
          <w:sz w:val="24"/>
        </w:rPr>
        <w:t>各镇</w:t>
      </w:r>
      <w:r>
        <w:rPr>
          <w:rFonts w:ascii="Times New Roman" w:eastAsia="华文楷体" w:cs="Times New Roman" w:hAnsi="Times New Roman"/>
          <w:b/>
          <w:color w:val="000000"/>
          <w:kern w:val="0"/>
          <w:sz w:val="24"/>
        </w:rPr>
        <w:t>街</w:t>
      </w:r>
      <w:r>
        <w:rPr>
          <w:rFonts w:ascii="Times New Roman" w:eastAsia="方正楷体_GBK" w:cs="Times New Roman" w:hAnsi="Times New Roman"/>
          <w:b/>
          <w:sz w:val="24"/>
        </w:rPr>
        <w:t>低效林改造可利用空间面积一览表</w:t>
      </w:r>
      <w:r>
        <w:rPr>
          <w:rFonts w:ascii="Times New Roman" w:eastAsia="方正楷体_GBK" w:cs="Times New Roman" w:hAnsi="Times New Roman"/>
          <w:b/>
          <w:szCs w:val="21"/>
        </w:rPr>
        <w:t>单位：万亩</w:t>
      </w:r>
    </w:p>
    <w:tbl>
      <w:tblPr>
        <w:jc w:val="left"/>
        <w:tblInd w:w="96" w:type="dxa"/>
        <w:tblW w:w="8244" w:type="dxa"/>
        <w:tblBorders>
          <w:top w:val="none" w:sz="0" w:space="0" w:color="auto"/>
          <w:left w:val="none" w:sz="0" w:space="0" w:color="auto"/>
          <w:bottom w:val="none" w:sz="0" w:space="0" w:color="auto"/>
          <w:right w:val="none" w:sz="0" w:space="0" w:color="auto"/>
        </w:tblBorders>
        <w:tblLayout w:type="fixed"/>
        <w:tblCellMar>
          <w:top w:w="0" w:type="dxa"/>
          <w:left w:w="108" w:type="dxa"/>
          <w:bottom w:w="0" w:type="dxa"/>
          <w:right w:w="108" w:type="dxa"/>
        </w:tblCellMar>
      </w:tblPr>
      <w:tblGrid>
        <w:gridCol w:w="1572"/>
        <w:gridCol w:w="2224"/>
        <w:gridCol w:w="2224"/>
        <w:gridCol w:w="2224"/>
      </w:tblGrid>
      <w:tr>
        <w:trPr>
          <w:trHeight w:val="602"/>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b/>
                <w:color w:val="000000"/>
                <w:kern w:val="0"/>
                <w:sz w:val="24"/>
              </w:rPr>
              <w:t>镇街</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方正楷体_GBK" w:cs="Times New Roman" w:hAnsi="Times New Roman"/>
                <w:b/>
                <w:sz w:val="24"/>
              </w:rPr>
              <w:t>可利用空间面积</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b/>
                <w:color w:val="FF0000"/>
                <w:szCs w:val="21"/>
              </w:rPr>
            </w:pPr>
            <w:r>
              <w:rPr>
                <w:rFonts w:ascii="Times New Roman" w:eastAsia="华文楷体" w:cs="Times New Roman" w:hAnsi="Times New Roman"/>
                <w:b/>
                <w:color w:val="000000"/>
                <w:kern w:val="0"/>
                <w:sz w:val="22"/>
                <w:szCs w:val="22"/>
              </w:rPr>
              <w:t>上一轮退耕还林</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b/>
                <w:color w:val="FF0000"/>
                <w:szCs w:val="21"/>
              </w:rPr>
            </w:pPr>
            <w:r>
              <w:rPr>
                <w:rFonts w:ascii="Times New Roman" w:eastAsia="华文楷体" w:cs="Times New Roman" w:hAnsi="Times New Roman"/>
                <w:b/>
                <w:color w:val="000000"/>
                <w:kern w:val="0"/>
                <w:sz w:val="22"/>
                <w:szCs w:val="22"/>
              </w:rPr>
              <w:t>新一轮退耕还林</w:t>
            </w: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白沙镇</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0.3039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0.2664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0.0375 </w:t>
            </w: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德感办</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0.5603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0.5603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rPr>
                <w:rFonts w:ascii="Times New Roman" w:eastAsia="华文楷体" w:cs="Times New Roman" w:hAnsi="Times New Roman"/>
                <w:color w:val="FF0000"/>
                <w:szCs w:val="21"/>
              </w:rPr>
            </w:pP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鼎山街道</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rPr>
                <w:rFonts w:ascii="Times New Roman" w:eastAsia="华文楷体" w:cs="Times New Roman" w:hAnsi="Times New Roman"/>
                <w:color w:val="FF0000"/>
                <w:szCs w:val="21"/>
              </w:rPr>
            </w:pP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rPr>
                <w:rFonts w:ascii="Times New Roman" w:eastAsia="华文楷体" w:cs="Times New Roman" w:hAnsi="Times New Roman"/>
                <w:color w:val="FF0000"/>
                <w:szCs w:val="21"/>
              </w:rPr>
            </w:pP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rPr>
                <w:rFonts w:ascii="Times New Roman" w:eastAsia="华文楷体" w:cs="Times New Roman" w:hAnsi="Times New Roman"/>
                <w:color w:val="FF0000"/>
                <w:szCs w:val="21"/>
              </w:rPr>
            </w:pP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几江办</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0.2074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0.2074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rPr>
                <w:rFonts w:ascii="Times New Roman" w:eastAsia="华文楷体" w:cs="Times New Roman" w:hAnsi="Times New Roman"/>
                <w:color w:val="FF0000"/>
                <w:szCs w:val="21"/>
              </w:rPr>
            </w:pP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龙华镇</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0.2380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0.2220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0.0160 </w:t>
            </w: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珞璜镇</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0.1098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0.1098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rPr>
                <w:rFonts w:ascii="Times New Roman" w:eastAsia="华文楷体" w:cs="Times New Roman" w:hAnsi="Times New Roman"/>
                <w:color w:val="FF0000"/>
                <w:szCs w:val="21"/>
              </w:rPr>
            </w:pP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圣泉街道</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rPr>
                <w:rFonts w:ascii="Times New Roman" w:eastAsia="华文楷体" w:cs="Times New Roman" w:hAnsi="Times New Roman"/>
                <w:color w:val="FF0000"/>
                <w:szCs w:val="21"/>
              </w:rPr>
            </w:pP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rPr>
                <w:rFonts w:ascii="Times New Roman" w:eastAsia="华文楷体" w:cs="Times New Roman" w:hAnsi="Times New Roman"/>
                <w:color w:val="FF0000"/>
                <w:szCs w:val="21"/>
              </w:rPr>
            </w:pP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rPr>
                <w:rFonts w:ascii="Times New Roman" w:eastAsia="华文楷体" w:cs="Times New Roman" w:hAnsi="Times New Roman"/>
                <w:color w:val="FF0000"/>
                <w:szCs w:val="21"/>
              </w:rPr>
            </w:pP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石蟆镇</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0.8519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0.7255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0.1264 </w:t>
            </w: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石门镇</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0.1715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0.1715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rPr>
                <w:rFonts w:ascii="Times New Roman" w:eastAsia="华文楷体" w:cs="Times New Roman" w:hAnsi="Times New Roman"/>
                <w:color w:val="FF0000"/>
                <w:szCs w:val="21"/>
              </w:rPr>
            </w:pP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西湖镇</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0.1124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0.1124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rPr>
                <w:rFonts w:ascii="Times New Roman" w:eastAsia="华文楷体" w:cs="Times New Roman" w:hAnsi="Times New Roman"/>
                <w:color w:val="FF0000"/>
                <w:szCs w:val="21"/>
              </w:rPr>
            </w:pP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先锋镇</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0.2115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0.2098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0.0017 </w:t>
            </w: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油溪镇</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0.3123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0.1413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0.1710 </w:t>
            </w: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支坪办</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0.6057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0.4658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0.1399 </w:t>
            </w: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朱扬镇</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0.1472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0.1257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0.0215 </w:t>
            </w:r>
          </w:p>
        </w:tc>
      </w:tr>
      <w:tr>
        <w:trPr>
          <w:trHeight w:val="397"/>
        </w:trPr>
        <w:tc>
          <w:tcPr>
            <w:tcW w:w="157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80" w:lineRule="exact"/>
              <w:jc w:val="center"/>
              <w:textAlignment w:val="center"/>
              <w:rPr>
                <w:rFonts w:ascii="Times New Roman" w:eastAsia="华文楷体" w:cs="Times New Roman" w:hAnsi="Times New Roman"/>
                <w:color w:val="000000"/>
                <w:szCs w:val="21"/>
              </w:rPr>
            </w:pPr>
            <w:r>
              <w:rPr>
                <w:rFonts w:ascii="Times New Roman" w:eastAsia="华文楷体" w:cs="Times New Roman" w:hAnsi="Times New Roman"/>
                <w:color w:val="000000"/>
                <w:kern w:val="0"/>
                <w:sz w:val="22"/>
                <w:szCs w:val="22"/>
              </w:rPr>
              <w:t>合计</w:t>
            </w:r>
          </w:p>
        </w:tc>
        <w:tc>
          <w:tcPr>
            <w:tcW w:w="222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3.8318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3.3178 </w:t>
            </w:r>
          </w:p>
        </w:tc>
        <w:tc>
          <w:tcPr>
            <w:tcW w:w="2224" w:type="dxa"/>
            <w:tcBorders>
              <w:top w:val="single" w:sz="4" w:space="0" w:color="000000"/>
              <w:left w:val="single" w:sz="4" w:space="0" w:color="000000"/>
              <w:bottom w:val="single" w:sz="4" w:space="0" w:color="000000"/>
              <w:right w:val="single" w:sz="4" w:space="0" w:color="000000"/>
            </w:tcBorders>
            <w:vAlign w:val="center"/>
          </w:tcPr>
          <w:p>
            <w:pPr>
              <w:widowControl/>
              <w:spacing w:line="280" w:lineRule="exact"/>
              <w:jc w:val="center"/>
              <w:textAlignment w:val="center"/>
              <w:rPr>
                <w:rFonts w:ascii="Times New Roman" w:eastAsia="华文楷体" w:cs="Times New Roman" w:hAnsi="Times New Roman"/>
                <w:color w:val="FF0000"/>
                <w:szCs w:val="21"/>
              </w:rPr>
            </w:pPr>
            <w:r>
              <w:rPr>
                <w:rFonts w:ascii="Times New Roman" w:eastAsia="华文楷体" w:cs="Times New Roman" w:hAnsi="Times New Roman"/>
                <w:color w:val="000000"/>
                <w:kern w:val="0"/>
                <w:sz w:val="22"/>
                <w:szCs w:val="22"/>
              </w:rPr>
              <w:t xml:space="preserve">0.5140 </w:t>
            </w:r>
          </w:p>
        </w:tc>
      </w:tr>
    </w:tbl>
    <w:p>
      <w:pPr>
        <w:spacing w:line="360" w:lineRule="auto"/>
        <w:ind w:firstLineChars="200" w:firstLine="560"/>
        <w:jc w:val="left"/>
        <w:outlineLvl w:val="3"/>
        <w:rPr>
          <w:rFonts w:ascii="Times New Roman" w:eastAsia="方正楷体_GBK" w:cs="Times New Roman" w:hAnsi="Times New Roman"/>
          <w:sz w:val="28"/>
          <w:szCs w:val="28"/>
        </w:rPr>
      </w:pPr>
    </w:p>
    <w:p>
      <w:pPr>
        <w:spacing w:line="600" w:lineRule="exact"/>
        <w:ind w:firstLineChars="200" w:firstLine="640"/>
        <w:jc w:val="left"/>
        <w:outlineLvl w:val="3"/>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3.</w:t>
      </w:r>
      <w:r>
        <w:rPr>
          <w:rFonts w:ascii="Times New Roman" w:eastAsia="方正仿宋_GBK" w:cs="Times New Roman" w:hAnsi="Times New Roman"/>
          <w:b/>
          <w:bCs/>
          <w:sz w:val="32"/>
          <w:szCs w:val="32"/>
        </w:rPr>
        <w:t>生态景观示范建设</w:t>
      </w: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在江河两岸重要节点、重要生态景观区域的有林地、竹林地，城镇建成区滩涂地和其他可绿化地块等，以美化环境和提供旅游休闲、维护自然生态景观为主要目的，通过多树种配置，提升生态景观，增加森林观赏性，扩大生态容量，建成具有多层次、多树种、多色彩、多功能、多效益的生态景观林地。</w:t>
      </w:r>
    </w:p>
    <w:p>
      <w:pPr>
        <w:spacing w:line="600" w:lineRule="exact"/>
        <w:ind w:firstLineChars="200" w:firstLine="640"/>
        <w:jc w:val="left"/>
        <w:outlineLvl w:val="3"/>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4.</w:t>
      </w:r>
      <w:r>
        <w:rPr>
          <w:rFonts w:ascii="Times New Roman" w:eastAsia="方正仿宋_GBK" w:cs="Times New Roman" w:hAnsi="Times New Roman"/>
          <w:b/>
          <w:bCs/>
          <w:sz w:val="32"/>
          <w:szCs w:val="32"/>
        </w:rPr>
        <w:t>建成区、园区及码头绿化美化</w:t>
      </w:r>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包括江河两岸沿线城镇的建成区、工业园区、农业园区、交通码头（港口）的荒裸地、拆迁留下的零星空地、道路及斑块节点空地、需破硬复绿空地和景观差的地块，开展绿化美化，完善绿地系统，不断提升江河两岸绿化品质和生态效果。</w:t>
      </w:r>
      <w:bookmarkStart w:id="22" w:name="_Toc533082240"/>
    </w:p>
    <w:p>
      <w:pPr>
        <w:spacing w:line="600" w:lineRule="exact"/>
        <w:ind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综上，分析结</w:t>
      </w:r>
      <w:bookmarkEnd w:id="22"/>
      <w:r>
        <w:rPr>
          <w:rFonts w:ascii="Times New Roman" w:eastAsia="方正仿宋_GBK" w:cs="Times New Roman" w:hAnsi="Times New Roman"/>
          <w:sz w:val="32"/>
          <w:szCs w:val="32"/>
        </w:rPr>
        <w:t>果显示：江津区</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范围内森林数量和质量提升的空间比较有限，总面积为14.99万亩，占国土总面积的41.36%。退耕还林可利用的理论空间为0.4555万亩；农业种植结构调整理论空间7.71万亩；疏林地和未成林造林地理论空间0.5147万亩；农村“四旁”植树0.65万亩；中幼龄林森林抚育提升理论空间为4.4272万亩，低效林改造理论空间3.8318万亩，其中低效林改造空间与森林抚育空间，农业种植结构调整空间相互重合，实际空间为园地、灌木林地、乔木林地共13.89万亩。</w:t>
      </w:r>
    </w:p>
    <w:p>
      <w:pPr>
        <w:rPr>
          <w:rFonts w:ascii="Times New Roman" w:eastAsia="方正黑体_GBK" w:cs="Times New Roman" w:hAnsi="Times New Roman"/>
          <w:sz w:val="32"/>
        </w:rPr>
      </w:pPr>
      <w:r>
        <w:rPr>
          <w:rFonts w:ascii="Times New Roman" w:eastAsia="方正黑体_GBK" w:cs="Times New Roman" w:hAnsi="Times New Roman"/>
          <w:sz w:val="32"/>
        </w:rPr>
        <w:br w:type="page"/>
      </w:r>
    </w:p>
    <w:p>
      <w:pPr>
        <w:pStyle w:val="2"/>
        <w:keepNext w:val="0"/>
        <w:keepLines/>
        <w:widowControl w:val="0"/>
        <w:adjustRightInd w:val="0"/>
        <w:snapToGrid w:val="0"/>
        <w:spacing w:before="0" w:after="0" w:line="600" w:lineRule="exact"/>
        <w:ind w:firstLineChars="200" w:firstLine="640"/>
        <w:rPr>
          <w:rFonts w:ascii="Times New Roman" w:eastAsia="方正黑体_GBK" w:cs="Times New Roman" w:hAnsi="Times New Roman"/>
          <w:b w:val="0"/>
          <w:bCs w:val="0"/>
          <w:sz w:val="32"/>
        </w:rPr>
      </w:pPr>
      <w:r>
        <w:rPr>
          <w:rFonts w:ascii="Times New Roman" w:eastAsia="方正黑体_GBK" w:cs="Times New Roman" w:hAnsi="Times New Roman"/>
          <w:b w:val="0"/>
          <w:bCs w:val="0"/>
          <w:sz w:val="32"/>
        </w:rPr>
        <w:fldChar w:fldCharType="begin"/>
      </w:r>
      <w:r>
        <w:instrText>HYPERLINK  \l "_Toc24097"</w:instrText>
      </w:r>
      <w:r>
        <w:rPr>
          <w:rFonts w:ascii="Times New Roman" w:eastAsia="方正黑体_GBK" w:cs="Times New Roman" w:hAnsi="Times New Roman"/>
          <w:b w:val="0"/>
          <w:bCs w:val="0"/>
          <w:sz w:val="32"/>
        </w:rPr>
        <w:fldChar w:fldCharType="separate"/>
      </w:r>
      <w:bookmarkStart w:id="23" w:name="_Toc44272729"/>
      <w:r>
        <w:rPr>
          <w:rFonts w:ascii="Times New Roman" w:eastAsia="方正黑体_GBK" w:cs="Times New Roman" w:hAnsi="Times New Roman"/>
          <w:b w:val="0"/>
          <w:bCs w:val="0"/>
          <w:sz w:val="32"/>
        </w:rPr>
        <w:t>三、总体要求</w:t>
      </w:r>
      <w:r>
        <w:rPr>
          <w:rFonts w:ascii="Times New Roman" w:eastAsia="方正黑体_GBK" w:cs="Times New Roman" w:hAnsi="Times New Roman"/>
          <w:b w:val="0"/>
          <w:bCs w:val="0"/>
          <w:sz w:val="32"/>
        </w:rPr>
        <w:fldChar w:fldCharType="end"/>
      </w:r>
      <w:bookmarkEnd w:id="23"/>
    </w:p>
    <w:p>
      <w:pPr>
        <w:spacing w:line="600" w:lineRule="exact"/>
        <w:ind w:firstLineChars="200" w:firstLine="640"/>
        <w:outlineLvl w:val="1"/>
        <w:rPr>
          <w:rFonts w:ascii="Times New Roman" w:eastAsia="方正楷体_GBK" w:cs="Times New Roman" w:hAnsi="Times New Roman"/>
          <w:sz w:val="32"/>
          <w:szCs w:val="32"/>
        </w:rPr>
      </w:pPr>
      <w:r>
        <w:rPr>
          <w:rFonts w:ascii="Times New Roman" w:eastAsia="方正楷体_GBK" w:cs="Times New Roman" w:hAnsi="Times New Roman"/>
          <w:sz w:val="32"/>
          <w:szCs w:val="32"/>
        </w:rPr>
        <w:fldChar w:fldCharType="begin"/>
      </w:r>
      <w:r>
        <w:instrText>HYPERLINK  \l "_Toc9700"</w:instrText>
      </w:r>
      <w:r>
        <w:rPr>
          <w:rFonts w:ascii="Times New Roman" w:eastAsia="方正楷体_GBK" w:cs="Times New Roman" w:hAnsi="Times New Roman"/>
          <w:sz w:val="32"/>
          <w:szCs w:val="32"/>
        </w:rPr>
        <w:fldChar w:fldCharType="separate"/>
      </w:r>
      <w:bookmarkStart w:id="24" w:name="_Toc44272730"/>
      <w:r>
        <w:rPr>
          <w:rFonts w:ascii="Times New Roman" w:eastAsia="方正楷体_GBK" w:cs="Times New Roman" w:hAnsi="Times New Roman"/>
          <w:sz w:val="32"/>
          <w:szCs w:val="32"/>
        </w:rPr>
        <w:t>（一）指导思想</w:t>
      </w:r>
      <w:r>
        <w:rPr>
          <w:rFonts w:ascii="Times New Roman" w:eastAsia="方正楷体_GBK" w:cs="Times New Roman" w:hAnsi="Times New Roman"/>
          <w:sz w:val="32"/>
          <w:szCs w:val="32"/>
        </w:rPr>
        <w:fldChar w:fldCharType="end"/>
      </w:r>
      <w:bookmarkEnd w:id="24"/>
    </w:p>
    <w:p>
      <w:pPr>
        <w:pStyle w:val="21"/>
        <w:keepNext w:val="0"/>
        <w:keepLines w:val="0"/>
        <w:pageBreakBefore w:val="0"/>
        <w:widowControl w:val="0"/>
        <w:tabs>
          <w:tab w:val="right" w:leader="dot" w:pos="10253"/>
        </w:tabs>
        <w:kinsoku/>
        <w:wordWrap/>
        <w:overflowPunct/>
        <w:topLinePunct w:val="0"/>
        <w:autoSpaceDE/>
        <w:autoSpaceDN/>
        <w:bidi w:val="0"/>
        <w:adjustRightInd/>
        <w:snapToGrid/>
        <w:spacing w:line="600" w:lineRule="exact"/>
        <w:ind w:leftChars="0" w:left="0" w:firstLineChars="200" w:firstLine="640"/>
        <w:textAlignment w:val="baseline"/>
        <w:rPr>
          <w:rFonts w:ascii="Times New Roman" w:eastAsia="方正仿宋_GBK" w:cs="Times New Roman" w:hAnsi="Times New Roman"/>
          <w:sz w:val="32"/>
          <w:szCs w:val="32"/>
        </w:rPr>
      </w:pPr>
      <w:r>
        <w:rPr>
          <w:rFonts w:ascii="Times New Roman" w:eastAsia="方正仿宋_GBK" w:cs="Times New Roman" w:hAnsi="Times New Roman"/>
          <w:color w:val="000000"/>
          <w:sz w:val="32"/>
          <w:szCs w:val="32"/>
        </w:rPr>
        <w:t>以习近平新时代中国特色社会主义思想为指导，全面贯彻党的十九大和十九届二中、三中、四中、五中全会精神，深化落实习近平总书记对重庆提出的营造良好政治生态，坚持“两点”定位、“两地”“两高”目标，发挥“三个作用”和推动成渝地区双城经济圈建设等重要指示要求，牢固树立“绿水青山就是金山银山”理念，坚决贯彻“共抓大保护、不搞大开发”方针，统筹山水林田湖草系统治理，把保护耕地与造林绿化、生态林与经济林培育、消落带治理与林带建设、自然恢复与人工修复统筹结合起来，整体谋划长江干流和主要支流两岸生态廊道建设，着力增加江河两岸植被覆盖，丰富生物多样性，促进自然生态系统质量的整体改善，增强生态产品供给能力和经济效益，提升益林、护山、固土、涵水、拦污、维护生境等生态屏障综合功能，有力推动长江上游重要生态屏障和山清水秀美丽之地建设，为成渝地区双城经济圈建设提供重要的生态支撑。</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outlineLvl w:val="1"/>
        <w:rPr>
          <w:rFonts w:ascii="Times New Roman" w:eastAsia="方正楷体_GBK" w:cs="Times New Roman" w:hAnsi="Times New Roman"/>
          <w:sz w:val="32"/>
          <w:szCs w:val="32"/>
        </w:rPr>
      </w:pPr>
      <w:r>
        <w:rPr>
          <w:rFonts w:ascii="Times New Roman" w:eastAsia="方正楷体_GBK" w:cs="Times New Roman" w:hAnsi="Times New Roman"/>
          <w:sz w:val="32"/>
          <w:szCs w:val="32"/>
        </w:rPr>
        <w:fldChar w:fldCharType="begin"/>
      </w:r>
      <w:r>
        <w:instrText>HYPERLINK  \l "_Toc19127"</w:instrText>
      </w:r>
      <w:r>
        <w:rPr>
          <w:rFonts w:ascii="Times New Roman" w:eastAsia="方正楷体_GBK" w:cs="Times New Roman" w:hAnsi="Times New Roman"/>
          <w:sz w:val="32"/>
          <w:szCs w:val="32"/>
        </w:rPr>
        <w:fldChar w:fldCharType="separate"/>
      </w:r>
      <w:bookmarkStart w:id="25" w:name="_Toc44272731"/>
      <w:r>
        <w:rPr>
          <w:rFonts w:ascii="Times New Roman" w:eastAsia="方正楷体_GBK" w:cs="Times New Roman" w:hAnsi="Times New Roman"/>
          <w:sz w:val="32"/>
          <w:szCs w:val="32"/>
        </w:rPr>
        <w:t>（二）基本原则</w:t>
      </w:r>
      <w:r>
        <w:rPr>
          <w:rFonts w:ascii="Times New Roman" w:eastAsia="方正楷体_GBK" w:cs="Times New Roman" w:hAnsi="Times New Roman"/>
          <w:sz w:val="32"/>
          <w:szCs w:val="32"/>
        </w:rPr>
        <w:fldChar w:fldCharType="end"/>
      </w:r>
      <w:bookmarkEnd w:id="25"/>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——尊重自然，和谐共生。坚持人与自然和谐共生，遵从自然生态系统演替规律和内在机理，落实保护优先、自然恢复为主、人工修复相结合的方针，统筹山水林田湖草系统治理。</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——保护生态，保障民生。正确处理好保护与发展、生态建设与耕地保护的关系，高度关注群众生产、生活问题，引导调整农业产业结构，发展绿色生态产业，切实保护江河两岸生态环境。</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——统筹推进，注重实效。坚持因地制宜、适地适树、良种良法，加强城乡统筹、区域协同，推动绿化与美化、生态与产业、林相与品相相结合，努力实现生态美、产业兴、百姓富有机统一。</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——政府主导，社会参与。党委统一领导，政府负责实施，强化政策保障，创新完善机制，加强科技支撑，鼓励和引导社会力量参与建设工作。</w:t>
      </w:r>
    </w:p>
    <w:p>
      <w:pPr>
        <w:spacing w:line="600" w:lineRule="exact"/>
        <w:ind w:firstLineChars="200" w:firstLine="640"/>
        <w:rPr>
          <w:rFonts w:ascii="Times New Roman" w:eastAsia="方正仿宋_GBK" w:cs="Times New Roman" w:hAnsi="Times New Roman"/>
          <w:color w:val="000000"/>
          <w:kern w:val="0"/>
          <w:sz w:val="32"/>
          <w:szCs w:val="32"/>
        </w:rPr>
      </w:pPr>
      <w:r>
        <w:rPr>
          <w:rFonts w:ascii="Times New Roman" w:eastAsia="方正仿宋_GBK" w:cs="Times New Roman" w:hAnsi="Times New Roman"/>
          <w:color w:val="000000"/>
          <w:sz w:val="32"/>
          <w:szCs w:val="32"/>
        </w:rPr>
        <w:t>——依靠科技、量质并重。</w:t>
      </w:r>
      <w:r>
        <w:rPr>
          <w:rFonts w:ascii="Times New Roman" w:eastAsia="方正仿宋_GBK" w:cs="Times New Roman" w:hAnsi="Times New Roman"/>
          <w:color w:val="000000"/>
          <w:kern w:val="0"/>
          <w:sz w:val="32"/>
          <w:szCs w:val="32"/>
        </w:rPr>
        <w:t>依据原有地形微小生境，根据立地、气候等因子，科学选择树种，坚持良种壮苗，优先使用乡土树种，构建物种丰富多样的近自然地带性植被群落结构，形成混交、复层、异龄、稳定的生态系统。</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outlineLvl w:val="1"/>
        <w:rPr>
          <w:rFonts w:ascii="Times New Roman" w:eastAsia="方正楷体_GBK" w:cs="Times New Roman" w:hAnsi="Times New Roman"/>
          <w:sz w:val="32"/>
          <w:szCs w:val="32"/>
        </w:rPr>
      </w:pPr>
      <w:r>
        <w:rPr>
          <w:rFonts w:ascii="Times New Roman" w:eastAsia="方正楷体_GBK" w:cs="Times New Roman" w:hAnsi="Times New Roman"/>
          <w:sz w:val="32"/>
          <w:szCs w:val="32"/>
        </w:rPr>
        <w:fldChar w:fldCharType="begin"/>
      </w:r>
      <w:r>
        <w:instrText>HYPERLINK  \l "_Toc6487"</w:instrText>
      </w:r>
      <w:r>
        <w:rPr>
          <w:rFonts w:ascii="Times New Roman" w:eastAsia="方正楷体_GBK" w:cs="Times New Roman" w:hAnsi="Times New Roman"/>
          <w:sz w:val="32"/>
          <w:szCs w:val="32"/>
        </w:rPr>
        <w:fldChar w:fldCharType="separate"/>
      </w:r>
      <w:bookmarkStart w:id="26" w:name="_Toc44272732"/>
      <w:r>
        <w:rPr>
          <w:rFonts w:ascii="Times New Roman" w:eastAsia="方正楷体_GBK" w:cs="Times New Roman" w:hAnsi="Times New Roman"/>
          <w:sz w:val="32"/>
          <w:szCs w:val="32"/>
        </w:rPr>
        <w:t>（三）实施范围</w:t>
      </w:r>
      <w:r>
        <w:rPr>
          <w:rFonts w:ascii="Times New Roman" w:eastAsia="方正楷体_GBK" w:cs="Times New Roman" w:hAnsi="Times New Roman"/>
          <w:sz w:val="32"/>
          <w:szCs w:val="32"/>
        </w:rPr>
        <w:fldChar w:fldCharType="end"/>
      </w:r>
      <w:bookmarkEnd w:id="26"/>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rPr>
          <w:rFonts w:ascii="Times New Roman" w:eastAsia="方正仿宋_GBK" w:cs="Times New Roman" w:hAnsi="Times New Roman"/>
          <w:sz w:val="32"/>
          <w:szCs w:val="32"/>
        </w:rPr>
      </w:pPr>
      <w:r>
        <w:rPr>
          <w:rFonts w:ascii="Times New Roman" w:eastAsia="方正仿宋_GBK" w:cs="Times New Roman" w:hAnsi="Times New Roman"/>
          <w:sz w:val="32"/>
          <w:szCs w:val="32"/>
        </w:rPr>
        <w:t>长江干流及三峡库区回水区，江津段两岸第一层山脊线（或平缓地区江河两岸外1000米左右）范围内，面积7.87万亩，主要涉及全区长江沿岸几江街道、鼎山街道、圣泉街道、德感街道、石蟆镇、朱杨镇、石门镇、白沙镇、龙华镇、油溪镇、先锋镇、支坪镇、珞璜镇和綦河沿岸的西湖镇共14个街镇。</w:t>
      </w:r>
    </w:p>
    <w:p>
      <w:pPr>
        <w:pStyle w:val="21"/>
        <w:tabs>
          <w:tab w:val="right" w:leader="dot" w:pos="10253"/>
        </w:tabs>
        <w:spacing w:line="360" w:lineRule="auto"/>
        <w:ind w:leftChars="136" w:left="424" w:hangingChars="66" w:hanging="138"/>
        <w:jc w:val="center"/>
        <w:textAlignment w:val="baseline"/>
        <w:rPr>
          <w:rFonts w:ascii="Times New Roman" w:eastAsia="方正楷体_GBK" w:cs="Times New Roman" w:hAnsi="Times New Roman"/>
          <w:sz w:val="28"/>
          <w:szCs w:val="28"/>
        </w:rPr>
      </w:pPr>
      <w:r>
        <w:rPr>
          <w:rFonts w:ascii="Times New Roman" w:cs="Times New Roman" w:hAnsi="Times New Roman"/>
        </w:rPr>
        <w:drawing>
          <wp:inline distT="0" distB="0" distL="114300" distR="114300">
            <wp:extent cx="4406265" cy="3949700"/>
            <wp:effectExtent l="0" t="0" r="0" b="0"/>
            <wp:docPr id="11" name="图片 11"/>
            <wp:cNvGraphicFramePr>
              <a:graphicFrameLocks noChangeAspect="1"/>
            </wp:cNvGraphicFramePr>
            <a:graphic>
              <a:graphicData uri="http://schemas.openxmlformats.org/drawingml/2006/picture">
                <pic:pic>
                  <pic:nvPicPr>
                    <pic:cNvPr id="13" name="图片 13"/>
                    <pic:cNvPicPr/>
                  </pic:nvPicPr>
                  <pic:blipFill>
                    <a:blip r:embed="rId9"/>
                    <a:stretch>
                      <a:fillRect/>
                    </a:stretch>
                  </pic:blipFill>
                  <pic:spPr>
                    <a:xfrm rot="0">
                      <a:off x="0" y="0"/>
                      <a:ext cx="4406265" cy="3949700"/>
                    </a:xfrm>
                    <a:prstGeom prst="rect"/>
                    <a:noFill/>
                    <a:ln w="9525" cmpd="sng" cap="flat">
                      <a:noFill/>
                      <a:prstDash val="solid"/>
                      <a:round/>
                    </a:ln>
                  </pic:spPr>
                </pic:pic>
              </a:graphicData>
            </a:graphic>
          </wp:inline>
        </w:drawing>
      </w:r>
    </w:p>
    <w:p>
      <w:pPr>
        <w:spacing w:line="360" w:lineRule="auto"/>
        <w:ind w:firstLineChars="200" w:firstLine="480"/>
        <w:jc w:val="center"/>
        <w:outlineLvl w:val="1"/>
        <w:rPr>
          <w:rFonts w:ascii="Times New Roman" w:eastAsia="方正楷体_GBK" w:cs="Times New Roman" w:hAnsi="Times New Roman"/>
          <w:b/>
          <w:sz w:val="24"/>
        </w:rPr>
      </w:pPr>
      <w:bookmarkStart w:id="27" w:name="_Toc44272733"/>
      <w:r>
        <w:rPr>
          <w:rFonts w:ascii="Times New Roman" w:eastAsia="方正楷体_GBK" w:cs="Times New Roman" w:hAnsi="Times New Roman"/>
          <w:b/>
          <w:sz w:val="24"/>
        </w:rPr>
        <w:t>图4：项目规划范围示意图</w:t>
      </w:r>
      <w:bookmarkEnd w:id="27"/>
    </w:p>
    <w:p>
      <w:pPr>
        <w:spacing w:line="600" w:lineRule="exact"/>
        <w:ind w:firstLineChars="200" w:firstLine="640"/>
        <w:outlineLvl w:val="1"/>
        <w:rPr>
          <w:rFonts w:ascii="Times New Roman" w:eastAsia="方正楷体_GBK" w:cs="Times New Roman" w:hAnsi="Times New Roman"/>
          <w:sz w:val="32"/>
          <w:szCs w:val="32"/>
        </w:rPr>
      </w:pPr>
      <w:r>
        <w:rPr>
          <w:rFonts w:ascii="Times New Roman" w:eastAsia="方正楷体_GBK" w:cs="Times New Roman" w:hAnsi="Times New Roman"/>
          <w:sz w:val="32"/>
          <w:szCs w:val="32"/>
        </w:rPr>
        <w:fldChar w:fldCharType="begin"/>
      </w:r>
      <w:r>
        <w:instrText>HYPERLINK  \l "_Toc8672"</w:instrText>
      </w:r>
      <w:r>
        <w:rPr>
          <w:rFonts w:ascii="Times New Roman" w:eastAsia="方正楷体_GBK" w:cs="Times New Roman" w:hAnsi="Times New Roman"/>
          <w:sz w:val="32"/>
          <w:szCs w:val="32"/>
        </w:rPr>
        <w:fldChar w:fldCharType="separate"/>
      </w:r>
      <w:bookmarkStart w:id="28" w:name="_Toc44272734"/>
      <w:r>
        <w:rPr>
          <w:rFonts w:ascii="Times New Roman" w:eastAsia="方正楷体_GBK" w:cs="Times New Roman" w:hAnsi="Times New Roman"/>
          <w:sz w:val="32"/>
          <w:szCs w:val="32"/>
        </w:rPr>
        <w:t>（四）总体目标</w:t>
      </w:r>
      <w:r>
        <w:rPr>
          <w:rFonts w:ascii="Times New Roman" w:eastAsia="方正楷体_GBK" w:cs="Times New Roman" w:hAnsi="Times New Roman"/>
          <w:sz w:val="32"/>
          <w:szCs w:val="32"/>
        </w:rPr>
        <w:fldChar w:fldCharType="end"/>
      </w:r>
      <w:bookmarkEnd w:id="28"/>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sz w:val="32"/>
          <w:szCs w:val="32"/>
        </w:rPr>
      </w:pPr>
      <w:r>
        <w:rPr>
          <w:rFonts w:ascii="Times New Roman" w:eastAsia="方正仿宋_GBK" w:cs="Times New Roman" w:hAnsi="Times New Roman"/>
          <w:color w:val="000000"/>
          <w:sz w:val="32"/>
          <w:szCs w:val="32"/>
        </w:rPr>
        <w:t xml:space="preserve"> 在全面完成国土绿化提升行动3年目标任务的基础上，用10年左右时间实施江津区“两岸青山·千里林带”建设任务</w:t>
      </w:r>
      <w:r>
        <w:rPr>
          <w:rFonts w:ascii="Times New Roman" w:eastAsia="方正仿宋_GBK" w:cs="Times New Roman" w:hAnsi="Times New Roman"/>
          <w:sz w:val="32"/>
          <w:szCs w:val="32"/>
        </w:rPr>
        <w:t>7.87万亩，包括：森林数量提升2.15万亩、质量提升5.72万亩。其中，2021-2025年攻坚阶段，补植补造4.9万亩（森林数量提升2.15万亩、质量提升2.75万亩）；2026-2030年巩固阶段，森林质量提升2.97万亩。</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通过生态空间挖潜力补天窗、生产空间调结构还林草、生活空间增绿量添色彩，力争到2030年，实施范围内森林覆盖率达到</w:t>
      </w:r>
      <w:r>
        <w:rPr>
          <w:rFonts w:ascii="Times New Roman" w:eastAsia="方正仿宋_GBK" w:cs="Times New Roman" w:hAnsi="Times New Roman"/>
          <w:sz w:val="32"/>
          <w:szCs w:val="32"/>
        </w:rPr>
        <w:t>并稳定在52%以上，</w:t>
      </w:r>
      <w:r>
        <w:rPr>
          <w:rFonts w:ascii="Times New Roman" w:eastAsia="方正仿宋_GBK" w:cs="Times New Roman" w:hAnsi="Times New Roman"/>
          <w:color w:val="000000"/>
          <w:sz w:val="32"/>
          <w:szCs w:val="32"/>
        </w:rPr>
        <w:t>自然生态资源得到严格保护，水土流失得到有效遏制，生物多样性更加丰富，益林、护山、固土、涵水、拦污、维护生境等生态屏障综合功能更加凸显，努力实现林相季相变化多彩、成片零星相间配置、疏密高低错落有致，逐步在重庆长江江津段两岸形成“一江碧水、层林叠翠、四季花漾、瓜果飘香”的千里林带美景.</w:t>
      </w: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000000"/>
          <w:sz w:val="28"/>
          <w:szCs w:val="28"/>
        </w:rPr>
      </w:pPr>
    </w:p>
    <w:tbl>
      <w:tblPr>
        <w:jc w:val="left"/>
        <w:tblInd w:w="517" w:type="dxa"/>
        <w:tblW w:w="7671" w:type="dxa"/>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
      <w:tblGrid>
        <w:gridCol w:w="1433"/>
        <w:gridCol w:w="1419"/>
        <w:gridCol w:w="1984"/>
        <w:gridCol w:w="1843"/>
        <w:gridCol w:w="992"/>
      </w:tblGrid>
      <w:tr>
        <w:trPr>
          <w:trHeight w:val="450"/>
        </w:trPr>
        <w:tc>
          <w:tcPr>
            <w:tcW w:w="7671" w:type="dxa"/>
            <w:gridSpan w:val="5"/>
            <w:tcBorders>
              <w:top w:val="nil"/>
              <w:left w:val="nil"/>
              <w:bottom w:val="single" w:sz="4" w:space="0" w:color="auto"/>
              <w:right w:val="nil"/>
            </w:tcBorders>
            <w:shd w:val="clear" w:color="auto" w:fill="auto"/>
            <w:noWrap/>
            <w:vAlign w:val="center"/>
          </w:tcPr>
          <w:p>
            <w:pPr>
              <w:widowControl/>
              <w:jc w:val="left"/>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表9      各镇街分阶段建设任务情况表     单位：万亩</w:t>
            </w:r>
          </w:p>
        </w:tc>
      </w:tr>
      <w:tr>
        <w:trPr>
          <w:trHeight w:val="397"/>
        </w:trPr>
        <w:tc>
          <w:tcPr>
            <w:tcW w:w="1433" w:type="dxa"/>
            <w:vMerge w:val="restart"/>
            <w:tcBorders>
              <w:top w:val="nil"/>
              <w:left w:val="single" w:sz="4" w:space="0" w:color="auto"/>
              <w:bottom w:val="single" w:sz="4" w:space="0" w:color="auto"/>
              <w:right w:val="single" w:sz="4" w:space="0" w:color="auto"/>
            </w:tcBorders>
            <w:shd w:val="clear" w:color="auto" w:fill="auto"/>
            <w:noWrap/>
            <w:vAlign w:val="center"/>
          </w:tcPr>
          <w:p>
            <w:pPr>
              <w:widowControl/>
              <w:spacing w:line="300" w:lineRule="exact"/>
              <w:jc w:val="left"/>
              <w:rPr>
                <w:rFonts w:ascii="Times New Roman" w:eastAsia="方正楷体_GBK" w:cs="Times New Roman" w:hAnsi="Times New Roman"/>
                <w:b/>
                <w:bCs/>
                <w:kern w:val="0"/>
                <w:sz w:val="22"/>
                <w:szCs w:val="22"/>
              </w:rPr>
            </w:pPr>
            <w:r>
              <w:rPr>
                <w:rFonts w:ascii="Times New Roman" w:eastAsia="方正楷体_GBK" w:cs="Times New Roman" w:hAnsi="Times New Roman"/>
                <w:b/>
                <w:bCs/>
                <w:kern w:val="0"/>
                <w:sz w:val="22"/>
                <w:szCs w:val="22"/>
              </w:rPr>
              <w:t xml:space="preserve">   镇 街</w:t>
            </w:r>
          </w:p>
        </w:tc>
        <w:tc>
          <w:tcPr>
            <w:tcW w:w="1419" w:type="dxa"/>
            <w:vMerge w:val="restart"/>
            <w:tcBorders>
              <w:top w:val="nil"/>
              <w:left w:val="single" w:sz="4" w:space="0" w:color="auto"/>
              <w:bottom w:val="single" w:sz="4" w:space="0" w:color="000000"/>
              <w:right w:val="single" w:sz="4" w:space="0" w:color="auto"/>
            </w:tcBorders>
            <w:shd w:val="clear" w:color="auto" w:fill="auto"/>
            <w:noWrap/>
            <w:vAlign w:val="center"/>
          </w:tcPr>
          <w:p>
            <w:pPr>
              <w:widowControl/>
              <w:spacing w:line="300" w:lineRule="exact"/>
              <w:jc w:val="left"/>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 xml:space="preserve"> 总面积</w:t>
            </w:r>
          </w:p>
        </w:tc>
        <w:tc>
          <w:tcPr>
            <w:tcW w:w="3827" w:type="dxa"/>
            <w:gridSpan w:val="2"/>
            <w:tcBorders>
              <w:top w:val="single" w:sz="4" w:space="0" w:color="auto"/>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分阶段建设规划</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tcPr>
          <w:p>
            <w:pPr>
              <w:widowControl/>
              <w:spacing w:line="300" w:lineRule="exact"/>
              <w:jc w:val="left"/>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 xml:space="preserve"> 备注</w:t>
            </w:r>
          </w:p>
        </w:tc>
      </w:tr>
      <w:tr>
        <w:trPr>
          <w:trHeight w:val="400"/>
        </w:trPr>
        <w:tc>
          <w:tcPr>
            <w:tcW w:w="1433" w:type="dxa"/>
            <w:vMerge/>
            <w:tcBorders>
              <w:top w:val="nil"/>
              <w:left w:val="single" w:sz="4" w:space="0" w:color="auto"/>
              <w:bottom w:val="single" w:sz="4" w:space="0" w:color="auto"/>
              <w:right w:val="single" w:sz="4" w:space="0" w:color="auto"/>
            </w:tcBorders>
            <w:vAlign w:val="center"/>
          </w:tcPr>
          <w:p/>
        </w:tc>
        <w:tc>
          <w:tcPr>
            <w:tcW w:w="1419" w:type="dxa"/>
            <w:vMerge/>
            <w:tcBorders>
              <w:top w:val="nil"/>
              <w:left w:val="single" w:sz="4" w:space="0" w:color="auto"/>
              <w:bottom w:val="single" w:sz="4" w:space="0" w:color="000000"/>
              <w:right w:val="single" w:sz="4" w:space="0" w:color="auto"/>
            </w:tcBorders>
            <w:vAlign w:val="center"/>
          </w:tcPr>
          <w:p/>
        </w:tc>
        <w:tc>
          <w:tcPr>
            <w:tcW w:w="1984" w:type="dxa"/>
            <w:tcBorders>
              <w:top w:val="nil"/>
              <w:left w:val="single" w:sz="4" w:space="0" w:color="auto"/>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2021-2025年</w:t>
            </w:r>
          </w:p>
        </w:tc>
        <w:tc>
          <w:tcPr>
            <w:tcW w:w="1843" w:type="dxa"/>
            <w:tcBorders>
              <w:top w:val="nil"/>
              <w:left w:val="single" w:sz="4" w:space="0" w:color="auto"/>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2026-2030年</w:t>
            </w:r>
          </w:p>
        </w:tc>
        <w:tc>
          <w:tcPr>
            <w:tcW w:w="992" w:type="dxa"/>
            <w:vMerge/>
            <w:tcBorders>
              <w:top w:val="nil"/>
              <w:left w:val="single" w:sz="4" w:space="0" w:color="auto"/>
              <w:bottom w:val="single" w:sz="4" w:space="0" w:color="000000"/>
              <w:right w:val="single" w:sz="4" w:space="0" w:color="auto"/>
            </w:tcBorders>
            <w:vAlign w:val="center"/>
          </w:tcP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b/>
                <w:color w:val="000000"/>
                <w:kern w:val="0"/>
                <w:sz w:val="24"/>
              </w:rPr>
            </w:pPr>
            <w:r>
              <w:rPr>
                <w:rFonts w:ascii="Times New Roman" w:eastAsia="方正楷体_GBK" w:cs="Times New Roman" w:hAnsi="Times New Roman"/>
                <w:b/>
                <w:color w:val="000000"/>
                <w:kern w:val="0"/>
                <w:sz w:val="24"/>
              </w:rPr>
              <w:t xml:space="preserve">  合计</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b/>
                <w:color w:val="000000"/>
                <w:kern w:val="0"/>
                <w:sz w:val="24"/>
              </w:rPr>
            </w:pPr>
            <w:r>
              <w:rPr>
                <w:rFonts w:ascii="Times New Roman" w:eastAsia="宋体" w:cs="Times New Roman" w:hAnsi="Times New Roman"/>
                <w:b/>
                <w:color w:val="000000"/>
                <w:kern w:val="0"/>
                <w:sz w:val="24"/>
              </w:rPr>
              <w:t xml:space="preserve">7.87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b/>
                <w:color w:val="000000"/>
                <w:kern w:val="0"/>
                <w:sz w:val="24"/>
              </w:rPr>
            </w:pPr>
            <w:r>
              <w:rPr>
                <w:rFonts w:ascii="Times New Roman" w:eastAsia="宋体" w:cs="Times New Roman" w:hAnsi="Times New Roman"/>
                <w:color w:val="000000"/>
                <w:kern w:val="0"/>
                <w:sz w:val="20"/>
                <w:szCs w:val="20"/>
              </w:rPr>
              <w:t>4.9</w:t>
            </w:r>
          </w:p>
        </w:tc>
        <w:tc>
          <w:tcPr>
            <w:tcW w:w="1843"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b/>
                <w:color w:val="000000"/>
                <w:kern w:val="0"/>
                <w:sz w:val="24"/>
              </w:rPr>
            </w:pPr>
            <w:r>
              <w:rPr>
                <w:rFonts w:ascii="Times New Roman" w:eastAsia="宋体" w:cs="Times New Roman" w:hAnsi="Times New Roman"/>
                <w:color w:val="000000"/>
                <w:kern w:val="0"/>
                <w:sz w:val="20"/>
                <w:szCs w:val="20"/>
              </w:rPr>
              <w:t xml:space="preserve">2.97 </w:t>
            </w: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color w:val="000000"/>
                <w:kern w:val="0"/>
                <w:sz w:val="24"/>
              </w:rPr>
            </w:pPr>
            <w:r>
              <w:rPr>
                <w:rFonts w:ascii="Times New Roman" w:eastAsia="方正楷体_GBK" w:cs="Times New Roman" w:hAnsi="Times New Roman"/>
                <w:b/>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白沙镇</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1.16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1.06</w:t>
            </w:r>
          </w:p>
        </w:tc>
        <w:tc>
          <w:tcPr>
            <w:tcW w:w="1843"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 xml:space="preserve">0.10 </w:t>
            </w: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鼎山街道</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0.20 </w:t>
            </w:r>
          </w:p>
        </w:tc>
        <w:tc>
          <w:tcPr>
            <w:tcW w:w="1984" w:type="dxa"/>
            <w:tcBorders>
              <w:top w:val="nil"/>
              <w:left w:val="nil"/>
              <w:bottom w:val="single" w:sz="4" w:space="0" w:color="auto"/>
              <w:right w:val="single" w:sz="4" w:space="0" w:color="auto"/>
            </w:tcBorders>
            <w:shd w:val="clear" w:color="auto" w:fill="auto"/>
            <w:vAlign w:val="center"/>
          </w:tcPr>
          <w:p>
            <w:pPr>
              <w:jc w:val="center"/>
              <w:rPr>
                <w:rFonts w:ascii="Times New Roman" w:eastAsia="宋体" w:cs="Times New Roman" w:hAnsi="Times New Roman"/>
                <w:color w:val="000000"/>
                <w:kern w:val="0"/>
                <w:sz w:val="24"/>
              </w:rPr>
            </w:pPr>
          </w:p>
        </w:tc>
        <w:tc>
          <w:tcPr>
            <w:tcW w:w="1843"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 xml:space="preserve">0.10 </w:t>
            </w: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几江街道</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0.20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0.1</w:t>
            </w:r>
          </w:p>
        </w:tc>
        <w:tc>
          <w:tcPr>
            <w:tcW w:w="1843"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 xml:space="preserve">0.10 </w:t>
            </w: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龙华镇</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0.64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0.1</w:t>
            </w:r>
          </w:p>
        </w:tc>
        <w:tc>
          <w:tcPr>
            <w:tcW w:w="1843"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 xml:space="preserve">0.30 </w:t>
            </w: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珞璜镇</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0.71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0.34</w:t>
            </w:r>
          </w:p>
        </w:tc>
        <w:tc>
          <w:tcPr>
            <w:tcW w:w="1843"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 xml:space="preserve">0.70 </w:t>
            </w: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圣泉街道</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0.42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0.01</w:t>
            </w:r>
          </w:p>
        </w:tc>
        <w:tc>
          <w:tcPr>
            <w:tcW w:w="1843"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石蟆镇</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1.70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0.42</w:t>
            </w:r>
          </w:p>
        </w:tc>
        <w:tc>
          <w:tcPr>
            <w:tcW w:w="1843"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 xml:space="preserve">1.00 </w:t>
            </w: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石门镇</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0.35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0.7</w:t>
            </w:r>
          </w:p>
        </w:tc>
        <w:tc>
          <w:tcPr>
            <w:tcW w:w="1843" w:type="dxa"/>
            <w:tcBorders>
              <w:top w:val="nil"/>
              <w:left w:val="nil"/>
              <w:bottom w:val="single" w:sz="4" w:space="0" w:color="auto"/>
              <w:right w:val="single" w:sz="4" w:space="0" w:color="auto"/>
            </w:tcBorders>
            <w:shd w:val="clear" w:color="auto" w:fill="auto"/>
            <w:vAlign w:val="center"/>
          </w:tcPr>
          <w:p>
            <w:pPr>
              <w:jc w:val="center"/>
              <w:rPr>
                <w:rFonts w:ascii="Times New Roman" w:eastAsia="宋体" w:cs="Times New Roman" w:hAnsi="Times New Roman"/>
                <w:color w:val="000000"/>
                <w:kern w:val="0"/>
                <w:sz w:val="24"/>
              </w:rPr>
            </w:pP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西湖镇</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0.10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0.35</w:t>
            </w:r>
          </w:p>
        </w:tc>
        <w:tc>
          <w:tcPr>
            <w:tcW w:w="1843" w:type="dxa"/>
            <w:tcBorders>
              <w:top w:val="nil"/>
              <w:left w:val="nil"/>
              <w:bottom w:val="single" w:sz="4" w:space="0" w:color="auto"/>
              <w:right w:val="single" w:sz="4" w:space="0" w:color="auto"/>
            </w:tcBorders>
            <w:shd w:val="clear" w:color="auto" w:fill="auto"/>
            <w:vAlign w:val="center"/>
          </w:tcPr>
          <w:p>
            <w:pPr>
              <w:jc w:val="center"/>
              <w:rPr>
                <w:rFonts w:ascii="Times New Roman" w:eastAsia="宋体" w:cs="Times New Roman" w:hAnsi="Times New Roman"/>
                <w:color w:val="000000"/>
                <w:kern w:val="0"/>
                <w:sz w:val="24"/>
              </w:rPr>
            </w:pP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先锋镇</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0.10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0.1</w:t>
            </w:r>
          </w:p>
        </w:tc>
        <w:tc>
          <w:tcPr>
            <w:tcW w:w="1843" w:type="dxa"/>
            <w:tcBorders>
              <w:top w:val="nil"/>
              <w:left w:val="nil"/>
              <w:bottom w:val="single" w:sz="4" w:space="0" w:color="auto"/>
              <w:right w:val="single" w:sz="4" w:space="0" w:color="auto"/>
            </w:tcBorders>
            <w:shd w:val="clear" w:color="auto" w:fill="auto"/>
            <w:vAlign w:val="center"/>
          </w:tcPr>
          <w:p>
            <w:pPr>
              <w:jc w:val="center"/>
              <w:rPr>
                <w:rFonts w:ascii="Times New Roman" w:eastAsia="宋体" w:cs="Times New Roman" w:hAnsi="Times New Roman"/>
                <w:color w:val="000000"/>
                <w:kern w:val="0"/>
                <w:sz w:val="24"/>
              </w:rPr>
            </w:pP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油溪镇</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0.60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0.1</w:t>
            </w:r>
          </w:p>
        </w:tc>
        <w:tc>
          <w:tcPr>
            <w:tcW w:w="1843"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 xml:space="preserve">0.30 </w:t>
            </w: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支坪镇</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1.27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0.3</w:t>
            </w:r>
          </w:p>
        </w:tc>
        <w:tc>
          <w:tcPr>
            <w:tcW w:w="1843"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 xml:space="preserve">0.37 </w:t>
            </w: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397"/>
        </w:trPr>
        <w:tc>
          <w:tcPr>
            <w:tcW w:w="1433"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朱杨镇</w:t>
            </w:r>
          </w:p>
        </w:tc>
        <w:tc>
          <w:tcPr>
            <w:tcW w:w="141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xml:space="preserve">0.42 </w:t>
            </w:r>
          </w:p>
        </w:tc>
        <w:tc>
          <w:tcPr>
            <w:tcW w:w="1984"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0"/>
                <w:szCs w:val="20"/>
              </w:rPr>
              <w:t>0.9</w:t>
            </w:r>
          </w:p>
        </w:tc>
        <w:tc>
          <w:tcPr>
            <w:tcW w:w="1843" w:type="dxa"/>
            <w:tcBorders>
              <w:top w:val="nil"/>
              <w:left w:val="nil"/>
              <w:bottom w:val="single" w:sz="4" w:space="0" w:color="auto"/>
              <w:right w:val="single" w:sz="4" w:space="0" w:color="auto"/>
            </w:tcBorders>
            <w:shd w:val="clear" w:color="auto" w:fill="auto"/>
            <w:vAlign w:val="center"/>
          </w:tcPr>
          <w:p>
            <w:pPr>
              <w:widowControl/>
              <w:jc w:val="center"/>
              <w:textAlignment w:val="center"/>
              <w:rPr>
                <w:rFonts w:ascii="Times New Roman" w:eastAsia="宋体" w:cs="Times New Roman" w:hAnsi="Times New Roman"/>
                <w:color w:val="000000"/>
                <w:kern w:val="0"/>
                <w:sz w:val="24"/>
              </w:rPr>
            </w:pPr>
          </w:p>
        </w:tc>
        <w:tc>
          <w:tcPr>
            <w:tcW w:w="992"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bl>
    <w:p>
      <w:pPr>
        <w:pStyle w:val="22"/>
        <w:shd w:val="clear" w:color="auto" w:fill="FFFFFF"/>
        <w:spacing w:before="0" w:beforeAutospacing="0" w:after="0" w:afterAutospacing="0" w:line="360" w:lineRule="auto"/>
        <w:ind w:left="0"/>
        <w:jc w:val="both"/>
        <w:rPr>
          <w:rFonts w:ascii="Times New Roman" w:eastAsia="方正楷体_GBK" w:cs="Times New Roman" w:hAnsi="Times New Roman"/>
          <w:b/>
          <w:color w:val="000000"/>
        </w:rPr>
      </w:pPr>
    </w:p>
    <w:p>
      <w:pPr>
        <w:pStyle w:val="22"/>
        <w:shd w:val="clear" w:color="auto" w:fill="FFFFFF"/>
        <w:spacing w:before="0" w:beforeAutospacing="0" w:after="0" w:afterAutospacing="0" w:line="360" w:lineRule="auto"/>
        <w:ind w:firstLineChars="300" w:firstLine="720"/>
        <w:jc w:val="both"/>
        <w:rPr>
          <w:rFonts w:ascii="Times New Roman" w:eastAsia="方正楷体_GBK" w:cs="Times New Roman" w:hAnsi="Times New Roman"/>
          <w:b/>
          <w:color w:val="000000"/>
        </w:rPr>
      </w:pPr>
      <w:r>
        <w:rPr>
          <w:rFonts w:ascii="Times New Roman" w:eastAsia="方正楷体_GBK" w:cs="Times New Roman" w:hAnsi="Times New Roman"/>
          <w:b/>
          <w:color w:val="000000"/>
        </w:rPr>
        <w:t>表10            各项目分阶段实施情况表          单位：万亩</w:t>
      </w:r>
    </w:p>
    <w:tbl>
      <w:tblPr>
        <w:jc w:val="left"/>
        <w:tblInd w:w="250" w:type="dxa"/>
        <w:tblW w:w="8505" w:type="dxa"/>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
      <w:tblGrid>
        <w:gridCol w:w="2835"/>
        <w:gridCol w:w="992"/>
        <w:gridCol w:w="851"/>
        <w:gridCol w:w="1559"/>
        <w:gridCol w:w="1559"/>
        <w:gridCol w:w="709"/>
      </w:tblGrid>
      <w:tr>
        <w:trPr>
          <w:trHeight w:val="414"/>
          <w:tblHeader/>
        </w:trPr>
        <w:tc>
          <w:tcPr>
            <w:tcW w:w="283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pPr>
              <w:widowControl/>
              <w:spacing w:line="300" w:lineRule="exact"/>
              <w:jc w:val="left"/>
              <w:rPr>
                <w:rFonts w:ascii="Times New Roman" w:eastAsia="方正楷体_GBK" w:cs="Times New Roman" w:hAnsi="Times New Roman"/>
                <w:b/>
                <w:bCs/>
                <w:kern w:val="0"/>
                <w:sz w:val="22"/>
                <w:szCs w:val="22"/>
              </w:rPr>
            </w:pPr>
            <w:r>
              <w:rPr>
                <w:rFonts w:ascii="Times New Roman" w:eastAsia="方正楷体_GBK" w:cs="Times New Roman" w:hAnsi="Times New Roman"/>
                <w:b/>
                <w:bCs/>
                <w:kern w:val="0"/>
                <w:sz w:val="22"/>
                <w:szCs w:val="22"/>
              </w:rPr>
              <w:t>项 目</w:t>
            </w:r>
          </w:p>
        </w:tc>
        <w:tc>
          <w:tcPr>
            <w:tcW w:w="992" w:type="dxa"/>
            <w:vMerge w:val="restart"/>
            <w:tcBorders>
              <w:top w:val="single" w:sz="4" w:space="0" w:color="auto"/>
              <w:left w:val="single" w:sz="4" w:space="0" w:color="auto"/>
              <w:bottom w:val="nil"/>
              <w:right w:val="single" w:sz="4" w:space="0" w:color="auto"/>
            </w:tcBorders>
            <w:shd w:val="clear" w:color="auto" w:fill="auto"/>
            <w:vAlign w:val="center"/>
          </w:tcPr>
          <w:p>
            <w:pPr>
              <w:widowControl/>
              <w:spacing w:line="300" w:lineRule="exact"/>
              <w:jc w:val="left"/>
              <w:rPr>
                <w:rFonts w:ascii="Times New Roman" w:eastAsia="方正楷体_GBK" w:cs="Times New Roman" w:hAnsi="Times New Roman"/>
                <w:b/>
                <w:bCs/>
                <w:kern w:val="0"/>
                <w:sz w:val="22"/>
                <w:szCs w:val="22"/>
              </w:rPr>
            </w:pPr>
            <w:r>
              <w:rPr>
                <w:rFonts w:ascii="Times New Roman" w:eastAsia="方正楷体_GBK" w:cs="Times New Roman" w:hAnsi="Times New Roman"/>
                <w:b/>
                <w:bCs/>
                <w:kern w:val="0"/>
                <w:sz w:val="22"/>
                <w:szCs w:val="22"/>
              </w:rPr>
              <w:t>总面积</w:t>
            </w:r>
          </w:p>
        </w:tc>
        <w:tc>
          <w:tcPr>
            <w:tcW w:w="3969" w:type="dxa"/>
            <w:gridSpan w:val="3"/>
            <w:tcBorders>
              <w:top w:val="single" w:sz="4" w:space="0" w:color="auto"/>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
                <w:bCs/>
                <w:kern w:val="0"/>
                <w:sz w:val="22"/>
                <w:szCs w:val="22"/>
              </w:rPr>
            </w:pPr>
            <w:r>
              <w:rPr>
                <w:rFonts w:ascii="Times New Roman" w:eastAsia="方正楷体_GBK" w:cs="Times New Roman" w:hAnsi="Times New Roman"/>
                <w:b/>
                <w:bCs/>
                <w:kern w:val="0"/>
                <w:sz w:val="22"/>
                <w:szCs w:val="22"/>
              </w:rPr>
              <w:t>规划建设</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备注</w:t>
            </w:r>
          </w:p>
        </w:tc>
      </w:tr>
      <w:tr>
        <w:trPr>
          <w:trHeight w:val="495"/>
          <w:tblHeader/>
        </w:trPr>
        <w:tc>
          <w:tcPr>
            <w:tcW w:w="2835" w:type="dxa"/>
            <w:vMerge/>
            <w:tcBorders>
              <w:top w:val="single" w:sz="4" w:space="0" w:color="auto"/>
              <w:left w:val="single" w:sz="4" w:space="0" w:color="auto"/>
              <w:bottom w:val="single" w:sz="4" w:space="0" w:color="000000"/>
              <w:right w:val="single" w:sz="4" w:space="0" w:color="auto"/>
            </w:tcBorders>
            <w:vAlign w:val="center"/>
          </w:tcPr>
          <w:p/>
        </w:tc>
        <w:tc>
          <w:tcPr>
            <w:tcW w:w="992" w:type="dxa"/>
            <w:vMerge/>
            <w:tcBorders>
              <w:top w:val="single" w:sz="4" w:space="0" w:color="auto"/>
              <w:left w:val="single" w:sz="4" w:space="0" w:color="auto"/>
              <w:bottom w:val="nil"/>
              <w:right w:val="single" w:sz="4" w:space="0" w:color="auto"/>
            </w:tcBorders>
            <w:vAlign w:val="center"/>
          </w:tcPr>
          <w:p/>
        </w:tc>
        <w:tc>
          <w:tcPr>
            <w:tcW w:w="851" w:type="dxa"/>
            <w:tcBorders>
              <w:top w:val="nil"/>
              <w:left w:val="nil"/>
              <w:bottom w:val="single" w:sz="4" w:space="0" w:color="auto"/>
              <w:right w:val="single" w:sz="4" w:space="0" w:color="auto"/>
            </w:tcBorders>
            <w:shd w:val="clear" w:color="auto" w:fill="auto"/>
            <w:vAlign w:val="center"/>
          </w:tcPr>
          <w:p>
            <w:pPr>
              <w:widowControl/>
              <w:spacing w:line="300" w:lineRule="exact"/>
              <w:jc w:val="left"/>
              <w:rPr>
                <w:rFonts w:ascii="Times New Roman" w:eastAsia="方正楷体_GBK" w:cs="Times New Roman" w:hAnsi="Times New Roman"/>
                <w:b/>
                <w:bCs/>
                <w:kern w:val="0"/>
                <w:sz w:val="22"/>
                <w:szCs w:val="22"/>
              </w:rPr>
            </w:pPr>
            <w:r>
              <w:rPr>
                <w:rFonts w:ascii="Times New Roman" w:eastAsia="方正楷体_GBK" w:cs="Times New Roman" w:hAnsi="Times New Roman"/>
                <w:b/>
                <w:bCs/>
                <w:kern w:val="0"/>
                <w:sz w:val="22"/>
                <w:szCs w:val="22"/>
              </w:rPr>
              <w:t>合计</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left"/>
              <w:rPr>
                <w:rFonts w:ascii="Times New Roman" w:eastAsia="方正楷体_GBK" w:cs="Times New Roman" w:hAnsi="Times New Roman"/>
                <w:b/>
                <w:bCs/>
                <w:kern w:val="0"/>
                <w:sz w:val="22"/>
                <w:szCs w:val="22"/>
              </w:rPr>
            </w:pPr>
            <w:r>
              <w:rPr>
                <w:rFonts w:ascii="Times New Roman" w:eastAsia="方正楷体_GBK" w:cs="Times New Roman" w:hAnsi="Times New Roman"/>
                <w:b/>
                <w:bCs/>
                <w:kern w:val="0"/>
                <w:sz w:val="22"/>
                <w:szCs w:val="22"/>
              </w:rPr>
              <w:t>2021-2025年</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left"/>
              <w:rPr>
                <w:rFonts w:ascii="Times New Roman" w:eastAsia="方正楷体_GBK" w:cs="Times New Roman" w:hAnsi="Times New Roman"/>
                <w:b/>
                <w:bCs/>
                <w:kern w:val="0"/>
                <w:sz w:val="22"/>
                <w:szCs w:val="22"/>
              </w:rPr>
            </w:pPr>
            <w:r>
              <w:rPr>
                <w:rFonts w:ascii="Times New Roman" w:eastAsia="方正楷体_GBK" w:cs="Times New Roman" w:hAnsi="Times New Roman"/>
                <w:b/>
                <w:bCs/>
                <w:kern w:val="0"/>
                <w:sz w:val="22"/>
                <w:szCs w:val="22"/>
              </w:rPr>
              <w:t>2026-2030年</w:t>
            </w:r>
          </w:p>
        </w:tc>
        <w:tc>
          <w:tcPr>
            <w:tcW w:w="709" w:type="dxa"/>
            <w:vMerge/>
            <w:tcBorders>
              <w:top w:val="single" w:sz="4" w:space="0" w:color="auto"/>
              <w:left w:val="single" w:sz="4" w:space="0" w:color="auto"/>
              <w:bottom w:val="single" w:sz="4" w:space="0" w:color="000000"/>
              <w:right w:val="single" w:sz="4" w:space="0" w:color="auto"/>
            </w:tcBorders>
            <w:vAlign w:val="center"/>
          </w:tcPr>
          <w:p/>
        </w:tc>
      </w:tr>
      <w:tr>
        <w:trPr>
          <w:trHeight w:val="402"/>
        </w:trPr>
        <w:tc>
          <w:tcPr>
            <w:tcW w:w="2835" w:type="dxa"/>
            <w:tcBorders>
              <w:top w:val="nil"/>
              <w:left w:val="single" w:sz="4" w:space="0" w:color="auto"/>
              <w:bottom w:val="single" w:sz="4" w:space="0" w:color="auto"/>
              <w:right w:val="single" w:sz="4" w:space="0" w:color="auto"/>
            </w:tcBorders>
            <w:shd w:val="clear" w:color="auto" w:fill="auto"/>
            <w:noWrap/>
            <w:vAlign w:val="center"/>
          </w:tcPr>
          <w:p>
            <w:pPr>
              <w:widowControl/>
              <w:spacing w:line="300" w:lineRule="exact"/>
              <w:jc w:val="left"/>
              <w:rPr>
                <w:rFonts w:ascii="Times New Roman" w:eastAsia="方正楷体_GBK" w:cs="Times New Roman" w:hAnsi="Times New Roman"/>
                <w:b/>
                <w:bCs/>
                <w:kern w:val="0"/>
                <w:sz w:val="22"/>
                <w:szCs w:val="22"/>
              </w:rPr>
            </w:pPr>
            <w:r>
              <w:rPr>
                <w:rFonts w:ascii="Times New Roman" w:eastAsia="方正楷体_GBK" w:cs="Times New Roman" w:hAnsi="Times New Roman"/>
                <w:b/>
                <w:bCs/>
                <w:kern w:val="0"/>
                <w:sz w:val="22"/>
                <w:szCs w:val="22"/>
              </w:rPr>
              <w:t>合计</w:t>
            </w:r>
          </w:p>
        </w:tc>
        <w:tc>
          <w:tcPr>
            <w:tcW w:w="992" w:type="dxa"/>
            <w:tcBorders>
              <w:top w:val="single" w:sz="4" w:space="0" w:color="auto"/>
              <w:left w:val="nil"/>
              <w:bottom w:val="single" w:sz="4" w:space="0" w:color="auto"/>
              <w:right w:val="single" w:sz="4" w:space="0" w:color="auto"/>
            </w:tcBorders>
            <w:shd w:val="clear" w:color="auto" w:fill="auto"/>
            <w:noWrap/>
            <w:vAlign w:val="center"/>
          </w:tcPr>
          <w:p>
            <w:pPr>
              <w:widowControl/>
              <w:spacing w:line="300" w:lineRule="exact"/>
              <w:jc w:val="center"/>
              <w:rPr>
                <w:rFonts w:ascii="Times New Roman" w:eastAsia="方正楷体_GBK" w:cs="Times New Roman" w:hAnsi="Times New Roman"/>
                <w:b/>
                <w:kern w:val="0"/>
                <w:sz w:val="22"/>
                <w:szCs w:val="22"/>
              </w:rPr>
            </w:pPr>
            <w:r>
              <w:rPr>
                <w:rFonts w:ascii="Times New Roman" w:eastAsia="方正楷体_GBK" w:cs="Times New Roman" w:hAnsi="Times New Roman"/>
                <w:b/>
                <w:kern w:val="0"/>
                <w:sz w:val="22"/>
                <w:szCs w:val="22"/>
              </w:rPr>
              <w:t>7.87</w:t>
            </w:r>
          </w:p>
        </w:tc>
        <w:tc>
          <w:tcPr>
            <w:tcW w:w="851" w:type="dxa"/>
            <w:tcBorders>
              <w:top w:val="nil"/>
              <w:left w:val="nil"/>
              <w:bottom w:val="single" w:sz="4" w:space="0" w:color="auto"/>
              <w:right w:val="single" w:sz="4" w:space="0" w:color="auto"/>
            </w:tcBorders>
            <w:shd w:val="clear" w:color="auto" w:fill="auto"/>
            <w:noWrap/>
            <w:vAlign w:val="center"/>
          </w:tcPr>
          <w:p>
            <w:pPr>
              <w:widowControl/>
              <w:spacing w:line="300" w:lineRule="exact"/>
              <w:jc w:val="center"/>
              <w:rPr>
                <w:rFonts w:ascii="Times New Roman" w:eastAsia="方正楷体_GBK" w:cs="Times New Roman" w:hAnsi="Times New Roman"/>
                <w:b/>
                <w:kern w:val="0"/>
                <w:sz w:val="22"/>
                <w:szCs w:val="22"/>
              </w:rPr>
            </w:pPr>
            <w:r>
              <w:rPr>
                <w:rFonts w:ascii="Times New Roman" w:eastAsia="方正楷体_GBK" w:cs="Times New Roman" w:hAnsi="Times New Roman"/>
                <w:b/>
                <w:kern w:val="0"/>
                <w:sz w:val="22"/>
                <w:szCs w:val="22"/>
              </w:rPr>
              <w:t>7.87</w:t>
            </w:r>
          </w:p>
        </w:tc>
        <w:tc>
          <w:tcPr>
            <w:tcW w:w="1559" w:type="dxa"/>
            <w:tcBorders>
              <w:top w:val="nil"/>
              <w:left w:val="nil"/>
              <w:bottom w:val="single" w:sz="4" w:space="0" w:color="auto"/>
              <w:right w:val="single" w:sz="4" w:space="0" w:color="auto"/>
            </w:tcBorders>
            <w:shd w:val="clear" w:color="auto" w:fill="auto"/>
            <w:noWrap/>
            <w:vAlign w:val="center"/>
          </w:tcPr>
          <w:p>
            <w:pPr>
              <w:widowControl/>
              <w:spacing w:line="300" w:lineRule="exact"/>
              <w:jc w:val="center"/>
              <w:rPr>
                <w:rFonts w:ascii="Times New Roman" w:eastAsia="方正楷体_GBK" w:cs="Times New Roman" w:hAnsi="Times New Roman"/>
                <w:b/>
                <w:kern w:val="0"/>
                <w:sz w:val="22"/>
                <w:szCs w:val="22"/>
              </w:rPr>
            </w:pPr>
            <w:r>
              <w:rPr>
                <w:rFonts w:ascii="Times New Roman" w:eastAsia="方正楷体_GBK" w:cs="Times New Roman" w:hAnsi="Times New Roman"/>
                <w:b/>
                <w:kern w:val="0"/>
                <w:sz w:val="22"/>
                <w:szCs w:val="22"/>
              </w:rPr>
              <w:t>4.9</w:t>
            </w:r>
          </w:p>
        </w:tc>
        <w:tc>
          <w:tcPr>
            <w:tcW w:w="1559" w:type="dxa"/>
            <w:tcBorders>
              <w:top w:val="nil"/>
              <w:left w:val="nil"/>
              <w:bottom w:val="single" w:sz="4" w:space="0" w:color="auto"/>
              <w:right w:val="single" w:sz="4" w:space="0" w:color="auto"/>
            </w:tcBorders>
            <w:shd w:val="clear" w:color="auto" w:fill="auto"/>
            <w:noWrap/>
            <w:vAlign w:val="center"/>
          </w:tcPr>
          <w:p>
            <w:pPr>
              <w:widowControl/>
              <w:spacing w:line="300" w:lineRule="exact"/>
              <w:jc w:val="center"/>
              <w:rPr>
                <w:rFonts w:ascii="Times New Roman" w:eastAsia="方正楷体_GBK" w:cs="Times New Roman" w:hAnsi="Times New Roman"/>
                <w:b/>
                <w:kern w:val="0"/>
                <w:sz w:val="22"/>
                <w:szCs w:val="22"/>
              </w:rPr>
            </w:pPr>
            <w:r>
              <w:rPr>
                <w:rFonts w:ascii="Times New Roman" w:eastAsia="方正楷体_GBK" w:cs="Times New Roman" w:hAnsi="Times New Roman"/>
                <w:b/>
                <w:kern w:val="0"/>
                <w:sz w:val="22"/>
                <w:szCs w:val="22"/>
              </w:rPr>
              <w:t>2.97</w:t>
            </w:r>
          </w:p>
        </w:tc>
        <w:tc>
          <w:tcPr>
            <w:tcW w:w="70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宋体" w:cs="Times New Roman" w:hAnsi="Times New Roman"/>
                <w:color w:val="000000"/>
                <w:kern w:val="0"/>
                <w:sz w:val="24"/>
              </w:rPr>
            </w:pPr>
          </w:p>
        </w:tc>
      </w:tr>
      <w:tr>
        <w:trPr>
          <w:trHeight w:val="402"/>
        </w:trPr>
        <w:tc>
          <w:tcPr>
            <w:tcW w:w="2835" w:type="dxa"/>
            <w:tcBorders>
              <w:top w:val="nil"/>
              <w:left w:val="single" w:sz="4" w:space="0" w:color="auto"/>
              <w:bottom w:val="single" w:sz="4" w:space="0" w:color="auto"/>
              <w:right w:val="single" w:sz="4" w:space="0" w:color="auto"/>
            </w:tcBorders>
            <w:shd w:val="clear" w:color="auto" w:fill="auto"/>
            <w:vAlign w:val="center"/>
          </w:tcPr>
          <w:p>
            <w:pPr>
              <w:widowControl/>
              <w:spacing w:line="300" w:lineRule="exact"/>
              <w:jc w:val="left"/>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退耕还林</w:t>
            </w:r>
          </w:p>
        </w:tc>
        <w:tc>
          <w:tcPr>
            <w:tcW w:w="992"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0.05</w:t>
            </w:r>
          </w:p>
        </w:tc>
        <w:tc>
          <w:tcPr>
            <w:tcW w:w="851"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0.05</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0.05</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
                <w:bCs/>
                <w:kern w:val="0"/>
                <w:sz w:val="22"/>
                <w:szCs w:val="22"/>
              </w:rPr>
            </w:pP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w:t>
            </w:r>
          </w:p>
        </w:tc>
      </w:tr>
      <w:tr>
        <w:trPr>
          <w:trHeight w:val="402"/>
        </w:trPr>
        <w:tc>
          <w:tcPr>
            <w:tcW w:w="2835" w:type="dxa"/>
            <w:tcBorders>
              <w:top w:val="nil"/>
              <w:left w:val="single" w:sz="4" w:space="0" w:color="auto"/>
              <w:bottom w:val="single" w:sz="4" w:space="0" w:color="auto"/>
              <w:right w:val="single" w:sz="4" w:space="0" w:color="auto"/>
            </w:tcBorders>
            <w:shd w:val="clear" w:color="auto" w:fill="auto"/>
            <w:vAlign w:val="center"/>
          </w:tcPr>
          <w:p>
            <w:pPr>
              <w:widowControl/>
              <w:spacing w:line="300" w:lineRule="exact"/>
              <w:jc w:val="left"/>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农业种植结构调整造林</w:t>
            </w:r>
          </w:p>
        </w:tc>
        <w:tc>
          <w:tcPr>
            <w:tcW w:w="992"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1.2</w:t>
            </w:r>
          </w:p>
        </w:tc>
        <w:tc>
          <w:tcPr>
            <w:tcW w:w="851"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1.2</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1.2</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
                <w:bCs/>
                <w:kern w:val="0"/>
                <w:sz w:val="22"/>
                <w:szCs w:val="22"/>
              </w:rPr>
            </w:pP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w:t>
            </w:r>
          </w:p>
        </w:tc>
      </w:tr>
      <w:tr>
        <w:trPr>
          <w:trHeight w:val="402"/>
        </w:trPr>
        <w:tc>
          <w:tcPr>
            <w:tcW w:w="2835" w:type="dxa"/>
            <w:tcBorders>
              <w:top w:val="nil"/>
              <w:left w:val="single" w:sz="4" w:space="0" w:color="auto"/>
              <w:bottom w:val="single" w:sz="4" w:space="0" w:color="auto"/>
              <w:right w:val="single" w:sz="4" w:space="0" w:color="auto"/>
            </w:tcBorders>
            <w:shd w:val="clear" w:color="auto" w:fill="auto"/>
            <w:vAlign w:val="center"/>
          </w:tcPr>
          <w:p>
            <w:pPr>
              <w:widowControl/>
              <w:spacing w:line="300" w:lineRule="exact"/>
              <w:jc w:val="left"/>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疏林地和未成林地营造林</w:t>
            </w:r>
          </w:p>
        </w:tc>
        <w:tc>
          <w:tcPr>
            <w:tcW w:w="992"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0.4</w:t>
            </w:r>
          </w:p>
        </w:tc>
        <w:tc>
          <w:tcPr>
            <w:tcW w:w="851"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0.4</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0.4</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
                <w:bCs/>
                <w:kern w:val="0"/>
                <w:sz w:val="22"/>
                <w:szCs w:val="22"/>
              </w:rPr>
            </w:pP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w:t>
            </w:r>
          </w:p>
        </w:tc>
      </w:tr>
      <w:tr>
        <w:trPr>
          <w:trHeight w:val="402"/>
        </w:trPr>
        <w:tc>
          <w:tcPr>
            <w:tcW w:w="2835" w:type="dxa"/>
            <w:tcBorders>
              <w:top w:val="nil"/>
              <w:left w:val="single" w:sz="4" w:space="0" w:color="auto"/>
              <w:bottom w:val="single" w:sz="4" w:space="0" w:color="auto"/>
              <w:right w:val="single" w:sz="4" w:space="0" w:color="auto"/>
            </w:tcBorders>
            <w:shd w:val="clear" w:color="auto" w:fill="auto"/>
            <w:vAlign w:val="center"/>
          </w:tcPr>
          <w:p>
            <w:pPr>
              <w:widowControl/>
              <w:spacing w:line="300" w:lineRule="exact"/>
              <w:jc w:val="left"/>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农田林网和农村四旁植树</w:t>
            </w:r>
          </w:p>
        </w:tc>
        <w:tc>
          <w:tcPr>
            <w:tcW w:w="992"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0.5</w:t>
            </w:r>
          </w:p>
        </w:tc>
        <w:tc>
          <w:tcPr>
            <w:tcW w:w="851"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0.5</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0.5</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
                <w:bCs/>
                <w:kern w:val="0"/>
                <w:sz w:val="22"/>
                <w:szCs w:val="22"/>
              </w:rPr>
            </w:pP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w:t>
            </w:r>
          </w:p>
        </w:tc>
      </w:tr>
      <w:tr>
        <w:trPr>
          <w:trHeight w:val="402"/>
        </w:trPr>
        <w:tc>
          <w:tcPr>
            <w:tcW w:w="2835" w:type="dxa"/>
            <w:tcBorders>
              <w:top w:val="nil"/>
              <w:left w:val="single" w:sz="4" w:space="0" w:color="auto"/>
              <w:bottom w:val="single" w:sz="4" w:space="0" w:color="auto"/>
              <w:right w:val="single" w:sz="4" w:space="0" w:color="auto"/>
            </w:tcBorders>
            <w:shd w:val="clear" w:color="auto" w:fill="auto"/>
            <w:vAlign w:val="center"/>
          </w:tcPr>
          <w:p>
            <w:pPr>
              <w:widowControl/>
              <w:spacing w:line="300" w:lineRule="exact"/>
              <w:jc w:val="left"/>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景观示范林</w:t>
            </w:r>
          </w:p>
        </w:tc>
        <w:tc>
          <w:tcPr>
            <w:tcW w:w="992"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0.15</w:t>
            </w:r>
          </w:p>
        </w:tc>
        <w:tc>
          <w:tcPr>
            <w:tcW w:w="851"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0.15</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Cs/>
                <w:kern w:val="0"/>
                <w:sz w:val="22"/>
                <w:szCs w:val="22"/>
              </w:rPr>
            </w:pPr>
            <w:r>
              <w:rPr>
                <w:rFonts w:ascii="Times New Roman" w:eastAsia="方正楷体_GBK" w:cs="Times New Roman" w:hAnsi="Times New Roman"/>
                <w:bCs/>
                <w:kern w:val="0"/>
                <w:sz w:val="22"/>
                <w:szCs w:val="22"/>
              </w:rPr>
              <w:t>0.15</w:t>
            </w:r>
          </w:p>
        </w:tc>
        <w:tc>
          <w:tcPr>
            <w:tcW w:w="1559" w:type="dxa"/>
            <w:tcBorders>
              <w:top w:val="nil"/>
              <w:left w:val="nil"/>
              <w:bottom w:val="single" w:sz="4" w:space="0" w:color="auto"/>
              <w:right w:val="single" w:sz="4" w:space="0" w:color="auto"/>
            </w:tcBorders>
            <w:shd w:val="clear" w:color="auto" w:fill="auto"/>
            <w:vAlign w:val="center"/>
          </w:tcPr>
          <w:p>
            <w:pPr>
              <w:widowControl/>
              <w:spacing w:line="300" w:lineRule="exact"/>
              <w:jc w:val="center"/>
              <w:rPr>
                <w:rFonts w:ascii="Times New Roman" w:eastAsia="方正楷体_GBK" w:cs="Times New Roman" w:hAnsi="Times New Roman"/>
                <w:b/>
                <w:bCs/>
                <w:kern w:val="0"/>
                <w:sz w:val="22"/>
                <w:szCs w:val="22"/>
              </w:rPr>
            </w:pP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w:t>
            </w:r>
          </w:p>
        </w:tc>
      </w:tr>
      <w:tr>
        <w:trPr>
          <w:trHeight w:val="402"/>
        </w:trPr>
        <w:tc>
          <w:tcPr>
            <w:tcW w:w="2835"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低效林改造</w:t>
            </w:r>
          </w:p>
        </w:tc>
        <w:tc>
          <w:tcPr>
            <w:tcW w:w="992"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0.77</w:t>
            </w:r>
          </w:p>
        </w:tc>
        <w:tc>
          <w:tcPr>
            <w:tcW w:w="851"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0.77</w:t>
            </w:r>
          </w:p>
        </w:tc>
        <w:tc>
          <w:tcPr>
            <w:tcW w:w="1559"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0.77</w:t>
            </w:r>
          </w:p>
        </w:tc>
        <w:tc>
          <w:tcPr>
            <w:tcW w:w="1559"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w:t>
            </w:r>
          </w:p>
        </w:tc>
      </w:tr>
      <w:tr>
        <w:trPr>
          <w:trHeight w:val="402"/>
        </w:trPr>
        <w:tc>
          <w:tcPr>
            <w:tcW w:w="2835"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森林抚育</w:t>
            </w:r>
          </w:p>
        </w:tc>
        <w:tc>
          <w:tcPr>
            <w:tcW w:w="992"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4.7</w:t>
            </w:r>
          </w:p>
        </w:tc>
        <w:tc>
          <w:tcPr>
            <w:tcW w:w="851"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4.7</w:t>
            </w:r>
          </w:p>
        </w:tc>
        <w:tc>
          <w:tcPr>
            <w:tcW w:w="1559"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1.73</w:t>
            </w:r>
          </w:p>
        </w:tc>
        <w:tc>
          <w:tcPr>
            <w:tcW w:w="1559"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2.97</w:t>
            </w: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w:t>
            </w:r>
          </w:p>
        </w:tc>
      </w:tr>
      <w:tr>
        <w:trPr>
          <w:trHeight w:val="402"/>
        </w:trPr>
        <w:tc>
          <w:tcPr>
            <w:tcW w:w="2835"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园区和城市绿化美化</w:t>
            </w:r>
          </w:p>
        </w:tc>
        <w:tc>
          <w:tcPr>
            <w:tcW w:w="992"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0.1</w:t>
            </w:r>
          </w:p>
        </w:tc>
        <w:tc>
          <w:tcPr>
            <w:tcW w:w="851"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0.1</w:t>
            </w:r>
          </w:p>
        </w:tc>
        <w:tc>
          <w:tcPr>
            <w:tcW w:w="1559"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0.1</w:t>
            </w:r>
          </w:p>
        </w:tc>
        <w:tc>
          <w:tcPr>
            <w:tcW w:w="1559"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color w:val="000000"/>
                <w:kern w:val="0"/>
                <w:sz w:val="24"/>
              </w:rPr>
            </w:pP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4"/>
              </w:rPr>
            </w:pPr>
            <w:r>
              <w:rPr>
                <w:rFonts w:ascii="Times New Roman" w:eastAsia="宋体" w:cs="Times New Roman" w:hAnsi="Times New Roman"/>
                <w:color w:val="000000"/>
                <w:kern w:val="0"/>
                <w:sz w:val="24"/>
              </w:rPr>
              <w:t>　</w:t>
            </w:r>
          </w:p>
        </w:tc>
      </w:tr>
    </w:tbl>
    <w:p>
      <w:pPr>
        <w:pStyle w:val="22"/>
        <w:shd w:val="clear" w:color="auto" w:fill="FFFFFF"/>
        <w:spacing w:before="0" w:beforeAutospacing="0" w:after="0" w:afterAutospacing="0" w:line="360" w:lineRule="auto"/>
        <w:jc w:val="both"/>
        <w:rPr>
          <w:rFonts w:ascii="Times New Roman" w:eastAsia="方正楷体_GBK" w:cs="Times New Roman" w:hAnsi="Times New Roman"/>
          <w:b/>
          <w:color w:val="000000"/>
        </w:rPr>
      </w:pPr>
    </w:p>
    <w:p>
      <w:pPr>
        <w:spacing w:line="600" w:lineRule="exact"/>
        <w:ind w:firstLineChars="200" w:firstLine="640"/>
        <w:outlineLvl w:val="1"/>
        <w:rPr>
          <w:rFonts w:ascii="Times New Roman" w:eastAsia="方正楷体_GBK" w:cs="Times New Roman" w:hAnsi="Times New Roman"/>
          <w:sz w:val="32"/>
          <w:szCs w:val="32"/>
        </w:rPr>
      </w:pPr>
      <w:bookmarkStart w:id="29" w:name="_Toc44272735"/>
      <w:r>
        <w:rPr>
          <w:rFonts w:ascii="Times New Roman" w:eastAsia="方正楷体_GBK" w:cs="Times New Roman" w:hAnsi="Times New Roman"/>
          <w:sz w:val="32"/>
          <w:szCs w:val="32"/>
        </w:rPr>
        <w:t>（五）实施期限</w:t>
      </w:r>
      <w:bookmarkEnd w:id="29"/>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sz w:val="32"/>
          <w:szCs w:val="32"/>
        </w:rPr>
      </w:pPr>
      <w:r>
        <w:rPr>
          <w:rFonts w:ascii="Times New Roman" w:eastAsia="方正仿宋_GBK" w:cs="Times New Roman" w:hAnsi="Times New Roman"/>
          <w:sz w:val="32"/>
          <w:szCs w:val="32"/>
        </w:rPr>
        <w:t>实施期限为10年，即2021—2030年。其中：</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sz w:val="32"/>
          <w:szCs w:val="32"/>
        </w:rPr>
      </w:pPr>
      <w:r>
        <w:rPr>
          <w:rFonts w:ascii="Times New Roman" w:eastAsia="方正仿宋_GBK" w:cs="Times New Roman" w:hAnsi="Times New Roman"/>
          <w:sz w:val="32"/>
          <w:szCs w:val="32"/>
        </w:rPr>
        <w:t>2021—2025年为攻坚年，实施森林数量提升2.15万亩、质量提升2.75万亩。</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sz w:val="32"/>
          <w:szCs w:val="32"/>
        </w:rPr>
      </w:pPr>
      <w:r>
        <w:rPr>
          <w:rFonts w:ascii="Times New Roman" w:eastAsia="方正仿宋_GBK" w:cs="Times New Roman" w:hAnsi="Times New Roman"/>
          <w:sz w:val="32"/>
          <w:szCs w:val="32"/>
        </w:rPr>
        <w:t>2026—2030年为成果巩固年，实施森林质量提升2.97万亩。</w:t>
      </w: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sz w:val="28"/>
          <w:szCs w:val="28"/>
        </w:rPr>
      </w:pP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b/>
        </w:rPr>
      </w:pPr>
      <w:r>
        <w:rPr>
          <w:rFonts w:ascii="Times New Roman" w:eastAsia="方正楷体_GBK" w:cs="Times New Roman" w:hAnsi="Times New Roman"/>
          <w:b/>
        </w:rPr>
        <w:t xml:space="preserve">    表11      项目规划按提升任务建设情况表     单位：万亩</w:t>
      </w:r>
    </w:p>
    <w:tbl>
      <w:tblPr>
        <w:jc w:val="left"/>
        <w:tblInd w:w="250" w:type="dxa"/>
        <w:tblW w:w="8523" w:type="dxa"/>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
      <w:tblGrid>
        <w:gridCol w:w="2003"/>
        <w:gridCol w:w="1080"/>
        <w:gridCol w:w="1080"/>
        <w:gridCol w:w="1649"/>
        <w:gridCol w:w="1701"/>
        <w:gridCol w:w="1010"/>
      </w:tblGrid>
      <w:tr>
        <w:trPr>
          <w:trHeight w:val="285"/>
        </w:trPr>
        <w:tc>
          <w:tcPr>
            <w:tcW w:w="2003"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项目</w:t>
            </w:r>
          </w:p>
        </w:tc>
        <w:tc>
          <w:tcPr>
            <w:tcW w:w="1080" w:type="dxa"/>
            <w:vMerge w:val="restart"/>
            <w:tcBorders>
              <w:top w:val="single" w:sz="4" w:space="0" w:color="auto"/>
              <w:left w:val="single" w:sz="4" w:space="0" w:color="auto"/>
              <w:bottom w:val="nil"/>
              <w:right w:val="single" w:sz="4" w:space="0" w:color="auto"/>
            </w:tcBorders>
            <w:shd w:val="clear" w:color="auto" w:fill="auto"/>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总面积</w:t>
            </w:r>
          </w:p>
        </w:tc>
        <w:tc>
          <w:tcPr>
            <w:tcW w:w="4430" w:type="dxa"/>
            <w:gridSpan w:val="3"/>
            <w:tcBorders>
              <w:top w:val="single" w:sz="4" w:space="0" w:color="auto"/>
              <w:left w:val="nil"/>
              <w:bottom w:val="single" w:sz="4" w:space="0" w:color="auto"/>
              <w:right w:val="single" w:sz="4" w:space="0" w:color="000000"/>
            </w:tcBorders>
            <w:shd w:val="clear" w:color="auto" w:fill="auto"/>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规划建设</w:t>
            </w:r>
          </w:p>
        </w:tc>
        <w:tc>
          <w:tcPr>
            <w:tcW w:w="101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备注</w:t>
            </w:r>
          </w:p>
        </w:tc>
      </w:tr>
      <w:tr>
        <w:trPr>
          <w:trHeight w:val="460"/>
        </w:trPr>
        <w:tc>
          <w:tcPr>
            <w:tcW w:w="2003" w:type="dxa"/>
            <w:vMerge/>
            <w:tcBorders>
              <w:top w:val="single" w:sz="4" w:space="0" w:color="auto"/>
              <w:left w:val="single" w:sz="4" w:space="0" w:color="auto"/>
              <w:bottom w:val="single" w:sz="4" w:space="0" w:color="000000"/>
              <w:right w:val="single" w:sz="4" w:space="0" w:color="000000"/>
            </w:tcBorders>
            <w:vAlign w:val="center"/>
          </w:tcPr>
          <w:p/>
        </w:tc>
        <w:tc>
          <w:tcPr>
            <w:tcW w:w="1080" w:type="dxa"/>
            <w:vMerge/>
            <w:tcBorders>
              <w:top w:val="single" w:sz="4" w:space="0" w:color="auto"/>
              <w:left w:val="single" w:sz="4" w:space="0" w:color="auto"/>
              <w:bottom w:val="nil"/>
              <w:right w:val="single" w:sz="4" w:space="0" w:color="auto"/>
            </w:tcBorders>
            <w:vAlign w:val="center"/>
          </w:tcPr>
          <w:p/>
        </w:tc>
        <w:tc>
          <w:tcPr>
            <w:tcW w:w="1080"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合计</w:t>
            </w:r>
          </w:p>
        </w:tc>
        <w:tc>
          <w:tcPr>
            <w:tcW w:w="1649"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2021-2025年</w:t>
            </w:r>
          </w:p>
        </w:tc>
        <w:tc>
          <w:tcPr>
            <w:tcW w:w="1701"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2026-2030年</w:t>
            </w:r>
          </w:p>
        </w:tc>
        <w:tc>
          <w:tcPr>
            <w:tcW w:w="1010" w:type="dxa"/>
            <w:vMerge/>
            <w:tcBorders>
              <w:top w:val="single" w:sz="4" w:space="0" w:color="auto"/>
              <w:left w:val="single" w:sz="4" w:space="0" w:color="auto"/>
              <w:bottom w:val="single" w:sz="4" w:space="0" w:color="000000"/>
              <w:right w:val="single" w:sz="4" w:space="0" w:color="auto"/>
            </w:tcBorders>
            <w:vAlign w:val="center"/>
          </w:tcPr>
          <w:p/>
        </w:tc>
      </w:tr>
      <w:tr>
        <w:trPr>
          <w:trHeight w:val="397"/>
        </w:trPr>
        <w:tc>
          <w:tcPr>
            <w:tcW w:w="2003" w:type="dxa"/>
            <w:tcBorders>
              <w:top w:val="single" w:sz="4" w:space="0" w:color="auto"/>
              <w:left w:val="single" w:sz="4" w:space="0" w:color="auto"/>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合    计</w:t>
            </w:r>
          </w:p>
        </w:tc>
        <w:tc>
          <w:tcPr>
            <w:tcW w:w="1080" w:type="dxa"/>
            <w:tcBorders>
              <w:top w:val="single" w:sz="4" w:space="0" w:color="auto"/>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color w:val="000000"/>
                <w:kern w:val="0"/>
                <w:sz w:val="24"/>
              </w:rPr>
            </w:pPr>
            <w:r>
              <w:rPr>
                <w:rFonts w:ascii="Times New Roman" w:eastAsia="方正楷体_GBK" w:cs="Times New Roman" w:hAnsi="Times New Roman"/>
                <w:b/>
                <w:color w:val="000000"/>
                <w:kern w:val="0"/>
                <w:sz w:val="24"/>
              </w:rPr>
              <w:t>7.87</w:t>
            </w:r>
          </w:p>
        </w:tc>
        <w:tc>
          <w:tcPr>
            <w:tcW w:w="1080"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color w:val="000000"/>
                <w:kern w:val="0"/>
                <w:sz w:val="24"/>
              </w:rPr>
            </w:pPr>
            <w:r>
              <w:rPr>
                <w:rFonts w:ascii="Times New Roman" w:eastAsia="方正楷体_GBK" w:cs="Times New Roman" w:hAnsi="Times New Roman"/>
                <w:b/>
                <w:color w:val="000000"/>
                <w:kern w:val="0"/>
                <w:sz w:val="24"/>
              </w:rPr>
              <w:t>7.87</w:t>
            </w:r>
          </w:p>
        </w:tc>
        <w:tc>
          <w:tcPr>
            <w:tcW w:w="164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color w:val="000000"/>
                <w:kern w:val="0"/>
                <w:sz w:val="24"/>
              </w:rPr>
            </w:pPr>
            <w:r>
              <w:rPr>
                <w:rFonts w:ascii="Times New Roman" w:eastAsia="方正楷体_GBK" w:cs="Times New Roman" w:hAnsi="Times New Roman"/>
                <w:b/>
                <w:color w:val="000000"/>
                <w:kern w:val="0"/>
                <w:sz w:val="24"/>
              </w:rPr>
              <w:t>4.9</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color w:val="000000"/>
                <w:kern w:val="0"/>
                <w:sz w:val="24"/>
              </w:rPr>
            </w:pPr>
            <w:r>
              <w:rPr>
                <w:rFonts w:ascii="Times New Roman" w:eastAsia="方正楷体_GBK" w:cs="Times New Roman" w:hAnsi="Times New Roman"/>
                <w:b/>
                <w:color w:val="000000"/>
                <w:kern w:val="0"/>
                <w:sz w:val="24"/>
              </w:rPr>
              <w:t>2.97</w:t>
            </w:r>
          </w:p>
        </w:tc>
        <w:tc>
          <w:tcPr>
            <w:tcW w:w="1010"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b/>
                <w:color w:val="000000"/>
                <w:kern w:val="0"/>
                <w:sz w:val="24"/>
              </w:rPr>
            </w:pPr>
            <w:r>
              <w:rPr>
                <w:rFonts w:ascii="Times New Roman" w:eastAsia="方正楷体_GBK" w:cs="Times New Roman" w:hAnsi="Times New Roman"/>
                <w:b/>
                <w:color w:val="000000"/>
                <w:kern w:val="0"/>
                <w:sz w:val="24"/>
              </w:rPr>
              <w:t>　</w:t>
            </w:r>
          </w:p>
        </w:tc>
      </w:tr>
      <w:tr>
        <w:trPr>
          <w:trHeight w:val="397"/>
        </w:trPr>
        <w:tc>
          <w:tcPr>
            <w:tcW w:w="2003" w:type="dxa"/>
            <w:tcBorders>
              <w:top w:val="single" w:sz="4" w:space="0" w:color="auto"/>
              <w:left w:val="single" w:sz="4" w:space="0" w:color="auto"/>
              <w:bottom w:val="single" w:sz="4" w:space="0" w:color="auto"/>
              <w:right w:val="single" w:sz="4" w:space="0" w:color="000000"/>
            </w:tcBorders>
            <w:shd w:val="clear" w:color="auto" w:fill="auto"/>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森林数量提升</w:t>
            </w:r>
          </w:p>
        </w:tc>
        <w:tc>
          <w:tcPr>
            <w:tcW w:w="1080"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2.15</w:t>
            </w:r>
          </w:p>
        </w:tc>
        <w:tc>
          <w:tcPr>
            <w:tcW w:w="1080"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2.15</w:t>
            </w:r>
          </w:p>
        </w:tc>
        <w:tc>
          <w:tcPr>
            <w:tcW w:w="164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2.15</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p>
        </w:tc>
        <w:tc>
          <w:tcPr>
            <w:tcW w:w="1010"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b/>
                <w:color w:val="000000"/>
                <w:kern w:val="0"/>
                <w:sz w:val="24"/>
              </w:rPr>
            </w:pPr>
            <w:r>
              <w:rPr>
                <w:rFonts w:ascii="Times New Roman" w:eastAsia="方正楷体_GBK" w:cs="Times New Roman" w:hAnsi="Times New Roman"/>
                <w:b/>
                <w:color w:val="000000"/>
                <w:kern w:val="0"/>
                <w:sz w:val="24"/>
              </w:rPr>
              <w:t>　</w:t>
            </w:r>
          </w:p>
        </w:tc>
      </w:tr>
      <w:tr>
        <w:trPr>
          <w:trHeight w:val="397"/>
        </w:trPr>
        <w:tc>
          <w:tcPr>
            <w:tcW w:w="2003" w:type="dxa"/>
            <w:tcBorders>
              <w:top w:val="single" w:sz="4" w:space="0" w:color="auto"/>
              <w:left w:val="single" w:sz="4" w:space="0" w:color="auto"/>
              <w:bottom w:val="single" w:sz="4" w:space="0" w:color="auto"/>
              <w:right w:val="single" w:sz="4" w:space="0" w:color="auto"/>
            </w:tcBorders>
            <w:shd w:val="clear" w:color="auto" w:fill="auto"/>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森林质量提升</w:t>
            </w:r>
          </w:p>
        </w:tc>
        <w:tc>
          <w:tcPr>
            <w:tcW w:w="1080"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5.72</w:t>
            </w:r>
          </w:p>
        </w:tc>
        <w:tc>
          <w:tcPr>
            <w:tcW w:w="1080"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5.72</w:t>
            </w:r>
          </w:p>
        </w:tc>
        <w:tc>
          <w:tcPr>
            <w:tcW w:w="1649"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2.75</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2.97</w:t>
            </w:r>
          </w:p>
        </w:tc>
        <w:tc>
          <w:tcPr>
            <w:tcW w:w="1010"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b/>
                <w:color w:val="000000"/>
                <w:kern w:val="0"/>
                <w:sz w:val="24"/>
              </w:rPr>
            </w:pPr>
            <w:r>
              <w:rPr>
                <w:rFonts w:ascii="Times New Roman" w:eastAsia="方正楷体_GBK" w:cs="Times New Roman" w:hAnsi="Times New Roman"/>
                <w:b/>
                <w:color w:val="000000"/>
                <w:kern w:val="0"/>
                <w:sz w:val="24"/>
              </w:rPr>
              <w:t>　</w:t>
            </w:r>
          </w:p>
        </w:tc>
      </w:tr>
    </w:tbl>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000000"/>
          <w:sz w:val="28"/>
          <w:szCs w:val="28"/>
        </w:rPr>
      </w:pPr>
    </w:p>
    <w:p>
      <w:pPr>
        <w:pStyle w:val="22"/>
        <w:shd w:val="clear" w:color="auto" w:fill="FFFFFF"/>
        <w:spacing w:before="0" w:beforeAutospacing="0" w:after="0" w:afterAutospacing="0" w:line="360" w:lineRule="auto"/>
        <w:ind w:firstLine="480"/>
        <w:jc w:val="center"/>
        <w:rPr>
          <w:rFonts w:ascii="Times New Roman" w:eastAsia="方正楷体_GBK" w:cs="Times New Roman" w:hAnsi="Times New Roman"/>
          <w:color w:val="000000"/>
          <w:sz w:val="28"/>
          <w:szCs w:val="28"/>
        </w:rPr>
      </w:pPr>
    </w:p>
    <w:p>
      <w:pPr>
        <w:pStyle w:val="22"/>
        <w:shd w:val="clear" w:color="auto" w:fill="FFFFFF"/>
        <w:spacing w:before="0" w:beforeAutospacing="0" w:after="0" w:afterAutospacing="0" w:line="360" w:lineRule="auto"/>
        <w:ind w:firstLine="480"/>
        <w:jc w:val="center"/>
        <w:rPr>
          <w:rFonts w:ascii="Times New Roman" w:eastAsia="方正楷体_GBK" w:cs="Times New Roman" w:hAnsi="Times New Roman"/>
          <w:color w:val="000000"/>
          <w:sz w:val="28"/>
          <w:szCs w:val="28"/>
        </w:rPr>
      </w:pPr>
    </w:p>
    <w:p>
      <w:pPr>
        <w:pStyle w:val="22"/>
        <w:shd w:val="clear" w:color="auto" w:fill="FFFFFF"/>
        <w:spacing w:before="0" w:beforeAutospacing="0" w:after="0" w:afterAutospacing="0" w:line="360" w:lineRule="auto"/>
        <w:ind w:firstLine="709"/>
        <w:jc w:val="both"/>
        <w:rPr>
          <w:rFonts w:ascii="Times New Roman" w:eastAsia="方正楷体_GBK" w:cs="Times New Roman" w:hAnsi="Times New Roman"/>
          <w:color w:val="000000"/>
          <w:sz w:val="28"/>
          <w:szCs w:val="28"/>
        </w:rPr>
      </w:pPr>
      <w:r>
        <w:rPr>
          <w:rFonts w:ascii="Times New Roman" w:cs="Times New Roman" w:hAnsi="Times New Roman"/>
        </w:rPr>
        <w:object>
          <v:shape id="_x0000_i3" type="#_x0000_t75" filled="f" stroked="t" style="width:355.1pt;height:213.0pt;" o:ole="">
            <v:stroke color="#000000"/>
            <v:imagedata r:id="rId10" o:title="8529593481631699342471"/>
            <o:lock aspectratio="t"/>
          </v:shape>
          <o:OLEObject Type="Embed" ProgID="Package" ShapeID="_x0000_i3" DrawAspect="Icon" ObjectID="_1393063353" r:id="rId11"/>
        </w:object>
      </w:r>
    </w:p>
    <w:p>
      <w:pPr>
        <w:pStyle w:val="22"/>
        <w:shd w:val="clear" w:color="auto" w:fill="FFFFFF"/>
        <w:spacing w:before="0" w:beforeAutospacing="0" w:after="0" w:afterAutospacing="0" w:line="360" w:lineRule="auto"/>
        <w:jc w:val="center"/>
        <w:rPr>
          <w:rFonts w:ascii="Times New Roman" w:eastAsia="方正楷体_GBK" w:cs="Times New Roman" w:hAnsi="Times New Roman"/>
          <w:b/>
          <w:color w:val="000000"/>
        </w:rPr>
      </w:pPr>
      <w:r>
        <w:rPr>
          <w:rFonts w:ascii="Times New Roman" w:eastAsia="方正楷体_GBK" w:cs="Times New Roman" w:hAnsi="Times New Roman"/>
          <w:b/>
          <w:color w:val="000000"/>
        </w:rPr>
        <w:t>图5:  规划目标提升任务比较图</w:t>
      </w:r>
    </w:p>
    <w:p>
      <w:pPr>
        <w:pStyle w:val="22"/>
        <w:shd w:val="clear" w:color="auto" w:fill="FFFFFF"/>
        <w:spacing w:before="0" w:beforeAutospacing="0" w:after="0" w:afterAutospacing="0" w:line="360" w:lineRule="auto"/>
        <w:jc w:val="both"/>
        <w:rPr>
          <w:rFonts w:ascii="Times New Roman" w:eastAsia="方正楷体_GBK" w:cs="Times New Roman" w:hAnsi="Times New Roman"/>
          <w:b/>
          <w:color w:val="000000"/>
        </w:rPr>
      </w:pPr>
    </w:p>
    <w:p>
      <w:pPr>
        <w:pStyle w:val="22"/>
        <w:shd w:val="clear" w:color="auto" w:fill="FFFFFF"/>
        <w:spacing w:before="0" w:beforeAutospacing="0" w:after="0" w:afterAutospacing="0" w:line="360" w:lineRule="auto"/>
        <w:ind w:firstLine="480"/>
        <w:jc w:val="center"/>
        <w:rPr>
          <w:rFonts w:ascii="Times New Roman" w:eastAsia="方正楷体_GBK" w:cs="Times New Roman" w:hAnsi="Times New Roman"/>
          <w:color w:val="000000"/>
          <w:sz w:val="28"/>
          <w:szCs w:val="28"/>
        </w:rPr>
      </w:pPr>
    </w:p>
    <w:p>
      <w:pPr>
        <w:pStyle w:val="22"/>
        <w:shd w:val="clear" w:color="auto" w:fill="FFFFFF"/>
        <w:spacing w:before="0" w:beforeAutospacing="0" w:after="0" w:afterAutospacing="0" w:line="360" w:lineRule="auto"/>
        <w:ind w:firstLine="709"/>
        <w:jc w:val="both"/>
        <w:rPr>
          <w:rFonts w:ascii="Times New Roman" w:cs="Times New Roman" w:hAnsi="Times New Roman"/>
        </w:rPr>
      </w:pPr>
      <w:r>
        <w:rPr>
          <w:rFonts w:ascii="Times New Roman" w:cs="Times New Roman" w:hAnsi="Times New Roman"/>
        </w:rPr>
        <w:object>
          <v:shape id="_x0000_i4" type="#_x0000_t75" filled="f" stroked="t" style="width:360.0pt;height:216.0pt;" o:ole="">
            <v:stroke color="#000000"/>
            <v:imagedata r:id="rId12" o:title="5232008221631699342474"/>
            <o:lock aspectratio="t"/>
          </v:shape>
          <o:OLEObject Type="Embed" ProgID="Package" ShapeID="_x0000_i4" DrawAspect="Icon" ObjectID="_1393063354" r:id="rId13"/>
        </w:object>
      </w:r>
    </w:p>
    <w:p>
      <w:pPr>
        <w:pStyle w:val="22"/>
        <w:shd w:val="clear" w:color="auto" w:fill="FFFFFF"/>
        <w:spacing w:before="0" w:beforeAutospacing="0" w:after="0" w:afterAutospacing="0" w:line="360" w:lineRule="auto"/>
        <w:ind w:firstLine="480"/>
        <w:jc w:val="center"/>
        <w:rPr>
          <w:rFonts w:ascii="Times New Roman" w:cs="Times New Roman" w:hAnsi="Times New Roman"/>
        </w:rPr>
      </w:pPr>
      <w:r>
        <w:rPr>
          <w:rFonts w:ascii="Times New Roman" w:eastAsia="方正楷体_GBK" w:cs="Times New Roman" w:hAnsi="Times New Roman"/>
          <w:b/>
          <w:color w:val="000000"/>
        </w:rPr>
        <w:t>图6:  分阶段实施比较图</w:t>
      </w:r>
    </w:p>
    <w:p>
      <w:pPr>
        <w:pStyle w:val="2"/>
        <w:keepNext w:val="0"/>
        <w:keepLines/>
        <w:widowControl w:val="0"/>
        <w:adjustRightInd w:val="0"/>
        <w:snapToGrid w:val="0"/>
        <w:spacing w:before="0" w:after="0" w:line="600" w:lineRule="exact"/>
        <w:ind w:firstLineChars="200" w:firstLine="640"/>
        <w:rPr>
          <w:rFonts w:ascii="Times New Roman" w:eastAsia="方正黑体_GBK" w:cs="Times New Roman" w:hAnsi="Times New Roman"/>
          <w:b w:val="0"/>
          <w:bCs w:val="0"/>
          <w:sz w:val="32"/>
        </w:rPr>
      </w:pPr>
      <w:r>
        <w:rPr>
          <w:rFonts w:ascii="Times New Roman" w:eastAsia="方正黑体_GBK" w:cs="Times New Roman" w:hAnsi="Times New Roman"/>
          <w:b w:val="0"/>
          <w:bCs w:val="0"/>
          <w:sz w:val="32"/>
        </w:rPr>
        <w:fldChar w:fldCharType="begin"/>
      </w:r>
      <w:r>
        <w:instrText>HYPERLINK  \l "_Toc32718"</w:instrText>
      </w:r>
      <w:r>
        <w:rPr>
          <w:rFonts w:ascii="Times New Roman" w:eastAsia="方正黑体_GBK" w:cs="Times New Roman" w:hAnsi="Times New Roman"/>
          <w:b w:val="0"/>
          <w:bCs w:val="0"/>
          <w:sz w:val="32"/>
        </w:rPr>
        <w:fldChar w:fldCharType="separate"/>
      </w:r>
      <w:bookmarkStart w:id="30" w:name="_Toc44272736"/>
      <w:r>
        <w:rPr>
          <w:rFonts w:ascii="Times New Roman" w:eastAsia="方正黑体_GBK" w:cs="Times New Roman" w:hAnsi="Times New Roman"/>
          <w:b w:val="0"/>
          <w:bCs w:val="0"/>
          <w:sz w:val="32"/>
        </w:rPr>
        <w:t>四、主要任务</w:t>
      </w:r>
      <w:r>
        <w:rPr>
          <w:rFonts w:ascii="Times New Roman" w:eastAsia="方正黑体_GBK" w:cs="Times New Roman" w:hAnsi="Times New Roman"/>
          <w:b w:val="0"/>
          <w:bCs w:val="0"/>
          <w:sz w:val="32"/>
        </w:rPr>
        <w:fldChar w:fldCharType="end"/>
      </w:r>
      <w:bookmarkEnd w:id="30"/>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发挥好规划管控引领作用，按照永久基本农田、城镇开发边界、生态保护红线三位一体的“空间规划一张图”，构建农业生产空间、城镇建设空间、生态保护空间协调统一的空间规划管控体系。重点实行“二类”分类指导、落实“三带”空间布局，着力提升森林数量、森林质量和综合效益，加强生态保护，强化民生保障。</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560"/>
        <w:textAlignment w:val="auto"/>
        <w:outlineLvl w:val="1"/>
        <w:rPr>
          <w:rFonts w:ascii="Times New Roman" w:eastAsia="方正楷体_GBK" w:cs="Times New Roman" w:hAnsi="Times New Roman"/>
          <w:sz w:val="28"/>
          <w:szCs w:val="28"/>
        </w:rPr>
      </w:pPr>
      <w:bookmarkStart w:id="31" w:name="_Toc44272737"/>
      <w:r>
        <w:rPr>
          <w:rFonts w:ascii="Times New Roman" w:eastAsia="方正楷体_GBK" w:cs="Times New Roman" w:hAnsi="Times New Roman"/>
          <w:sz w:val="28"/>
          <w:szCs w:val="28"/>
        </w:rPr>
        <w:t>（一）实行“二类”分类指导</w:t>
      </w:r>
      <w:bookmarkEnd w:id="31"/>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b/>
          <w:color w:val="000000"/>
          <w:sz w:val="32"/>
          <w:szCs w:val="32"/>
          <w:lang w:val="en-US" w:eastAsia="zh-CN"/>
        </w:rPr>
        <w:t>1.</w:t>
      </w:r>
      <w:r>
        <w:rPr>
          <w:rFonts w:ascii="Times New Roman" w:eastAsia="方正仿宋_GBK" w:cs="Times New Roman" w:hAnsi="Times New Roman"/>
          <w:b/>
          <w:color w:val="000000"/>
          <w:sz w:val="32"/>
          <w:szCs w:val="32"/>
        </w:rPr>
        <w:t>浅丘产业生态屏障类</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在长江两岸丘陵低山地区，坚持生态优先、绿色发展，夯实绿色本底基础，结合实施乡村振兴战略，重点布局花椒、荔枝、龙眼、柑橘、笋竹等特色生态产业，大力开展农村“四旁”（村旁、宅旁、水旁、路旁）植树，建设森林乡村，发展乡村旅游、森林康养。</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b/>
          <w:color w:val="000000"/>
          <w:sz w:val="32"/>
          <w:szCs w:val="32"/>
        </w:rPr>
      </w:pPr>
      <w:r>
        <w:rPr>
          <w:rFonts w:ascii="Times New Roman" w:eastAsia="方正仿宋_GBK" w:cs="Times New Roman" w:hAnsi="Times New Roman"/>
          <w:b/>
          <w:color w:val="000000"/>
          <w:sz w:val="32"/>
          <w:szCs w:val="32"/>
          <w:lang w:val="en-US" w:eastAsia="zh-CN"/>
        </w:rPr>
        <w:t>2.</w:t>
      </w:r>
      <w:r>
        <w:rPr>
          <w:rFonts w:ascii="Times New Roman" w:eastAsia="方正仿宋_GBK" w:cs="Times New Roman" w:hAnsi="Times New Roman"/>
          <w:b/>
          <w:color w:val="000000"/>
          <w:sz w:val="32"/>
          <w:szCs w:val="32"/>
        </w:rPr>
        <w:t>城镇功能生态屏障类</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在中心城区和沿江重点城（集镇）区，结合城市品质提升、污染防控治理和城乡生态修复，开展城镇及各类园区绿化、零星间隙地植树和林相提升改造，建设江河岸线近绿亲水生态修复工程，提升沿江（河）生态绿化品质和生态屏障功能水平。</w:t>
      </w:r>
    </w:p>
    <w:p>
      <w:pPr>
        <w:spacing w:line="600" w:lineRule="exact"/>
        <w:ind w:firstLineChars="200" w:firstLine="640"/>
        <w:outlineLvl w:val="1"/>
        <w:rPr>
          <w:rFonts w:ascii="Times New Roman" w:eastAsia="方正楷体_GBK" w:cs="Times New Roman" w:hAnsi="Times New Roman"/>
          <w:sz w:val="32"/>
          <w:szCs w:val="32"/>
        </w:rPr>
      </w:pPr>
      <w:bookmarkStart w:id="32" w:name="_Toc44272738"/>
      <w:r>
        <w:rPr>
          <w:rFonts w:ascii="Times New Roman" w:eastAsia="方正楷体_GBK" w:cs="Times New Roman" w:hAnsi="Times New Roman"/>
          <w:sz w:val="32"/>
          <w:szCs w:val="32"/>
        </w:rPr>
        <w:t>（二）落实“三带”空间布局</w:t>
      </w:r>
      <w:bookmarkEnd w:id="32"/>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b/>
          <w:color w:val="000000"/>
          <w:sz w:val="32"/>
          <w:szCs w:val="32"/>
        </w:rPr>
      </w:pPr>
      <w:r>
        <w:rPr>
          <w:rFonts w:ascii="Times New Roman" w:eastAsia="方正仿宋_GBK" w:cs="Times New Roman" w:hAnsi="Times New Roman"/>
          <w:b/>
          <w:color w:val="000000"/>
          <w:sz w:val="32"/>
          <w:szCs w:val="32"/>
          <w:lang w:val="en-US" w:eastAsia="zh-CN"/>
        </w:rPr>
        <w:t>1.</w:t>
      </w:r>
      <w:r>
        <w:rPr>
          <w:rFonts w:ascii="Times New Roman" w:eastAsia="方正仿宋_GBK" w:cs="Times New Roman" w:hAnsi="Times New Roman"/>
          <w:b/>
          <w:color w:val="000000"/>
          <w:sz w:val="32"/>
          <w:szCs w:val="32"/>
        </w:rPr>
        <w:t>滨江景观生态隔离带</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在消落线以上50—100米范围，结合江城江镇江村滨江地带品质提升和“长江岸线整治保护工程”，在污染企业搬迁和港口码头整治后腾退的土地、江河两岸公共空间、非城镇建设用地后退蓝线控制区域等开展造林绿化和林相改造，建设生态缓冲隔离带，修复保护两岸生态系统，打造沿江生态廊道。</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b/>
          <w:color w:val="000000"/>
          <w:sz w:val="32"/>
          <w:szCs w:val="32"/>
        </w:rPr>
      </w:pPr>
      <w:r>
        <w:rPr>
          <w:rFonts w:ascii="Times New Roman" w:eastAsia="方正仿宋_GBK" w:cs="Times New Roman" w:hAnsi="Times New Roman"/>
          <w:b/>
          <w:color w:val="000000"/>
          <w:sz w:val="32"/>
          <w:szCs w:val="32"/>
          <w:lang w:val="en-US" w:eastAsia="zh-CN"/>
        </w:rPr>
        <w:t>2.</w:t>
      </w:r>
      <w:r>
        <w:rPr>
          <w:rFonts w:ascii="Times New Roman" w:eastAsia="方正仿宋_GBK" w:cs="Times New Roman" w:hAnsi="Times New Roman"/>
          <w:b/>
          <w:color w:val="000000"/>
          <w:sz w:val="32"/>
          <w:szCs w:val="32"/>
        </w:rPr>
        <w:t>中山生态产业发展带</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结合乡村振兴和农村人居环境整治，因地制宜发展特色经果林、中药材、林下经济、森林旅游、森林康养等产业，实施一批特色效益林业项目，带动当地农民就业增收，助力生态修复和乡村振兴。</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b/>
          <w:color w:val="000000"/>
          <w:sz w:val="32"/>
          <w:szCs w:val="32"/>
        </w:rPr>
      </w:pPr>
      <w:r>
        <w:rPr>
          <w:rFonts w:ascii="Times New Roman" w:eastAsia="方正仿宋_GBK" w:cs="Times New Roman" w:hAnsi="Times New Roman"/>
          <w:b/>
          <w:color w:val="000000"/>
          <w:sz w:val="32"/>
          <w:szCs w:val="32"/>
          <w:lang w:val="en-US" w:eastAsia="zh-CN"/>
        </w:rPr>
        <w:t>3.</w:t>
      </w:r>
      <w:r>
        <w:rPr>
          <w:rFonts w:ascii="Times New Roman" w:eastAsia="方正仿宋_GBK" w:cs="Times New Roman" w:hAnsi="Times New Roman"/>
          <w:b/>
          <w:color w:val="000000"/>
          <w:sz w:val="32"/>
          <w:szCs w:val="32"/>
        </w:rPr>
        <w:t>高山生态防护林带</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坚持保护优先、生态优先，加强自然保护与生态修复，实施退化林修复和森林抚育，补植阔叶树和珍贵树木，增加森林植被，改善林分结构，提高森林质量和水源涵养、水土保持等防护效能。</w:t>
      </w:r>
    </w:p>
    <w:p>
      <w:pPr>
        <w:pStyle w:val="22"/>
        <w:shd w:val="clear" w:color="auto" w:fill="FFFFFF"/>
        <w:spacing w:before="0" w:beforeAutospacing="0" w:after="0" w:afterAutospacing="0" w:line="360" w:lineRule="auto"/>
        <w:ind w:firstLine="142"/>
        <w:jc w:val="center"/>
        <w:rPr>
          <w:rFonts w:ascii="Times New Roman" w:eastAsia="方正楷体_GBK" w:cs="Times New Roman" w:hAnsi="Times New Roman"/>
          <w:color w:val="000000"/>
          <w:sz w:val="28"/>
          <w:szCs w:val="28"/>
        </w:rPr>
      </w:pPr>
      <w:r>
        <w:rPr>
          <w:rFonts w:ascii="Times New Roman" w:eastAsia="方正楷体_GBK" w:cs="Times New Roman" w:hAnsi="Times New Roman"/>
          <w:color w:val="000000"/>
          <w:sz w:val="28"/>
          <w:szCs w:val="28"/>
        </w:rPr>
        <w:drawing>
          <wp:inline distT="0" distB="0" distL="114300" distR="114300">
            <wp:extent cx="4466590" cy="3000374"/>
            <wp:effectExtent l="0" t="0" r="0" b="0"/>
            <wp:docPr id="18" name="图片 18" descr="立体布局1"/>
            <wp:cNvGraphicFramePr>
              <a:graphicFrameLocks noChangeAspect="1"/>
            </wp:cNvGraphicFramePr>
            <a:graphic>
              <a:graphicData uri="http://schemas.openxmlformats.org/drawingml/2006/picture">
                <pic:pic>
                  <pic:nvPicPr>
                    <pic:cNvPr id="20" name="图片 20"/>
                    <pic:cNvPicPr/>
                  </pic:nvPicPr>
                  <pic:blipFill>
                    <a:blip r:embed="rId14"/>
                    <a:stretch>
                      <a:fillRect/>
                    </a:stretch>
                  </pic:blipFill>
                  <pic:spPr>
                    <a:xfrm rot="0">
                      <a:off x="0" y="0"/>
                      <a:ext cx="4466590" cy="3000374"/>
                    </a:xfrm>
                    <a:prstGeom prst="rect"/>
                    <a:noFill/>
                    <a:ln w="9525" cmpd="sng" cap="flat">
                      <a:noFill/>
                      <a:prstDash val="solid"/>
                      <a:miter/>
                    </a:ln>
                  </pic:spPr>
                </pic:pic>
              </a:graphicData>
            </a:graphic>
          </wp:inline>
        </w:drawing>
      </w:r>
    </w:p>
    <w:p>
      <w:pPr>
        <w:spacing w:line="360" w:lineRule="auto"/>
        <w:ind w:firstLineChars="200" w:firstLine="480"/>
        <w:jc w:val="center"/>
        <w:outlineLvl w:val="1"/>
        <w:rPr>
          <w:rFonts w:ascii="Times New Roman" w:eastAsia="方正楷体_GBK" w:cs="Times New Roman" w:hAnsi="Times New Roman"/>
          <w:b/>
          <w:sz w:val="24"/>
        </w:rPr>
      </w:pPr>
      <w:bookmarkStart w:id="33" w:name="_Toc44272739"/>
      <w:r>
        <w:rPr>
          <w:rFonts w:ascii="Times New Roman" w:eastAsia="方正楷体_GBK" w:cs="Times New Roman" w:hAnsi="Times New Roman"/>
          <w:b/>
          <w:sz w:val="24"/>
        </w:rPr>
        <w:t>图7:   空间布局图</w:t>
      </w:r>
      <w:bookmarkEnd w:id="33"/>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outlineLvl w:val="1"/>
        <w:rPr>
          <w:rFonts w:ascii="Times New Roman" w:eastAsia="方正楷体_GBK" w:cs="Times New Roman" w:hAnsi="Times New Roman"/>
          <w:sz w:val="32"/>
          <w:szCs w:val="32"/>
        </w:rPr>
      </w:pPr>
      <w:bookmarkStart w:id="34" w:name="_Toc44272740"/>
      <w:r>
        <w:rPr>
          <w:rFonts w:ascii="Times New Roman" w:eastAsia="方正楷体_GBK" w:cs="Times New Roman" w:hAnsi="Times New Roman"/>
          <w:sz w:val="32"/>
          <w:szCs w:val="32"/>
        </w:rPr>
        <w:t>（三）着力提升森林数量</w:t>
      </w:r>
      <w:bookmarkEnd w:id="34"/>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项目实施森林数量提升共2.15万亩，其中退耕还林0.05万亩，农业种植结构调整1.2万亩，农田林网及“四旁”植树0.5万亩，疏林地和未成林地营造林0.4万亩，均在2021-2025年攻坚阶段实施。</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b/>
          <w:sz w:val="32"/>
          <w:szCs w:val="32"/>
        </w:rPr>
      </w:pPr>
      <w:r>
        <w:rPr>
          <w:rFonts w:ascii="Times New Roman" w:eastAsia="方正仿宋_GBK" w:cs="Times New Roman" w:hAnsi="Times New Roman"/>
          <w:b/>
          <w:sz w:val="32"/>
          <w:szCs w:val="32"/>
          <w:lang w:val="en-US" w:eastAsia="zh-CN"/>
        </w:rPr>
        <w:t>1.</w:t>
      </w:r>
      <w:r>
        <w:rPr>
          <w:rFonts w:ascii="Times New Roman" w:eastAsia="方正仿宋_GBK" w:cs="Times New Roman" w:hAnsi="Times New Roman"/>
          <w:b/>
          <w:sz w:val="32"/>
          <w:szCs w:val="32"/>
        </w:rPr>
        <w:t>生产空间调结构1.25万亩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对15度以上坡耕地、严重污染耕地、移民搬迁后确实无法耕种的耕地、自然保护地核心区的耕地，按规定实施退耕还林0.05万亩、农业种植结构调整新改造林1.2万亩，种植生态经济价值高的珍贵树种和特色经果林。</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b/>
          <w:sz w:val="32"/>
          <w:szCs w:val="32"/>
        </w:rPr>
      </w:pPr>
      <w:r>
        <w:rPr>
          <w:rFonts w:ascii="Times New Roman" w:eastAsia="方正仿宋_GBK" w:cs="Times New Roman" w:hAnsi="Times New Roman"/>
          <w:b/>
          <w:sz w:val="32"/>
          <w:szCs w:val="32"/>
          <w:lang w:val="en-US" w:eastAsia="zh-CN"/>
        </w:rPr>
        <w:t>2.</w:t>
      </w:r>
      <w:r>
        <w:rPr>
          <w:rFonts w:ascii="Times New Roman" w:eastAsia="方正仿宋_GBK" w:cs="Times New Roman" w:hAnsi="Times New Roman"/>
          <w:b/>
          <w:sz w:val="32"/>
          <w:szCs w:val="32"/>
        </w:rPr>
        <w:t>生活空间增绿量0.5万亩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以绿化、美化和改善人居环境为目标，在道路两旁种植行道树，在水系周边种植护岸及水源涵养林，在田边土坎栽植经济树种，在房前屋后和乡村公共区域种植经果树或彩叶林，开展农田林网和农村“四旁”植树0.5万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b/>
          <w:sz w:val="32"/>
          <w:szCs w:val="32"/>
        </w:rPr>
      </w:pPr>
      <w:r>
        <w:rPr>
          <w:rFonts w:ascii="Times New Roman" w:eastAsia="方正仿宋_GBK" w:cs="Times New Roman" w:hAnsi="Times New Roman"/>
          <w:b/>
          <w:sz w:val="32"/>
          <w:szCs w:val="32"/>
          <w:lang w:val="en-US" w:eastAsia="zh-CN"/>
        </w:rPr>
        <w:t>3.</w:t>
      </w:r>
      <w:r>
        <w:rPr>
          <w:rFonts w:ascii="Times New Roman" w:eastAsia="方正仿宋_GBK" w:cs="Times New Roman" w:hAnsi="Times New Roman"/>
          <w:b/>
          <w:sz w:val="32"/>
          <w:szCs w:val="32"/>
        </w:rPr>
        <w:t>生态空间挖潜力0.4万亩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对生产空间中的疏林地及未成林地进行补植管护，人工促进郁闭成林0.4万亩。</w:t>
      </w:r>
    </w:p>
    <w:tbl>
      <w:tblPr>
        <w:tblpPr w:leftFromText="180" w:rightFromText="180" w:vertAnchor="text" w:horzAnchor="page" w:tblpX="1762" w:tblpY="462"/>
        <w:tblOverlap w:val="never"/>
        <w:tblW w:w="4849" w:type="pct"/>
        <w:tblBorders>
          <w:top w:val="none" w:sz="0" w:space="0" w:color="auto"/>
          <w:left w:val="none" w:sz="0" w:space="0" w:color="auto"/>
          <w:bottom w:val="none" w:sz="0" w:space="0" w:color="auto"/>
          <w:right w:val="none" w:sz="0" w:space="0" w:color="auto"/>
        </w:tblBorders>
        <w:tblLayout w:type="fixed"/>
        <w:tblCellMar>
          <w:top w:w="0" w:type="dxa"/>
          <w:left w:w="108" w:type="dxa"/>
          <w:bottom w:w="0" w:type="dxa"/>
          <w:right w:w="108" w:type="dxa"/>
        </w:tblCellMar>
      </w:tblPr>
      <w:tblGrid>
        <w:gridCol w:w="1243"/>
        <w:gridCol w:w="1245"/>
        <w:gridCol w:w="1245"/>
        <w:gridCol w:w="1510"/>
        <w:gridCol w:w="1667"/>
        <w:gridCol w:w="1747"/>
      </w:tblGrid>
      <w:tr>
        <w:trPr>
          <w:trHeight w:val="288"/>
          <w:tblHeader/>
        </w:trPr>
        <w:tc>
          <w:tcPr>
            <w:tcW w:w="5000" w:type="pct"/>
            <w:gridSpan w:val="6"/>
            <w:tcBorders>
              <w:top w:val="nil"/>
              <w:left w:val="nil"/>
              <w:bottom w:val="nil"/>
              <w:right w:val="nil"/>
            </w:tcBorders>
            <w:shd w:val="clear" w:color="auto" w:fill="auto"/>
            <w:noWrap/>
            <w:vAlign w:val="center"/>
          </w:tcPr>
          <w:p>
            <w:pPr>
              <w:widowControl/>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 xml:space="preserve"> 表12        森林数量提升规划布局表       单位：万亩</w:t>
            </w:r>
          </w:p>
        </w:tc>
      </w:tr>
      <w:tr>
        <w:trPr>
          <w:trHeight w:val="864"/>
          <w:tblHeader/>
        </w:trPr>
        <w:tc>
          <w:tcPr>
            <w:tcW w:w="7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镇街</w:t>
            </w:r>
          </w:p>
        </w:tc>
        <w:tc>
          <w:tcPr>
            <w:tcW w:w="719"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小计</w:t>
            </w:r>
          </w:p>
        </w:tc>
        <w:tc>
          <w:tcPr>
            <w:tcW w:w="719"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退耕还林</w:t>
            </w:r>
          </w:p>
        </w:tc>
        <w:tc>
          <w:tcPr>
            <w:tcW w:w="872"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农业种植结构调整造林</w:t>
            </w: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疏林地和未成林地营造林</w:t>
            </w:r>
          </w:p>
        </w:tc>
        <w:tc>
          <w:tcPr>
            <w:tcW w:w="1007"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农田林网和农村四旁植树</w:t>
            </w: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合计</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2.15</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0.05 </w:t>
            </w: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1.20 </w:t>
            </w: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0.40 </w:t>
            </w: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0.50 </w:t>
            </w: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白沙镇</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0.39</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0.02 </w:t>
            </w: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0.20 </w:t>
            </w: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0.07 </w:t>
            </w: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 </w:t>
            </w: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德感街道</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鼎山街道</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0.1</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 </w:t>
            </w: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几江街道</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龙华镇</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0.25</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0.20 </w:t>
            </w: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0.05 </w:t>
            </w: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珞璜镇</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0.01</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0.01 </w:t>
            </w: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圣泉街道</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0.02</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0.02 </w:t>
            </w: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石蟆镇</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0.36</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0.03 </w:t>
            </w: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 </w:t>
            </w: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0.13 </w:t>
            </w: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 </w:t>
            </w: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石门镇</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0.15</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 </w:t>
            </w: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0.05 </w:t>
            </w: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西湖镇</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0.1</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 </w:t>
            </w: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先锋镇</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油溪镇</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0.2</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 </w:t>
            </w: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0.05 </w:t>
            </w: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0.05 </w:t>
            </w: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支坪镇</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0.35</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0.20 </w:t>
            </w: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0.05 </w:t>
            </w: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 </w:t>
            </w:r>
          </w:p>
        </w:tc>
      </w:tr>
      <w:tr>
        <w:trPr>
          <w:trHeight w:val="288"/>
        </w:trPr>
        <w:tc>
          <w:tcPr>
            <w:tcW w:w="71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朱杨镇</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0.22</w:t>
            </w:r>
          </w:p>
        </w:tc>
        <w:tc>
          <w:tcPr>
            <w:tcW w:w="7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rPr>
                <w:rFonts w:ascii="Times New Roman" w:eastAsia="华文楷体" w:cs="Times New Roman" w:hAnsi="Times New Roman"/>
                <w:color w:val="000000"/>
                <w:sz w:val="24"/>
              </w:rPr>
            </w:pPr>
          </w:p>
        </w:tc>
        <w:tc>
          <w:tcPr>
            <w:tcW w:w="8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0.10 </w:t>
            </w:r>
          </w:p>
        </w:tc>
        <w:tc>
          <w:tcPr>
            <w:tcW w:w="96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0.07 </w:t>
            </w:r>
          </w:p>
        </w:tc>
        <w:tc>
          <w:tcPr>
            <w:tcW w:w="10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0.05 </w:t>
            </w:r>
          </w:p>
        </w:tc>
      </w:tr>
    </w:tbl>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000000"/>
          <w:sz w:val="28"/>
          <w:szCs w:val="28"/>
        </w:rPr>
      </w:pPr>
    </w:p>
    <w:p>
      <w:pPr>
        <w:pStyle w:val="22"/>
        <w:shd w:val="clear" w:color="auto" w:fill="FFFFFF"/>
        <w:spacing w:before="0" w:beforeAutospacing="0" w:after="0" w:afterAutospacing="0" w:line="360" w:lineRule="auto"/>
        <w:jc w:val="both"/>
        <w:rPr>
          <w:rFonts w:ascii="Times New Roman" w:eastAsia="方正楷体_GBK" w:cs="Times New Roman" w:hAnsi="Times New Roman"/>
          <w:color w:val="FF0000"/>
          <w:sz w:val="28"/>
          <w:szCs w:val="28"/>
        </w:rPr>
      </w:pP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FF0000"/>
          <w:sz w:val="28"/>
          <w:szCs w:val="28"/>
        </w:rPr>
      </w:pPr>
      <w:r>
        <w:rPr>
          <w:rFonts w:ascii="Times New Roman" w:eastAsia="方正楷体_GBK" w:cs="Times New Roman" w:hAnsi="Times New Roman"/>
          <w:color w:val="FF0000"/>
          <w:sz w:val="28"/>
          <w:szCs w:val="28"/>
        </w:rPr>
        <w:object>
          <v:shape id="_x0000_i5" type="#_x0000_t75" filled="f" stroked="t" style="width:373.5pt;height:225.75pt;" o:ole="">
            <v:stroke color="#000000"/>
            <v:imagedata r:id="rId15" o:title="1681965791631699342503"/>
            <o:lock aspectratio="t"/>
          </v:shape>
          <o:OLEObject Type="Embed" ProgID="Package" ShapeID="_x0000_i5" DrawAspect="Icon" ObjectID="_1393063355" r:id="rId16"/>
        </w:object>
      </w:r>
    </w:p>
    <w:p>
      <w:pPr>
        <w:pStyle w:val="22"/>
        <w:shd w:val="clear" w:color="auto" w:fill="FFFFFF"/>
        <w:spacing w:before="0" w:beforeAutospacing="0" w:after="0" w:afterAutospacing="0" w:line="360" w:lineRule="auto"/>
        <w:jc w:val="center"/>
        <w:rPr>
          <w:rFonts w:ascii="Times New Roman" w:eastAsia="方正楷体_GBK" w:cs="Times New Roman" w:hAnsi="Times New Roman"/>
          <w:color w:val="FF0000"/>
        </w:rPr>
      </w:pPr>
      <w:r>
        <w:rPr>
          <w:rFonts w:ascii="Times New Roman" w:eastAsia="华文楷体" w:cs="Times New Roman" w:hAnsi="Times New Roman"/>
          <w:b/>
          <w:bCs/>
        </w:rPr>
        <w:t>图8：森林数量提升比较图</w:t>
      </w: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FF0000"/>
          <w:sz w:val="28"/>
          <w:szCs w:val="28"/>
        </w:rPr>
      </w:pP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outlineLvl w:val="1"/>
        <w:rPr>
          <w:rFonts w:ascii="Times New Roman" w:eastAsia="方正楷体_GBK" w:cs="Times New Roman" w:hAnsi="Times New Roman"/>
          <w:sz w:val="32"/>
          <w:szCs w:val="32"/>
        </w:rPr>
      </w:pPr>
      <w:bookmarkStart w:id="35" w:name="_Toc44272741"/>
      <w:r>
        <w:rPr>
          <w:rFonts w:ascii="Times New Roman" w:eastAsia="方正楷体_GBK" w:cs="Times New Roman" w:hAnsi="Times New Roman"/>
          <w:sz w:val="32"/>
          <w:szCs w:val="32"/>
        </w:rPr>
        <w:t>（四）着力提升森林质量</w:t>
      </w:r>
      <w:bookmarkEnd w:id="35"/>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项目实施森林质量提升共5.72万亩，其中：生态景观示范林建设0.15万亩，森林抚育4.7万亩，低效林改造0.77万亩，建成区、园区及码头绿化美化0.1万亩。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b/>
          <w:sz w:val="32"/>
          <w:szCs w:val="32"/>
        </w:rPr>
      </w:pPr>
      <w:r>
        <w:rPr>
          <w:rFonts w:ascii="Times New Roman" w:eastAsia="方正仿宋_GBK" w:cs="Times New Roman" w:hAnsi="Times New Roman"/>
          <w:b/>
          <w:sz w:val="32"/>
          <w:szCs w:val="32"/>
          <w:lang w:val="en-US" w:eastAsia="zh-CN"/>
        </w:rPr>
        <w:t>1.</w:t>
      </w:r>
      <w:r>
        <w:rPr>
          <w:rFonts w:ascii="Times New Roman" w:eastAsia="方正仿宋_GBK" w:cs="Times New Roman" w:hAnsi="Times New Roman"/>
          <w:b/>
          <w:sz w:val="32"/>
          <w:szCs w:val="32"/>
        </w:rPr>
        <w:t>生态空间促提升5.62万亩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在江河两岸重要生态节点区域，围绕体现森林季相变化、提升森林景观价值进行综合改造，建设季相变化示范林0.15万亩。对林分系统功能退化的有林地和经济效益差的经济林进行提升改造0.77万亩，提高林地综合效益。对生长不良的中幼林和近熟林，通过抚育、补植、间伐等人工措施实施森林抚育4.7万亩，培育稳定健康的森林生态系统。</w:t>
      </w:r>
    </w:p>
    <w:tbl>
      <w:tblPr>
        <w:jc w:val="left"/>
        <w:tblInd w:w="108" w:type="dxa"/>
        <w:tblW w:w="4844" w:type="pct"/>
        <w:tblBorders>
          <w:top w:val="none" w:sz="0" w:space="0" w:color="auto"/>
          <w:left w:val="none" w:sz="0" w:space="0" w:color="auto"/>
          <w:bottom w:val="none" w:sz="0" w:space="0" w:color="auto"/>
          <w:right w:val="none" w:sz="0" w:space="0" w:color="auto"/>
        </w:tblBorders>
        <w:tblLayout w:type="fixed"/>
        <w:tblCellMar>
          <w:top w:w="0" w:type="dxa"/>
          <w:left w:w="108" w:type="dxa"/>
          <w:bottom w:w="0" w:type="dxa"/>
          <w:right w:w="108" w:type="dxa"/>
        </w:tblCellMar>
      </w:tblPr>
      <w:tblGrid>
        <w:gridCol w:w="1800"/>
        <w:gridCol w:w="1972"/>
        <w:gridCol w:w="2492"/>
        <w:gridCol w:w="2383"/>
      </w:tblGrid>
      <w:tr>
        <w:trPr>
          <w:trHeight w:val="336"/>
        </w:trPr>
        <w:tc>
          <w:tcPr>
            <w:tcW w:w="5000" w:type="pct"/>
            <w:gridSpan w:val="4"/>
            <w:tcBorders>
              <w:top w:val="nil"/>
              <w:left w:val="nil"/>
              <w:bottom w:val="nil"/>
              <w:right w:val="nil"/>
            </w:tcBorders>
            <w:shd w:val="clear" w:color="auto" w:fill="auto"/>
            <w:noWrap/>
            <w:vAlign w:val="center"/>
          </w:tcPr>
          <w:p>
            <w:pPr>
              <w:widowControl/>
              <w:spacing w:line="240" w:lineRule="exact"/>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color w:val="000000"/>
                <w:kern w:val="0"/>
                <w:sz w:val="24"/>
              </w:rPr>
              <w:t xml:space="preserve">表13 </w:t>
            </w:r>
            <w:r>
              <w:rPr>
                <w:rFonts w:ascii="Times New Roman" w:eastAsia="华文楷体" w:cs="Times New Roman" w:hAnsi="Times New Roman"/>
                <w:b/>
                <w:bCs/>
                <w:color w:val="000000"/>
                <w:kern w:val="0"/>
                <w:sz w:val="24"/>
              </w:rPr>
              <w:t>生态景观示范建设规划布局表</w:t>
            </w:r>
            <w:r>
              <w:rPr>
                <w:rFonts w:ascii="Times New Roman" w:eastAsia="华文楷体" w:cs="Times New Roman" w:hAnsi="Times New Roman"/>
                <w:b/>
                <w:color w:val="000000"/>
                <w:kern w:val="0"/>
                <w:sz w:val="22"/>
                <w:szCs w:val="22"/>
              </w:rPr>
              <w:t>单位：万亩</w:t>
            </w:r>
          </w:p>
        </w:tc>
      </w:tr>
      <w:tr>
        <w:trPr>
          <w:trHeight w:val="503"/>
        </w:trPr>
        <w:tc>
          <w:tcPr>
            <w:tcW w:w="1041"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b/>
                <w:bCs/>
                <w:color w:val="000000"/>
                <w:sz w:val="24"/>
              </w:rPr>
            </w:pPr>
            <w:r>
              <w:rPr>
                <w:rStyle w:val="35"/>
                <w:rFonts w:ascii="Times New Roman" w:cs="Times New Roman" w:hAnsi="Times New Roman"/>
                <w:sz w:val="24"/>
                <w:szCs w:val="24"/>
              </w:rPr>
              <w:t>镇街</w:t>
            </w:r>
          </w:p>
        </w:tc>
        <w:tc>
          <w:tcPr>
            <w:tcW w:w="1140"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规划面积</w:t>
            </w:r>
          </w:p>
        </w:tc>
        <w:tc>
          <w:tcPr>
            <w:tcW w:w="1441" w:type="pct"/>
            <w:tcBorders>
              <w:top w:val="single" w:sz="4" w:space="0" w:color="000000"/>
              <w:left w:val="single" w:sz="4" w:space="0" w:color="000000"/>
              <w:bottom w:val="single" w:sz="4" w:space="0" w:color="000000"/>
              <w:right w:val="nil"/>
            </w:tcBorders>
            <w:shd w:val="clear" w:color="auto" w:fill="auto"/>
            <w:vAlign w:val="center"/>
          </w:tcPr>
          <w:p>
            <w:pPr>
              <w:widowControl/>
              <w:spacing w:line="240" w:lineRule="exact"/>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2021-2025年</w:t>
            </w:r>
          </w:p>
        </w:tc>
        <w:tc>
          <w:tcPr>
            <w:tcW w:w="137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2026-2030年</w:t>
            </w:r>
          </w:p>
        </w:tc>
      </w:tr>
      <w:tr>
        <w:trPr>
          <w:trHeight w:val="397"/>
        </w:trPr>
        <w:tc>
          <w:tcPr>
            <w:tcW w:w="1041"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合计</w:t>
            </w:r>
          </w:p>
        </w:tc>
        <w:tc>
          <w:tcPr>
            <w:tcW w:w="1140" w:type="pct"/>
            <w:tcBorders>
              <w:top w:val="single" w:sz="4" w:space="0" w:color="000000"/>
              <w:left w:val="single" w:sz="4" w:space="0" w:color="000000"/>
              <w:bottom w:val="single" w:sz="4" w:space="0" w:color="000000"/>
              <w:right w:val="single" w:sz="4" w:space="0" w:color="000000"/>
            </w:tcBorders>
            <w:shd w:val="clear" w:color="auto" w:fill="FFFFFF"/>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0.15 </w:t>
            </w:r>
          </w:p>
        </w:tc>
        <w:tc>
          <w:tcPr>
            <w:tcW w:w="14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sz w:val="24"/>
              </w:rPr>
              <w:t>0.15</w:t>
            </w:r>
          </w:p>
        </w:tc>
        <w:tc>
          <w:tcPr>
            <w:tcW w:w="13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华文楷体" w:cs="Times New Roman" w:hAnsi="Times New Roman"/>
                <w:color w:val="000000"/>
                <w:sz w:val="24"/>
              </w:rPr>
            </w:pPr>
          </w:p>
        </w:tc>
      </w:tr>
      <w:tr>
        <w:trPr>
          <w:trHeight w:val="397"/>
        </w:trPr>
        <w:tc>
          <w:tcPr>
            <w:tcW w:w="1041"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白沙镇</w:t>
            </w:r>
          </w:p>
        </w:tc>
        <w:tc>
          <w:tcPr>
            <w:tcW w:w="114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0.07 </w:t>
            </w:r>
          </w:p>
        </w:tc>
        <w:tc>
          <w:tcPr>
            <w:tcW w:w="14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0.07</w:t>
            </w:r>
          </w:p>
        </w:tc>
        <w:tc>
          <w:tcPr>
            <w:tcW w:w="13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华文楷体" w:cs="Times New Roman" w:hAnsi="Times New Roman"/>
                <w:color w:val="000000"/>
                <w:sz w:val="24"/>
              </w:rPr>
            </w:pPr>
          </w:p>
        </w:tc>
      </w:tr>
      <w:tr>
        <w:trPr>
          <w:trHeight w:val="397"/>
        </w:trPr>
        <w:tc>
          <w:tcPr>
            <w:tcW w:w="1041"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龙华镇</w:t>
            </w:r>
          </w:p>
        </w:tc>
        <w:tc>
          <w:tcPr>
            <w:tcW w:w="114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0.04 </w:t>
            </w:r>
          </w:p>
        </w:tc>
        <w:tc>
          <w:tcPr>
            <w:tcW w:w="14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0.04</w:t>
            </w:r>
          </w:p>
        </w:tc>
        <w:tc>
          <w:tcPr>
            <w:tcW w:w="13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华文楷体" w:cs="Times New Roman" w:hAnsi="Times New Roman"/>
                <w:color w:val="000000"/>
                <w:sz w:val="24"/>
              </w:rPr>
            </w:pPr>
          </w:p>
        </w:tc>
      </w:tr>
      <w:tr>
        <w:trPr>
          <w:trHeight w:val="397"/>
        </w:trPr>
        <w:tc>
          <w:tcPr>
            <w:tcW w:w="1041"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石蟆镇</w:t>
            </w:r>
          </w:p>
        </w:tc>
        <w:tc>
          <w:tcPr>
            <w:tcW w:w="114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0.04 </w:t>
            </w:r>
          </w:p>
        </w:tc>
        <w:tc>
          <w:tcPr>
            <w:tcW w:w="14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 xml:space="preserve">0.04 </w:t>
            </w:r>
          </w:p>
        </w:tc>
        <w:tc>
          <w:tcPr>
            <w:tcW w:w="137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华文楷体" w:cs="Times New Roman" w:hAnsi="Times New Roman"/>
                <w:color w:val="000000"/>
                <w:sz w:val="24"/>
              </w:rPr>
            </w:pPr>
          </w:p>
        </w:tc>
      </w:tr>
    </w:tbl>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FF0000"/>
          <w:sz w:val="28"/>
          <w:szCs w:val="28"/>
        </w:rPr>
      </w:pPr>
    </w:p>
    <w:tbl>
      <w:tblPr>
        <w:jc w:val="left"/>
        <w:tblInd w:w="108" w:type="dxa"/>
        <w:tblW w:w="4844" w:type="pct"/>
        <w:tblBorders>
          <w:top w:val="none" w:sz="0" w:space="0" w:color="auto"/>
          <w:left w:val="none" w:sz="0" w:space="0" w:color="auto"/>
          <w:bottom w:val="none" w:sz="0" w:space="0" w:color="auto"/>
          <w:right w:val="none" w:sz="0" w:space="0" w:color="auto"/>
        </w:tblBorders>
        <w:tblLayout w:type="fixed"/>
        <w:tblCellMar>
          <w:top w:w="0" w:type="dxa"/>
          <w:left w:w="108" w:type="dxa"/>
          <w:bottom w:w="0" w:type="dxa"/>
          <w:right w:w="108" w:type="dxa"/>
        </w:tblCellMar>
      </w:tblPr>
      <w:tblGrid>
        <w:gridCol w:w="1666"/>
        <w:gridCol w:w="2024"/>
        <w:gridCol w:w="2411"/>
        <w:gridCol w:w="2548"/>
      </w:tblGrid>
      <w:tr>
        <w:trPr>
          <w:trHeight w:val="336"/>
        </w:trPr>
        <w:tc>
          <w:tcPr>
            <w:tcW w:w="5000" w:type="pct"/>
            <w:gridSpan w:val="4"/>
            <w:tcBorders>
              <w:top w:val="nil"/>
              <w:left w:val="nil"/>
              <w:bottom w:val="nil"/>
              <w:right w:val="nil"/>
            </w:tcBorders>
            <w:shd w:val="clear" w:color="auto" w:fill="auto"/>
            <w:noWrap/>
            <w:vAlign w:val="center"/>
          </w:tcPr>
          <w:p>
            <w:pPr>
              <w:widowControl/>
              <w:spacing w:line="240" w:lineRule="exact"/>
              <w:jc w:val="left"/>
              <w:textAlignment w:val="center"/>
              <w:rPr>
                <w:rFonts w:ascii="Times New Roman" w:eastAsia="宋体" w:cs="Times New Roman" w:hAnsi="Times New Roman"/>
                <w:b/>
                <w:bCs/>
                <w:color w:val="000000"/>
                <w:sz w:val="24"/>
              </w:rPr>
            </w:pPr>
            <w:r>
              <w:rPr>
                <w:rFonts w:ascii="Times New Roman" w:eastAsia="华文楷体" w:cs="Times New Roman" w:hAnsi="Times New Roman"/>
                <w:b/>
                <w:color w:val="000000"/>
                <w:kern w:val="0"/>
                <w:sz w:val="24"/>
              </w:rPr>
              <w:t xml:space="preserve">    表14 </w:t>
            </w:r>
            <w:r>
              <w:rPr>
                <w:rFonts w:ascii="Times New Roman" w:eastAsia="华文楷体" w:cs="Times New Roman" w:hAnsi="Times New Roman"/>
                <w:b/>
                <w:bCs/>
                <w:color w:val="000000"/>
                <w:kern w:val="0"/>
                <w:sz w:val="24"/>
              </w:rPr>
              <w:t>低效林改造规划布局表</w:t>
            </w:r>
            <w:r>
              <w:rPr>
                <w:rFonts w:ascii="Times New Roman" w:eastAsia="华文楷体" w:cs="Times New Roman" w:hAnsi="Times New Roman"/>
                <w:b/>
                <w:color w:val="000000"/>
                <w:kern w:val="0"/>
                <w:sz w:val="22"/>
                <w:szCs w:val="22"/>
              </w:rPr>
              <w:t>单位：万亩</w:t>
            </w:r>
          </w:p>
        </w:tc>
      </w:tr>
      <w:tr>
        <w:trPr>
          <w:trHeight w:val="487"/>
        </w:trPr>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b/>
                <w:bCs/>
                <w:color w:val="000000"/>
                <w:sz w:val="24"/>
              </w:rPr>
            </w:pPr>
            <w:r>
              <w:rPr>
                <w:rStyle w:val="35"/>
                <w:rFonts w:ascii="Times New Roman" w:cs="Times New Roman" w:hAnsi="Times New Roman"/>
                <w:sz w:val="24"/>
                <w:szCs w:val="24"/>
              </w:rPr>
              <w:t>镇街</w:t>
            </w:r>
          </w:p>
        </w:tc>
        <w:tc>
          <w:tcPr>
            <w:tcW w:w="1170"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b/>
                <w:bCs/>
                <w:color w:val="000000"/>
                <w:sz w:val="24"/>
              </w:rPr>
            </w:pPr>
            <w:r>
              <w:rPr>
                <w:rStyle w:val="36"/>
                <w:rFonts w:ascii="Times New Roman" w:cs="Times New Roman" w:hAnsi="Times New Roman"/>
                <w:sz w:val="24"/>
                <w:szCs w:val="24"/>
              </w:rPr>
              <w:t>规划面积</w:t>
            </w:r>
          </w:p>
        </w:tc>
        <w:tc>
          <w:tcPr>
            <w:tcW w:w="1394" w:type="pct"/>
            <w:tcBorders>
              <w:top w:val="single" w:sz="4" w:space="0" w:color="000000"/>
              <w:left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b/>
                <w:bCs/>
                <w:color w:val="000000"/>
                <w:sz w:val="24"/>
              </w:rPr>
            </w:pPr>
            <w:r>
              <w:rPr>
                <w:rFonts w:ascii="Times New Roman" w:eastAsia="宋体" w:cs="Times New Roman" w:hAnsi="Times New Roman"/>
                <w:b/>
                <w:bCs/>
                <w:color w:val="000000"/>
                <w:kern w:val="0"/>
                <w:sz w:val="24"/>
              </w:rPr>
              <w:t>2021-2025</w:t>
            </w:r>
            <w:r>
              <w:rPr>
                <w:rStyle w:val="36"/>
                <w:rFonts w:ascii="Times New Roman" w:cs="Times New Roman" w:hAnsi="Times New Roman"/>
                <w:sz w:val="24"/>
                <w:szCs w:val="24"/>
              </w:rPr>
              <w:t>年</w:t>
            </w:r>
          </w:p>
        </w:tc>
        <w:tc>
          <w:tcPr>
            <w:tcW w:w="147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b/>
                <w:bCs/>
                <w:color w:val="000000"/>
                <w:sz w:val="24"/>
              </w:rPr>
            </w:pPr>
            <w:r>
              <w:rPr>
                <w:rFonts w:ascii="Times New Roman" w:eastAsia="宋体" w:cs="Times New Roman" w:hAnsi="Times New Roman"/>
                <w:b/>
                <w:bCs/>
                <w:color w:val="000000"/>
                <w:kern w:val="0"/>
                <w:sz w:val="24"/>
              </w:rPr>
              <w:t>2026-2030</w:t>
            </w:r>
            <w:r>
              <w:rPr>
                <w:rStyle w:val="36"/>
                <w:rFonts w:ascii="Times New Roman" w:cs="Times New Roman" w:hAnsi="Times New Roman"/>
                <w:sz w:val="24"/>
                <w:szCs w:val="24"/>
              </w:rPr>
              <w:t>年</w:t>
            </w:r>
          </w:p>
        </w:tc>
      </w:tr>
      <w:tr>
        <w:trPr>
          <w:trHeight w:val="397"/>
        </w:trPr>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华文楷体" w:cs="Times New Roman" w:hAnsi="Times New Roman"/>
                <w:color w:val="000000"/>
                <w:kern w:val="0"/>
                <w:sz w:val="24"/>
              </w:rPr>
              <w:t>合计</w:t>
            </w:r>
          </w:p>
        </w:tc>
        <w:tc>
          <w:tcPr>
            <w:tcW w:w="1170" w:type="pct"/>
            <w:tcBorders>
              <w:top w:val="single" w:sz="4" w:space="0" w:color="000000"/>
              <w:left w:val="single" w:sz="4" w:space="0" w:color="000000"/>
              <w:bottom w:val="single" w:sz="4" w:space="0" w:color="000000"/>
              <w:right w:val="single" w:sz="4" w:space="0" w:color="000000"/>
            </w:tcBorders>
            <w:shd w:val="clear" w:color="auto" w:fill="FFFFFF"/>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0.77 </w:t>
            </w:r>
          </w:p>
        </w:tc>
        <w:tc>
          <w:tcPr>
            <w:tcW w:w="13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0.77</w:t>
            </w:r>
          </w:p>
        </w:tc>
        <w:tc>
          <w:tcPr>
            <w:tcW w:w="14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p>
        </w:tc>
      </w:tr>
      <w:tr>
        <w:trPr>
          <w:trHeight w:val="397"/>
        </w:trPr>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华文楷体" w:cs="Times New Roman" w:hAnsi="Times New Roman"/>
                <w:color w:val="000000"/>
                <w:kern w:val="0"/>
                <w:sz w:val="24"/>
              </w:rPr>
              <w:t>白沙镇</w:t>
            </w:r>
          </w:p>
        </w:tc>
        <w:tc>
          <w:tcPr>
            <w:tcW w:w="11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0.10 </w:t>
            </w:r>
          </w:p>
        </w:tc>
        <w:tc>
          <w:tcPr>
            <w:tcW w:w="13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0.1</w:t>
            </w:r>
          </w:p>
        </w:tc>
        <w:tc>
          <w:tcPr>
            <w:tcW w:w="14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r>
      <w:tr>
        <w:trPr>
          <w:trHeight w:val="397"/>
        </w:trPr>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华文楷体" w:cs="Times New Roman" w:hAnsi="Times New Roman"/>
                <w:color w:val="000000"/>
                <w:kern w:val="0"/>
                <w:sz w:val="24"/>
              </w:rPr>
              <w:t>龙华镇</w:t>
            </w:r>
          </w:p>
        </w:tc>
        <w:tc>
          <w:tcPr>
            <w:tcW w:w="11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0.05 </w:t>
            </w:r>
          </w:p>
        </w:tc>
        <w:tc>
          <w:tcPr>
            <w:tcW w:w="13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0.05</w:t>
            </w:r>
          </w:p>
        </w:tc>
        <w:tc>
          <w:tcPr>
            <w:tcW w:w="14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r>
      <w:tr>
        <w:trPr>
          <w:trHeight w:val="397"/>
        </w:trPr>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华文楷体" w:cs="Times New Roman" w:hAnsi="Times New Roman"/>
                <w:color w:val="000000"/>
                <w:kern w:val="0"/>
                <w:sz w:val="24"/>
              </w:rPr>
              <w:t>石蟆镇</w:t>
            </w:r>
          </w:p>
        </w:tc>
        <w:tc>
          <w:tcPr>
            <w:tcW w:w="11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0.30 </w:t>
            </w:r>
          </w:p>
        </w:tc>
        <w:tc>
          <w:tcPr>
            <w:tcW w:w="13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0.3</w:t>
            </w:r>
          </w:p>
        </w:tc>
        <w:tc>
          <w:tcPr>
            <w:tcW w:w="14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p>
        </w:tc>
      </w:tr>
      <w:tr>
        <w:trPr>
          <w:trHeight w:val="397"/>
        </w:trPr>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华文楷体" w:cs="Times New Roman" w:hAnsi="Times New Roman"/>
                <w:color w:val="000000"/>
                <w:kern w:val="0"/>
                <w:sz w:val="24"/>
              </w:rPr>
              <w:t>先锋镇</w:t>
            </w:r>
          </w:p>
        </w:tc>
        <w:tc>
          <w:tcPr>
            <w:tcW w:w="11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0.10 </w:t>
            </w:r>
          </w:p>
        </w:tc>
        <w:tc>
          <w:tcPr>
            <w:tcW w:w="13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0.1</w:t>
            </w:r>
          </w:p>
        </w:tc>
        <w:tc>
          <w:tcPr>
            <w:tcW w:w="14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r>
      <w:tr>
        <w:trPr>
          <w:trHeight w:val="397"/>
        </w:trPr>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华文楷体" w:cs="Times New Roman" w:hAnsi="Times New Roman"/>
                <w:color w:val="000000"/>
                <w:kern w:val="0"/>
                <w:sz w:val="24"/>
              </w:rPr>
              <w:t>油溪镇</w:t>
            </w:r>
          </w:p>
        </w:tc>
        <w:tc>
          <w:tcPr>
            <w:tcW w:w="11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0.10 </w:t>
            </w:r>
          </w:p>
        </w:tc>
        <w:tc>
          <w:tcPr>
            <w:tcW w:w="13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0.1</w:t>
            </w:r>
          </w:p>
        </w:tc>
        <w:tc>
          <w:tcPr>
            <w:tcW w:w="14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r>
      <w:tr>
        <w:trPr>
          <w:trHeight w:val="397"/>
        </w:trPr>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华文楷体" w:cs="Times New Roman" w:hAnsi="Times New Roman"/>
                <w:color w:val="000000"/>
                <w:kern w:val="0"/>
                <w:sz w:val="24"/>
              </w:rPr>
              <w:t>支坪镇</w:t>
            </w:r>
          </w:p>
        </w:tc>
        <w:tc>
          <w:tcPr>
            <w:tcW w:w="11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0.12 </w:t>
            </w:r>
          </w:p>
        </w:tc>
        <w:tc>
          <w:tcPr>
            <w:tcW w:w="13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tabs>
                <w:tab w:val="left" w:pos="208"/>
                <w:tab w:val="center" w:pos="1157"/>
              </w:tabs>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0.12</w:t>
            </w:r>
          </w:p>
        </w:tc>
        <w:tc>
          <w:tcPr>
            <w:tcW w:w="14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p>
        </w:tc>
      </w:tr>
    </w:tbl>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FF0000"/>
          <w:sz w:val="28"/>
          <w:szCs w:val="28"/>
        </w:rPr>
      </w:pP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FF0000"/>
          <w:sz w:val="28"/>
          <w:szCs w:val="28"/>
        </w:rPr>
      </w:pP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FF0000"/>
          <w:sz w:val="28"/>
          <w:szCs w:val="28"/>
        </w:rPr>
      </w:pPr>
    </w:p>
    <w:p>
      <w:pPr>
        <w:pStyle w:val="22"/>
        <w:shd w:val="clear" w:color="auto" w:fill="FFFFFF"/>
        <w:spacing w:before="0" w:beforeAutospacing="0" w:after="0" w:afterAutospacing="0" w:line="360" w:lineRule="auto"/>
        <w:ind w:firstLine="142"/>
        <w:jc w:val="both"/>
        <w:rPr>
          <w:rFonts w:ascii="Times New Roman" w:eastAsia="方正楷体_GBK" w:cs="Times New Roman" w:hAnsi="Times New Roman"/>
          <w:color w:val="FF0000"/>
          <w:sz w:val="28"/>
          <w:szCs w:val="28"/>
        </w:rPr>
      </w:pPr>
      <w:r>
        <w:rPr>
          <w:rFonts w:ascii="Times New Roman" w:eastAsia="方正楷体_GBK" w:cs="Times New Roman" w:hAnsi="Times New Roman"/>
          <w:color w:val="FF0000"/>
          <w:sz w:val="28"/>
          <w:szCs w:val="28"/>
        </w:rPr>
        <w:drawing>
          <wp:inline distT="0" distB="0" distL="0" distR="0">
            <wp:extent cx="5219700" cy="3733800"/>
            <wp:effectExtent l="0" t="0" r="0" b="0"/>
            <wp:docPr id="23" name="图片 23" descr="H:\江津区两岸青山壬里林带总体规划材料汇总（2021。6。15）\江津区规划初（2021。8。6）\江津区规划2021.8.10初稿\生态景观.jpg"/>
            <wp:cNvGraphicFramePr>
              <a:graphicFrameLocks noChangeAspect="1"/>
            </wp:cNvGraphicFramePr>
            <a:graphic>
              <a:graphicData uri="http://schemas.openxmlformats.org/drawingml/2006/picture">
                <pic:pic>
                  <pic:nvPicPr>
                    <pic:cNvPr id="25" name="图片 25"/>
                    <pic:cNvPicPr/>
                  </pic:nvPicPr>
                  <pic:blipFill>
                    <a:blip r:embed="rId17"/>
                    <a:stretch>
                      <a:fillRect/>
                    </a:stretch>
                  </pic:blipFill>
                  <pic:spPr>
                    <a:xfrm rot="0">
                      <a:off x="0" y="0"/>
                      <a:ext cx="5219700" cy="3733800"/>
                    </a:xfrm>
                    <a:prstGeom prst="rect"/>
                    <a:noFill/>
                    <a:ln w="9525" cmpd="sng" cap="flat">
                      <a:noFill/>
                      <a:prstDash val="solid"/>
                      <a:miter/>
                    </a:ln>
                  </pic:spPr>
                </pic:pic>
              </a:graphicData>
            </a:graphic>
          </wp:inline>
        </w:drawing>
      </w:r>
    </w:p>
    <w:p>
      <w:pPr>
        <w:pStyle w:val="22"/>
        <w:shd w:val="clear" w:color="auto" w:fill="FFFFFF"/>
        <w:spacing w:before="0" w:beforeAutospacing="0" w:after="0" w:afterAutospacing="0" w:line="360" w:lineRule="auto"/>
        <w:ind w:firstLineChars="1000" w:firstLine="2400"/>
        <w:jc w:val="both"/>
        <w:rPr>
          <w:rFonts w:ascii="Times New Roman" w:eastAsia="方正楷体_GBK" w:cs="Times New Roman" w:hAnsi="Times New Roman"/>
          <w:color w:val="FF0000"/>
          <w:sz w:val="28"/>
          <w:szCs w:val="28"/>
        </w:rPr>
      </w:pPr>
      <w:r>
        <w:rPr>
          <w:rFonts w:ascii="Times New Roman" w:eastAsia="华文楷体" w:cs="Times New Roman" w:hAnsi="Times New Roman"/>
          <w:b/>
          <w:bCs/>
          <w:color w:val="000000"/>
        </w:rPr>
        <w:t>图9：生态景观示范建设规划示意图</w:t>
      </w:r>
    </w:p>
    <w:p>
      <w:pPr>
        <w:pStyle w:val="22"/>
        <w:shd w:val="clear" w:color="auto" w:fill="FFFFFF"/>
        <w:spacing w:before="0" w:beforeAutospacing="0" w:after="0" w:afterAutospacing="0" w:line="360" w:lineRule="auto"/>
        <w:jc w:val="both"/>
        <w:rPr>
          <w:rFonts w:ascii="Times New Roman" w:eastAsia="方正楷体_GBK" w:cs="Times New Roman" w:hAnsi="Times New Roman"/>
          <w:color w:val="FF0000"/>
          <w:sz w:val="28"/>
          <w:szCs w:val="28"/>
        </w:rPr>
      </w:pPr>
    </w:p>
    <w:tbl>
      <w:tblPr>
        <w:jc w:val="left"/>
        <w:tblInd w:w="108" w:type="dxa"/>
        <w:tblW w:w="4844" w:type="pct"/>
        <w:tblBorders>
          <w:top w:val="none" w:sz="0" w:space="0" w:color="auto"/>
          <w:left w:val="none" w:sz="0" w:space="0" w:color="auto"/>
          <w:bottom w:val="none" w:sz="0" w:space="0" w:color="auto"/>
          <w:right w:val="none" w:sz="0" w:space="0" w:color="auto"/>
        </w:tblBorders>
        <w:tblLayout w:type="fixed"/>
        <w:tblCellMar>
          <w:top w:w="0" w:type="dxa"/>
          <w:left w:w="108" w:type="dxa"/>
          <w:bottom w:w="0" w:type="dxa"/>
          <w:right w:w="108" w:type="dxa"/>
        </w:tblCellMar>
      </w:tblPr>
      <w:tblGrid>
        <w:gridCol w:w="2117"/>
        <w:gridCol w:w="2229"/>
        <w:gridCol w:w="2229"/>
        <w:gridCol w:w="2072"/>
      </w:tblGrid>
      <w:tr>
        <w:trPr>
          <w:trHeight w:val="312"/>
        </w:trPr>
        <w:tc>
          <w:tcPr>
            <w:tcW w:w="5000" w:type="pct"/>
            <w:gridSpan w:val="4"/>
            <w:tcBorders>
              <w:top w:val="nil"/>
              <w:left w:val="nil"/>
              <w:bottom w:val="nil"/>
              <w:right w:val="nil"/>
            </w:tcBorders>
            <w:shd w:val="clear" w:color="auto" w:fill="auto"/>
            <w:noWrap/>
            <w:vAlign w:val="center"/>
          </w:tcPr>
          <w:p>
            <w:pPr>
              <w:widowControl/>
              <w:spacing w:line="240" w:lineRule="exact"/>
              <w:jc w:val="left"/>
              <w:textAlignment w:val="center"/>
              <w:rPr>
                <w:rFonts w:ascii="Times New Roman" w:eastAsia="华文楷体" w:cs="Times New Roman" w:hAnsi="Times New Roman"/>
                <w:b/>
                <w:bCs/>
                <w:color w:val="000000"/>
                <w:sz w:val="24"/>
              </w:rPr>
            </w:pPr>
            <w:r>
              <w:rPr>
                <w:rFonts w:ascii="Times New Roman" w:eastAsia="华文楷体" w:cs="Times New Roman" w:hAnsi="Times New Roman"/>
                <w:b/>
                <w:color w:val="000000"/>
                <w:kern w:val="0"/>
                <w:sz w:val="24"/>
              </w:rPr>
              <w:t>表15</w:t>
            </w:r>
            <w:r>
              <w:rPr>
                <w:rFonts w:ascii="Times New Roman" w:eastAsia="华文楷体" w:cs="Times New Roman" w:hAnsi="Times New Roman"/>
                <w:b/>
                <w:bCs/>
                <w:color w:val="000000"/>
                <w:kern w:val="0"/>
                <w:sz w:val="24"/>
              </w:rPr>
              <w:t xml:space="preserve">森林抚育建设规划布局表           </w:t>
            </w:r>
            <w:r>
              <w:rPr>
                <w:rFonts w:ascii="Times New Roman" w:eastAsia="华文楷体" w:cs="Times New Roman" w:hAnsi="Times New Roman"/>
                <w:b/>
                <w:color w:val="000000"/>
                <w:kern w:val="0"/>
                <w:sz w:val="24"/>
              </w:rPr>
              <w:t>单位：万亩</w:t>
            </w:r>
          </w:p>
        </w:tc>
      </w:tr>
      <w:tr>
        <w:trPr>
          <w:trHeight w:val="544"/>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b/>
                <w:bCs/>
                <w:color w:val="000000"/>
                <w:sz w:val="24"/>
              </w:rPr>
            </w:pPr>
            <w:r>
              <w:rPr>
                <w:rStyle w:val="35"/>
                <w:rFonts w:ascii="Times New Roman" w:cs="Times New Roman" w:hAnsi="Times New Roman"/>
                <w:sz w:val="24"/>
                <w:szCs w:val="24"/>
              </w:rPr>
              <w:t>镇街</w:t>
            </w:r>
          </w:p>
        </w:tc>
        <w:tc>
          <w:tcPr>
            <w:tcW w:w="1289"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b/>
                <w:bCs/>
                <w:color w:val="000000"/>
                <w:sz w:val="24"/>
              </w:rPr>
            </w:pPr>
            <w:r>
              <w:rPr>
                <w:rFonts w:ascii="Times New Roman" w:eastAsia="华文楷体" w:cs="Times New Roman" w:hAnsi="Times New Roman"/>
                <w:b/>
                <w:bCs/>
                <w:color w:val="000000"/>
                <w:kern w:val="0"/>
                <w:sz w:val="24"/>
              </w:rPr>
              <w:t>规划面积</w:t>
            </w:r>
          </w:p>
        </w:tc>
        <w:tc>
          <w:tcPr>
            <w:tcW w:w="1289" w:type="pct"/>
            <w:tcBorders>
              <w:top w:val="single" w:sz="4" w:space="0" w:color="000000"/>
              <w:left w:val="single" w:sz="4" w:space="0" w:color="000000"/>
              <w:bottom w:val="single" w:sz="4" w:space="0" w:color="000000"/>
              <w:right w:val="nil"/>
            </w:tcBorders>
            <w:shd w:val="clear" w:color="auto" w:fill="auto"/>
            <w:vAlign w:val="center"/>
          </w:tcPr>
          <w:p>
            <w:pPr>
              <w:widowControl/>
              <w:spacing w:line="240" w:lineRule="exact"/>
              <w:jc w:val="center"/>
              <w:textAlignment w:val="center"/>
              <w:rPr>
                <w:rFonts w:ascii="Times New Roman" w:eastAsia="宋体" w:cs="Times New Roman" w:hAnsi="Times New Roman"/>
                <w:b/>
                <w:bCs/>
                <w:color w:val="000000"/>
                <w:sz w:val="24"/>
              </w:rPr>
            </w:pPr>
            <w:r>
              <w:rPr>
                <w:rFonts w:ascii="Times New Roman" w:eastAsia="宋体" w:cs="Times New Roman" w:hAnsi="Times New Roman"/>
                <w:b/>
                <w:bCs/>
                <w:color w:val="000000"/>
                <w:kern w:val="0"/>
                <w:sz w:val="24"/>
              </w:rPr>
              <w:t>2021-2025</w:t>
            </w:r>
            <w:r>
              <w:rPr>
                <w:rFonts w:ascii="Times New Roman" w:eastAsia="华文楷体" w:cs="Times New Roman" w:hAnsi="Times New Roman"/>
                <w:b/>
                <w:bCs/>
                <w:color w:val="000000"/>
                <w:kern w:val="0"/>
                <w:sz w:val="24"/>
              </w:rPr>
              <w:t>年</w:t>
            </w:r>
          </w:p>
        </w:tc>
        <w:tc>
          <w:tcPr>
            <w:tcW w:w="1198"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宋体" w:cs="Times New Roman" w:hAnsi="Times New Roman"/>
                <w:b/>
                <w:bCs/>
                <w:color w:val="000000"/>
                <w:sz w:val="24"/>
              </w:rPr>
            </w:pPr>
            <w:r>
              <w:rPr>
                <w:rFonts w:ascii="Times New Roman" w:eastAsia="宋体" w:cs="Times New Roman" w:hAnsi="Times New Roman"/>
                <w:b/>
                <w:bCs/>
                <w:color w:val="000000"/>
                <w:kern w:val="0"/>
                <w:sz w:val="24"/>
              </w:rPr>
              <w:t>2026-2030</w:t>
            </w:r>
            <w:r>
              <w:rPr>
                <w:rFonts w:ascii="Times New Roman" w:eastAsia="华文楷体" w:cs="Times New Roman" w:hAnsi="Times New Roman"/>
                <w:b/>
                <w:bCs/>
                <w:color w:val="000000"/>
                <w:kern w:val="0"/>
                <w:sz w:val="24"/>
              </w:rPr>
              <w:t>年</w:t>
            </w: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合计</w:t>
            </w:r>
          </w:p>
        </w:tc>
        <w:tc>
          <w:tcPr>
            <w:tcW w:w="1289" w:type="pct"/>
            <w:tcBorders>
              <w:top w:val="single" w:sz="4" w:space="0" w:color="000000"/>
              <w:left w:val="single" w:sz="4" w:space="0" w:color="000000"/>
              <w:bottom w:val="single" w:sz="4" w:space="0" w:color="000000"/>
              <w:right w:val="single" w:sz="4" w:space="0" w:color="000000"/>
            </w:tcBorders>
            <w:shd w:val="clear" w:color="auto" w:fill="FFFFFF"/>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4.70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2.80 </w:t>
            </w: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1.90 </w:t>
            </w: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白沙镇</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0.60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0.50 </w:t>
            </w: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0.10 </w:t>
            </w: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鼎山街道</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0.10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0.10 </w:t>
            </w: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几江街道</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0.20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0.20 </w:t>
            </w: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龙华镇</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0.30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0.30 </w:t>
            </w: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珞璜镇</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0.70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0.70 </w:t>
            </w: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圣泉街道</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0.30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0.30 </w:t>
            </w: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石蟆镇</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1.00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1.00 </w:t>
            </w: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石门镇</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0.20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0.20 </w:t>
            </w: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油溪镇</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0.30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0.30 </w:t>
            </w: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支坪镇</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0.80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0.40 </w:t>
            </w: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0.40 </w:t>
            </w:r>
          </w:p>
        </w:tc>
      </w:tr>
      <w:tr>
        <w:trPr>
          <w:trHeight w:val="397"/>
        </w:trPr>
        <w:tc>
          <w:tcPr>
            <w:tcW w:w="1224" w:type="pc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spacing w:line="240" w:lineRule="exact"/>
              <w:jc w:val="center"/>
              <w:textAlignment w:val="center"/>
              <w:rPr>
                <w:rFonts w:ascii="Times New Roman" w:eastAsia="华文楷体" w:cs="Times New Roman" w:hAnsi="Times New Roman"/>
                <w:color w:val="000000"/>
                <w:sz w:val="24"/>
              </w:rPr>
            </w:pPr>
            <w:r>
              <w:rPr>
                <w:rFonts w:ascii="Times New Roman" w:eastAsia="华文楷体" w:cs="Times New Roman" w:hAnsi="Times New Roman"/>
                <w:color w:val="000000"/>
                <w:kern w:val="0"/>
                <w:sz w:val="24"/>
              </w:rPr>
              <w:t>朱杨镇</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0.20 </w:t>
            </w:r>
          </w:p>
        </w:tc>
        <w:tc>
          <w:tcPr>
            <w:tcW w:w="1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textAlignment w:val="center"/>
              <w:rPr>
                <w:rFonts w:ascii="Times New Roman" w:eastAsia="宋体" w:cs="Times New Roman" w:hAnsi="Times New Roman"/>
                <w:color w:val="000000"/>
                <w:sz w:val="24"/>
              </w:rPr>
            </w:pPr>
            <w:r>
              <w:rPr>
                <w:rFonts w:ascii="Times New Roman" w:eastAsia="宋体" w:cs="Times New Roman" w:hAnsi="Times New Roman"/>
                <w:color w:val="000000"/>
                <w:kern w:val="0"/>
                <w:sz w:val="24"/>
              </w:rPr>
              <w:t xml:space="preserve">0.20 </w:t>
            </w:r>
          </w:p>
        </w:tc>
        <w:tc>
          <w:tcPr>
            <w:tcW w:w="11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spacing w:line="240" w:lineRule="exact"/>
              <w:jc w:val="center"/>
              <w:rPr>
                <w:rFonts w:ascii="Times New Roman" w:eastAsia="宋体" w:cs="Times New Roman" w:hAnsi="Times New Roman"/>
                <w:color w:val="000000"/>
                <w:sz w:val="24"/>
              </w:rPr>
            </w:pPr>
          </w:p>
        </w:tc>
      </w:tr>
    </w:tbl>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FF0000"/>
          <w:sz w:val="28"/>
          <w:szCs w:val="28"/>
        </w:rPr>
      </w:pPr>
    </w:p>
    <w:p>
      <w:pPr>
        <w:pStyle w:val="22"/>
        <w:shd w:val="clear" w:color="auto" w:fill="FFFFFF"/>
        <w:spacing w:before="0" w:beforeAutospacing="0" w:after="0" w:afterAutospacing="0" w:line="360" w:lineRule="auto"/>
        <w:jc w:val="both"/>
        <w:rPr>
          <w:rFonts w:ascii="Times New Roman" w:eastAsia="方正楷体_GBK" w:cs="Times New Roman" w:hAnsi="Times New Roman"/>
          <w:sz w:val="28"/>
          <w:szCs w:val="28"/>
        </w:rPr>
      </w:pPr>
    </w:p>
    <w:p>
      <w:pPr>
        <w:pStyle w:val="22"/>
        <w:shd w:val="clear" w:color="auto" w:fill="FFFFFF"/>
        <w:spacing w:before="0" w:beforeAutospacing="0" w:after="0" w:afterAutospacing="0" w:line="600" w:lineRule="exact"/>
        <w:ind w:firstLine="482"/>
        <w:jc w:val="both"/>
        <w:rPr>
          <w:rFonts w:ascii="Times New Roman" w:eastAsia="方正仿宋_GBK" w:cs="Times New Roman" w:hAnsi="Times New Roman"/>
          <w:b/>
          <w:sz w:val="32"/>
          <w:szCs w:val="32"/>
        </w:rPr>
      </w:pPr>
      <w:r>
        <w:rPr>
          <w:rFonts w:ascii="Times New Roman" w:eastAsia="方正仿宋_GBK" w:cs="Times New Roman" w:hAnsi="Times New Roman"/>
          <w:b/>
          <w:sz w:val="32"/>
          <w:szCs w:val="32"/>
          <w:lang w:val="en-US" w:eastAsia="zh-CN"/>
        </w:rPr>
        <w:t>2.</w:t>
      </w:r>
      <w:r>
        <w:rPr>
          <w:rFonts w:ascii="Times New Roman" w:eastAsia="方正仿宋_GBK" w:cs="Times New Roman" w:hAnsi="Times New Roman"/>
          <w:b/>
          <w:sz w:val="32"/>
          <w:szCs w:val="32"/>
        </w:rPr>
        <w:t>生活空间添色彩0.1万亩</w:t>
      </w:r>
    </w:p>
    <w:p>
      <w:pPr>
        <w:pStyle w:val="22"/>
        <w:shd w:val="clear" w:color="auto" w:fill="FFFFFF"/>
        <w:spacing w:before="0" w:beforeAutospacing="0" w:after="0" w:afterAutospacing="0" w:line="600" w:lineRule="exact"/>
        <w:ind w:firstLine="482"/>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围绕城乡融合发展、新型城镇化，以海绵城市、生态园林城市和国家森林城市创建为载体，对江河两岸沿线城市的建成区、工业园区、交通码头等进行绿化美化0.1万亩，提升城市绿化质量。建成区、园区及码头绿化美化任务面积为0.1万亩，实施镇街为圣泉街道，2021-2025年攻坚阶段实施。</w:t>
      </w: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000000"/>
          <w:sz w:val="28"/>
          <w:szCs w:val="28"/>
        </w:rPr>
      </w:pP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000000"/>
        </w:rPr>
      </w:pPr>
      <w:r>
        <w:rPr>
          <w:rFonts w:ascii="Times New Roman" w:eastAsia="方正楷体_GBK" w:cs="Times New Roman" w:hAnsi="Times New Roman"/>
          <w:b/>
          <w:color w:val="000000"/>
        </w:rPr>
        <w:t>表16</w:t>
      </w:r>
      <w:r>
        <w:rPr>
          <w:rFonts w:ascii="Times New Roman" w:eastAsia="方正楷体_GBK" w:cs="Times New Roman" w:hAnsi="Times New Roman"/>
          <w:b/>
          <w:bCs/>
          <w:color w:val="000000"/>
        </w:rPr>
        <w:t>建成区、园区及码头绿化美化规划布局表</w:t>
      </w:r>
      <w:r>
        <w:rPr>
          <w:rFonts w:ascii="Times New Roman" w:eastAsia="方正楷体_GBK" w:cs="Times New Roman" w:hAnsi="Times New Roman"/>
          <w:b/>
          <w:color w:val="000000"/>
        </w:rPr>
        <w:t>单位:万亩</w:t>
      </w:r>
    </w:p>
    <w:tbl>
      <w:tblPr>
        <w:jc w:val="left"/>
        <w:tblInd w:w="250" w:type="dxa"/>
        <w:tblW w:w="8265" w:type="dxa"/>
        <w:tblBorders>
          <w:top w:val="none" w:sz="0" w:space="0" w:color="auto"/>
          <w:left w:val="none" w:sz="0" w:space="0" w:color="auto"/>
          <w:bottom w:val="none" w:sz="0" w:space="0" w:color="auto"/>
          <w:right w:val="none" w:sz="0" w:space="0" w:color="auto"/>
        </w:tblBorders>
        <w:tblLayout w:type="fixed"/>
        <w:tblCellMar>
          <w:top w:w="0" w:type="dxa"/>
          <w:left w:w="108" w:type="dxa"/>
          <w:bottom w:w="0" w:type="dxa"/>
          <w:right w:w="108" w:type="dxa"/>
        </w:tblCellMar>
      </w:tblPr>
      <w:tblGrid>
        <w:gridCol w:w="1238"/>
        <w:gridCol w:w="1347"/>
        <w:gridCol w:w="2106"/>
        <w:gridCol w:w="2400"/>
        <w:gridCol w:w="1174"/>
      </w:tblGrid>
      <w:tr>
        <w:trPr>
          <w:trHeight w:val="469"/>
        </w:trPr>
        <w:tc>
          <w:tcPr>
            <w:tcW w:w="123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方正楷体_GBK" w:cs="Times New Roman" w:hAnsi="Times New Roman"/>
                <w:b/>
                <w:bCs/>
                <w:color w:val="000000"/>
                <w:szCs w:val="21"/>
              </w:rPr>
            </w:pPr>
            <w:r>
              <w:rPr>
                <w:rFonts w:ascii="Times New Roman" w:eastAsia="方正楷体_GBK" w:cs="Times New Roman" w:hAnsi="Times New Roman"/>
                <w:b/>
                <w:bCs/>
                <w:color w:val="000000"/>
                <w:kern w:val="0"/>
                <w:szCs w:val="21"/>
              </w:rPr>
              <w:t>镇街</w:t>
            </w:r>
          </w:p>
        </w:tc>
        <w:tc>
          <w:tcPr>
            <w:tcW w:w="13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方正楷体_GBK" w:cs="Times New Roman" w:hAnsi="Times New Roman"/>
                <w:b/>
                <w:bCs/>
                <w:color w:val="000000"/>
                <w:szCs w:val="21"/>
              </w:rPr>
            </w:pPr>
            <w:r>
              <w:rPr>
                <w:rFonts w:ascii="Times New Roman" w:eastAsia="方正楷体_GBK" w:cs="Times New Roman" w:hAnsi="Times New Roman"/>
                <w:b/>
                <w:bCs/>
                <w:color w:val="000000"/>
                <w:kern w:val="0"/>
                <w:szCs w:val="21"/>
              </w:rPr>
              <w:t>规划面积</w:t>
            </w:r>
          </w:p>
        </w:tc>
        <w:tc>
          <w:tcPr>
            <w:tcW w:w="4506"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方正楷体_GBK" w:cs="Times New Roman" w:hAnsi="Times New Roman"/>
                <w:b/>
                <w:bCs/>
                <w:color w:val="000000"/>
                <w:sz w:val="22"/>
                <w:szCs w:val="22"/>
              </w:rPr>
            </w:pPr>
            <w:r>
              <w:rPr>
                <w:rFonts w:ascii="Times New Roman" w:eastAsia="方正楷体_GBK" w:cs="Times New Roman" w:hAnsi="Times New Roman"/>
                <w:b/>
                <w:bCs/>
                <w:color w:val="000000"/>
                <w:kern w:val="0"/>
                <w:sz w:val="22"/>
                <w:szCs w:val="22"/>
              </w:rPr>
              <w:t>分阶段建设面积</w:t>
            </w:r>
          </w:p>
        </w:tc>
        <w:tc>
          <w:tcPr>
            <w:tcW w:w="1174"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方正楷体_GBK" w:cs="Times New Roman" w:hAnsi="Times New Roman"/>
                <w:b/>
                <w:bCs/>
                <w:color w:val="000000"/>
                <w:sz w:val="22"/>
                <w:szCs w:val="22"/>
              </w:rPr>
            </w:pPr>
            <w:r>
              <w:rPr>
                <w:rFonts w:ascii="Times New Roman" w:eastAsia="方正楷体_GBK" w:cs="Times New Roman" w:hAnsi="Times New Roman"/>
                <w:b/>
                <w:bCs/>
                <w:color w:val="000000"/>
                <w:kern w:val="0"/>
                <w:sz w:val="22"/>
                <w:szCs w:val="22"/>
              </w:rPr>
              <w:t>备注</w:t>
            </w:r>
          </w:p>
        </w:tc>
      </w:tr>
      <w:tr>
        <w:trPr>
          <w:trHeight w:val="588"/>
        </w:trPr>
        <w:tc>
          <w:tcPr>
            <w:tcW w:w="123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tc>
        <w:tc>
          <w:tcPr>
            <w:tcW w:w="13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方正楷体_GBK" w:cs="Times New Roman" w:hAnsi="Times New Roman"/>
                <w:b/>
                <w:bCs/>
                <w:color w:val="000000"/>
                <w:szCs w:val="21"/>
              </w:rPr>
            </w:pPr>
            <w:r>
              <w:rPr>
                <w:rStyle w:val="37"/>
                <w:rFonts w:eastAsia="方正楷体_GBK"/>
              </w:rPr>
              <w:t>2021-2025</w:t>
            </w:r>
            <w:r>
              <w:rPr>
                <w:rFonts w:ascii="Times New Roman" w:eastAsia="方正楷体_GBK" w:cs="Times New Roman" w:hAnsi="Times New Roman"/>
                <w:b/>
                <w:bCs/>
                <w:color w:val="000000"/>
                <w:kern w:val="0"/>
                <w:szCs w:val="21"/>
              </w:rPr>
              <w:t>年</w:t>
            </w:r>
          </w:p>
        </w:tc>
        <w:tc>
          <w:tcPr>
            <w:tcW w:w="240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Times New Roman" w:eastAsia="方正楷体_GBK" w:cs="Times New Roman" w:hAnsi="Times New Roman"/>
                <w:b/>
                <w:bCs/>
                <w:color w:val="000000"/>
                <w:szCs w:val="21"/>
              </w:rPr>
            </w:pPr>
            <w:r>
              <w:rPr>
                <w:rStyle w:val="37"/>
                <w:rFonts w:eastAsia="方正楷体_GBK"/>
              </w:rPr>
              <w:t>2026-2030</w:t>
            </w:r>
            <w:r>
              <w:rPr>
                <w:rFonts w:ascii="Times New Roman" w:eastAsia="方正楷体_GBK" w:cs="Times New Roman" w:hAnsi="Times New Roman"/>
                <w:b/>
                <w:bCs/>
                <w:color w:val="000000"/>
                <w:kern w:val="0"/>
                <w:szCs w:val="21"/>
              </w:rPr>
              <w:t>年</w:t>
            </w:r>
          </w:p>
        </w:tc>
        <w:tc>
          <w:tcPr>
            <w:tcW w:w="1174" w:type="dxa"/>
            <w:vMerge/>
            <w:tcBorders>
              <w:top w:val="single" w:sz="4" w:space="0" w:color="000000"/>
              <w:left w:val="single" w:sz="4" w:space="0" w:color="000000"/>
              <w:bottom w:val="single" w:sz="4" w:space="0" w:color="000000"/>
              <w:right w:val="single" w:sz="4" w:space="0" w:color="000000"/>
            </w:tcBorders>
            <w:shd w:val="clear" w:color="auto" w:fill="auto"/>
            <w:noWrap/>
            <w:vAlign w:val="center"/>
          </w:tcPr>
          <w:p/>
        </w:tc>
      </w:tr>
      <w:tr>
        <w:trPr>
          <w:trHeight w:val="502"/>
        </w:trPr>
        <w:tc>
          <w:tcPr>
            <w:tcW w:w="123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合计</w:t>
            </w:r>
          </w:p>
        </w:tc>
        <w:tc>
          <w:tcPr>
            <w:tcW w:w="13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方正楷体_GBK" w:cs="Times New Roman" w:hAnsi="Times New Roman"/>
                <w:color w:val="000000"/>
                <w:szCs w:val="21"/>
              </w:rPr>
            </w:pPr>
            <w:r>
              <w:rPr>
                <w:rFonts w:ascii="Times New Roman" w:eastAsia="方正楷体_GBK" w:cs="Times New Roman" w:hAnsi="Times New Roman"/>
                <w:color w:val="000000"/>
                <w:kern w:val="0"/>
                <w:szCs w:val="21"/>
              </w:rPr>
              <w:t>0.1</w:t>
            </w:r>
          </w:p>
        </w:tc>
        <w:tc>
          <w:tcPr>
            <w:tcW w:w="210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方正楷体_GBK" w:cs="Times New Roman" w:hAnsi="Times New Roman"/>
                <w:color w:val="000000"/>
                <w:szCs w:val="21"/>
              </w:rPr>
            </w:pPr>
            <w:r>
              <w:rPr>
                <w:rFonts w:ascii="Times New Roman" w:eastAsia="方正楷体_GBK" w:cs="Times New Roman" w:hAnsi="Times New Roman"/>
                <w:color w:val="000000"/>
                <w:kern w:val="0"/>
                <w:szCs w:val="21"/>
              </w:rPr>
              <w:t>0.1</w:t>
            </w:r>
          </w:p>
        </w:tc>
        <w:tc>
          <w:tcPr>
            <w:tcW w:w="24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方正楷体_GBK" w:cs="Times New Roman" w:hAnsi="Times New Roman"/>
                <w:color w:val="000000"/>
                <w:szCs w:val="21"/>
              </w:rPr>
            </w:pPr>
          </w:p>
        </w:tc>
        <w:tc>
          <w:tcPr>
            <w:tcW w:w="11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jc w:val="center"/>
              <w:rPr>
                <w:rFonts w:ascii="Times New Roman" w:eastAsia="方正楷体_GBK" w:cs="Times New Roman" w:hAnsi="Times New Roman"/>
                <w:color w:val="000000"/>
                <w:sz w:val="22"/>
                <w:szCs w:val="22"/>
              </w:rPr>
            </w:pPr>
          </w:p>
        </w:tc>
      </w:tr>
      <w:tr>
        <w:trPr>
          <w:trHeight w:val="538"/>
        </w:trPr>
        <w:tc>
          <w:tcPr>
            <w:tcW w:w="123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圣泉街道</w:t>
            </w:r>
          </w:p>
        </w:tc>
        <w:tc>
          <w:tcPr>
            <w:tcW w:w="134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方正楷体_GBK" w:cs="Times New Roman" w:hAnsi="Times New Roman"/>
                <w:color w:val="000000"/>
                <w:szCs w:val="21"/>
              </w:rPr>
            </w:pPr>
            <w:r>
              <w:rPr>
                <w:rFonts w:ascii="Times New Roman" w:eastAsia="方正楷体_GBK" w:cs="Times New Roman" w:hAnsi="Times New Roman"/>
                <w:color w:val="000000"/>
                <w:kern w:val="0"/>
                <w:szCs w:val="21"/>
              </w:rPr>
              <w:t>0.1</w:t>
            </w:r>
          </w:p>
        </w:tc>
        <w:tc>
          <w:tcPr>
            <w:tcW w:w="210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方正楷体_GBK" w:cs="Times New Roman" w:hAnsi="Times New Roman"/>
                <w:color w:val="000000"/>
                <w:szCs w:val="21"/>
              </w:rPr>
            </w:pPr>
            <w:r>
              <w:rPr>
                <w:rFonts w:ascii="Times New Roman" w:eastAsia="方正楷体_GBK" w:cs="Times New Roman" w:hAnsi="Times New Roman"/>
                <w:color w:val="000000"/>
                <w:kern w:val="0"/>
                <w:szCs w:val="21"/>
              </w:rPr>
              <w:t>0.1</w:t>
            </w:r>
          </w:p>
        </w:tc>
        <w:tc>
          <w:tcPr>
            <w:tcW w:w="24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center"/>
              <w:textAlignment w:val="center"/>
              <w:rPr>
                <w:rFonts w:ascii="Times New Roman" w:eastAsia="方正楷体_GBK" w:cs="Times New Roman" w:hAnsi="Times New Roman"/>
                <w:color w:val="000000"/>
                <w:szCs w:val="21"/>
              </w:rPr>
            </w:pPr>
          </w:p>
        </w:tc>
        <w:tc>
          <w:tcPr>
            <w:tcW w:w="11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pPr>
              <w:jc w:val="center"/>
              <w:rPr>
                <w:rFonts w:ascii="Times New Roman" w:eastAsia="方正楷体_GBK" w:cs="Times New Roman" w:hAnsi="Times New Roman"/>
                <w:color w:val="000000"/>
                <w:sz w:val="22"/>
                <w:szCs w:val="22"/>
              </w:rPr>
            </w:pPr>
          </w:p>
        </w:tc>
      </w:tr>
    </w:tbl>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000000"/>
          <w:sz w:val="28"/>
          <w:szCs w:val="28"/>
        </w:rPr>
      </w:pP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000000"/>
          <w:sz w:val="28"/>
          <w:szCs w:val="28"/>
        </w:rPr>
      </w:pPr>
    </w:p>
    <w:p>
      <w:pPr>
        <w:pStyle w:val="22"/>
        <w:shd w:val="clear" w:color="auto" w:fill="FFFFFF"/>
        <w:spacing w:before="0" w:beforeAutospacing="0" w:after="0" w:afterAutospacing="0" w:line="360" w:lineRule="auto"/>
        <w:ind w:firstLine="709"/>
        <w:jc w:val="both"/>
        <w:rPr>
          <w:rFonts w:ascii="Times New Roman" w:eastAsia="方正楷体_GBK" w:cs="Times New Roman" w:hAnsi="Times New Roman"/>
          <w:color w:val="000000"/>
          <w:sz w:val="28"/>
          <w:szCs w:val="28"/>
        </w:rPr>
      </w:pPr>
      <w:r>
        <w:rPr>
          <w:rFonts w:ascii="Times New Roman" w:eastAsia="方正楷体_GBK" w:cs="Times New Roman" w:hAnsi="Times New Roman"/>
          <w:color w:val="000000"/>
          <w:sz w:val="28"/>
          <w:szCs w:val="28"/>
        </w:rPr>
        <w:drawing>
          <wp:inline distT="0" distB="0" distL="0" distR="0">
            <wp:extent cx="4610100" cy="3114675"/>
            <wp:effectExtent l="0" t="0" r="0" b="0"/>
            <wp:docPr id="26" name="图片 26" descr="H:\江津区两岸青山壬里林带总体规划材料汇总（2021。6。15）\江津区规划初（2021。8。6）\江津区规划2021.8.10初稿\两岸青山，千里林带（江津）.jpg"/>
            <wp:cNvGraphicFramePr>
              <a:graphicFrameLocks noChangeAspect="1"/>
            </wp:cNvGraphicFramePr>
            <a:graphic>
              <a:graphicData uri="http://schemas.openxmlformats.org/drawingml/2006/picture">
                <pic:pic>
                  <pic:nvPicPr>
                    <pic:cNvPr id="28" name="图片 28"/>
                    <pic:cNvPicPr/>
                  </pic:nvPicPr>
                  <pic:blipFill>
                    <a:blip r:embed="rId18"/>
                    <a:stretch>
                      <a:fillRect/>
                    </a:stretch>
                  </pic:blipFill>
                  <pic:spPr>
                    <a:xfrm rot="0">
                      <a:off x="0" y="0"/>
                      <a:ext cx="4610100" cy="3114675"/>
                    </a:xfrm>
                    <a:prstGeom prst="rect"/>
                    <a:noFill/>
                    <a:ln w="9525" cmpd="sng" cap="flat">
                      <a:noFill/>
                      <a:prstDash val="solid"/>
                      <a:miter/>
                    </a:ln>
                  </pic:spPr>
                </pic:pic>
              </a:graphicData>
            </a:graphic>
          </wp:inline>
        </w:drawing>
      </w:r>
    </w:p>
    <w:p>
      <w:pPr>
        <w:pStyle w:val="22"/>
        <w:shd w:val="clear" w:color="auto" w:fill="FFFFFF"/>
        <w:spacing w:before="0" w:beforeAutospacing="0" w:after="0" w:afterAutospacing="0" w:line="360" w:lineRule="auto"/>
        <w:ind w:firstLineChars="600" w:firstLine="1440"/>
        <w:jc w:val="both"/>
        <w:rPr>
          <w:rFonts w:ascii="Times New Roman" w:eastAsia="华文楷体" w:cs="Times New Roman" w:hAnsi="Times New Roman"/>
          <w:b/>
          <w:bCs/>
          <w:color w:val="000000"/>
        </w:rPr>
      </w:pPr>
      <w:r>
        <w:rPr>
          <w:rFonts w:ascii="Times New Roman" w:eastAsia="华文楷体" w:cs="Times New Roman" w:hAnsi="Times New Roman"/>
          <w:b/>
          <w:bCs/>
          <w:color w:val="000000"/>
        </w:rPr>
        <w:t>图10：建成区、园区及码头绿化美化规划示意图</w:t>
      </w:r>
    </w:p>
    <w:p>
      <w:pPr>
        <w:pStyle w:val="22"/>
        <w:shd w:val="clear" w:color="auto" w:fill="FFFFFF"/>
        <w:spacing w:before="0" w:beforeAutospacing="0" w:after="0" w:afterAutospacing="0" w:line="360" w:lineRule="auto"/>
        <w:ind w:firstLineChars="600" w:firstLine="1440"/>
        <w:jc w:val="both"/>
        <w:rPr>
          <w:rFonts w:ascii="Times New Roman" w:eastAsia="华文楷体" w:cs="Times New Roman" w:hAnsi="Times New Roman"/>
          <w:b/>
          <w:bCs/>
          <w:color w:val="000000"/>
        </w:rPr>
      </w:pPr>
    </w:p>
    <w:p>
      <w:pPr>
        <w:pStyle w:val="22"/>
        <w:shd w:val="clear" w:color="auto" w:fill="FFFFFF"/>
        <w:spacing w:before="0" w:beforeAutospacing="0" w:after="0" w:afterAutospacing="0" w:line="360" w:lineRule="auto"/>
        <w:jc w:val="both"/>
        <w:rPr>
          <w:rFonts w:ascii="Times New Roman" w:eastAsia="方正楷体_GBK" w:cs="Times New Roman" w:hAnsi="Times New Roman"/>
          <w:color w:val="000000"/>
          <w:sz w:val="28"/>
          <w:szCs w:val="28"/>
        </w:rPr>
      </w:pPr>
      <w:r>
        <w:rPr>
          <w:rFonts w:ascii="Times New Roman" w:eastAsia="华文楷体" w:cs="Times New Roman" w:hAnsi="Times New Roman"/>
          <w:b/>
          <w:bCs/>
          <w:color w:val="000000"/>
        </w:rPr>
        <w:object>
          <v:shape id="_x0000_i6" type="#_x0000_t75" filled="f" stroked="t" style="position:absolute;margin-left:14.85pt;margin-top:23.55pt;width:389.24997pt;height:269.25pt;z-index:42;mso-position-horizontal:absolute;mso-position-vertical:absolute;mso-wrap-distance-left:8.999863pt;mso-wrap-distance-right:8.999863pt;" o:ole="">
            <v:stroke color="#000000"/>
            <v:imagedata r:id="rId19" o:title="769706551631699342540"/>
            <o:lock aspectratio="t"/>
            <w10:wrap type="square"/>
          </v:shape>
          <o:OLEObject Type="Embed" ProgID="Package" ShapeID="_x0000_i6" DrawAspect="Icon" ObjectID="_1393063356" r:id="rId20"/>
        </w:object>
      </w:r>
    </w:p>
    <w:tbl>
      <w:tblPr>
        <w:jc w:val="left"/>
        <w:tblInd w:w="108" w:type="dxa"/>
        <w:tblW w:w="8407" w:type="dxa"/>
        <w:tblBorders>
          <w:top w:val="none" w:sz="0" w:space="0" w:color="auto"/>
          <w:left w:val="none" w:sz="0" w:space="0" w:color="auto"/>
          <w:bottom w:val="none" w:sz="0" w:space="0" w:color="auto"/>
          <w:right w:val="none" w:sz="0" w:space="0" w:color="auto"/>
        </w:tblBorders>
        <w:tblLayout w:type="fixed"/>
        <w:tblCellMar>
          <w:top w:w="0" w:type="dxa"/>
          <w:left w:w="108" w:type="dxa"/>
          <w:bottom w:w="0" w:type="dxa"/>
          <w:right w:w="108" w:type="dxa"/>
        </w:tblCellMar>
      </w:tblPr>
      <w:tblGrid>
        <w:gridCol w:w="8407"/>
      </w:tblGrid>
      <w:tr>
        <w:trPr>
          <w:trHeight w:val="384"/>
        </w:trPr>
        <w:tc>
          <w:tcPr>
            <w:tcW w:w="8407" w:type="dxa"/>
            <w:tcBorders>
              <w:top w:val="nil"/>
              <w:left w:val="nil"/>
              <w:bottom w:val="nil"/>
              <w:right w:val="nil"/>
            </w:tcBorders>
            <w:shd w:val="clear" w:color="auto" w:fill="auto"/>
            <w:noWrap/>
            <w:vAlign w:val="center"/>
          </w:tcPr>
          <w:p>
            <w:pPr>
              <w:widowControl/>
              <w:ind w:firstLineChars="132" w:firstLine="317"/>
              <w:jc w:val="center"/>
              <w:textAlignment w:val="center"/>
              <w:rPr>
                <w:rFonts w:ascii="Times New Roman" w:eastAsia="华文楷体" w:cs="Times New Roman" w:hAnsi="Times New Roman"/>
                <w:b/>
                <w:bCs/>
                <w:color w:val="000000"/>
                <w:kern w:val="0"/>
                <w:sz w:val="24"/>
              </w:rPr>
            </w:pPr>
            <w:r>
              <w:rPr>
                <w:rFonts w:ascii="Times New Roman" w:eastAsia="华文楷体" w:cs="Times New Roman" w:hAnsi="Times New Roman"/>
                <w:b/>
                <w:bCs/>
                <w:color w:val="000000"/>
                <w:kern w:val="0"/>
                <w:sz w:val="24"/>
              </w:rPr>
              <w:t>图11: 森林质量提升比较图</w:t>
            </w:r>
          </w:p>
          <w:p>
            <w:pPr>
              <w:widowControl/>
              <w:jc w:val="center"/>
              <w:textAlignment w:val="center"/>
              <w:rPr>
                <w:rFonts w:ascii="Times New Roman" w:eastAsia="华文楷体" w:cs="Times New Roman" w:hAnsi="Times New Roman"/>
                <w:b/>
                <w:bCs/>
                <w:color w:val="000000"/>
                <w:kern w:val="0"/>
                <w:sz w:val="24"/>
              </w:rPr>
            </w:pPr>
          </w:p>
          <w:p>
            <w:pPr>
              <w:widowControl/>
              <w:textAlignment w:val="center"/>
              <w:rPr>
                <w:rFonts w:ascii="Times New Roman" w:eastAsia="华文楷体" w:cs="Times New Roman" w:hAnsi="Times New Roman"/>
                <w:b/>
                <w:bCs/>
                <w:color w:val="000000"/>
                <w:sz w:val="24"/>
              </w:rPr>
            </w:pPr>
          </w:p>
        </w:tc>
      </w:tr>
    </w:tbl>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outlineLvl w:val="1"/>
        <w:rPr>
          <w:rFonts w:ascii="Times New Roman" w:eastAsia="方正楷体_GBK" w:cs="Times New Roman" w:hAnsi="Times New Roman"/>
          <w:sz w:val="32"/>
          <w:szCs w:val="32"/>
        </w:rPr>
      </w:pPr>
      <w:bookmarkStart w:id="36" w:name="_Toc44272742"/>
      <w:r>
        <w:rPr>
          <w:rFonts w:ascii="Times New Roman" w:eastAsia="方正楷体_GBK" w:cs="Times New Roman" w:hAnsi="Times New Roman"/>
          <w:sz w:val="32"/>
          <w:szCs w:val="32"/>
        </w:rPr>
        <w:t>（五）着力提升综合效益</w:t>
      </w:r>
      <w:bookmarkEnd w:id="36"/>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 xml:space="preserve">  </w:t>
      </w:r>
      <w:r>
        <w:rPr>
          <w:rFonts w:ascii="Times New Roman" w:eastAsia="方正仿宋_GBK" w:cs="Times New Roman" w:hAnsi="Times New Roman"/>
          <w:color w:val="000000"/>
          <w:sz w:val="32"/>
          <w:szCs w:val="32"/>
          <w:lang w:val="en-US" w:eastAsia="zh-CN"/>
        </w:rPr>
        <w:t>1.</w:t>
      </w:r>
      <w:r>
        <w:rPr>
          <w:rFonts w:ascii="Times New Roman" w:eastAsia="方正仿宋_GBK" w:cs="Times New Roman" w:hAnsi="Times New Roman"/>
          <w:color w:val="000000"/>
          <w:sz w:val="32"/>
          <w:szCs w:val="32"/>
        </w:rPr>
        <w:t>增加岸线植被覆盖，增强生态防护功能。围绕筑牢长江上游重要生态屏障目标，优化营造林方式，强化生态经济效益兼具的复合经营，乔灌草结合，丰富江河岸线植物群落，改善生态环境，形成稳定、健康的林草自然生态系统，充分发挥千里林带在江河生态修复中降水拦蓄、污水净化、面源污染治理等方面的系统性作用，以及在保持水土、涵养水源、固碳释氧、净化大气、丰富生物多样性等方面的综合屏障功能。</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lang w:val="en-US" w:eastAsia="zh-CN"/>
        </w:rPr>
        <w:t>2.</w:t>
      </w:r>
      <w:r>
        <w:rPr>
          <w:rFonts w:ascii="Times New Roman" w:eastAsia="方正仿宋_GBK" w:cs="Times New Roman" w:hAnsi="Times New Roman"/>
          <w:color w:val="000000"/>
          <w:sz w:val="32"/>
          <w:szCs w:val="32"/>
        </w:rPr>
        <w:t>丰富两岸生态景观，提高生态景观品位。根据不同立地条件和总体布局，选择适宜的有较高季相变化的树种开展营造林，丰富森林层次结构，凸显四季自然变化，将长江重庆段建设成风景带、旅游带、经济带，促进长江沿线生态旅游业发展，为长江经济带绿色发展开拓新路径。</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lang w:val="en-US" w:eastAsia="zh-CN"/>
        </w:rPr>
        <w:t>3.</w:t>
      </w:r>
      <w:r>
        <w:rPr>
          <w:rFonts w:ascii="Times New Roman" w:eastAsia="方正仿宋_GBK" w:cs="Times New Roman" w:hAnsi="Times New Roman"/>
          <w:color w:val="000000"/>
          <w:sz w:val="32"/>
          <w:szCs w:val="32"/>
        </w:rPr>
        <w:t>实施系统综合治理，促进城乡融合发展。统筹谋划城乡产业发展、人口布局、土地利用、生态修复保护和乡村规划建设，推进国家森林城市、森林乡村创建。围绕山水林田湖草综合治理，统筹推进沿江城镇坡地绿化和公园建设，农村山体、农田林网和“四旁”绿化。科学调整农业种植结构，引导发展花椒、荔枝、橄榄、柑橘、笋竹、龙眼、花卉苗木、森林旅游、森林康养等绿色产业。</w:t>
      </w: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000000"/>
          <w:sz w:val="28"/>
          <w:szCs w:val="28"/>
        </w:rPr>
      </w:pPr>
    </w:p>
    <w:p>
      <w:pPr>
        <w:pStyle w:val="22"/>
        <w:shd w:val="clear" w:color="auto" w:fill="FFFFFF"/>
        <w:spacing w:before="0" w:beforeAutospacing="0" w:after="0" w:afterAutospacing="0" w:line="360" w:lineRule="auto"/>
        <w:ind w:firstLine="142"/>
        <w:jc w:val="both"/>
        <w:rPr>
          <w:rFonts w:ascii="Times New Roman" w:eastAsia="方正楷体_GBK" w:cs="Times New Roman" w:hAnsi="Times New Roman"/>
          <w:color w:val="000000"/>
          <w:sz w:val="28"/>
          <w:szCs w:val="28"/>
        </w:rPr>
      </w:pPr>
      <w:r>
        <w:rPr>
          <w:rFonts w:ascii="Times New Roman" w:eastAsia="方正楷体_GBK" w:cs="Times New Roman" w:hAnsi="Times New Roman"/>
          <w:color w:val="000000"/>
          <w:sz w:val="28"/>
          <w:szCs w:val="28"/>
        </w:rPr>
        <w:drawing>
          <wp:inline distT="0" distB="0" distL="0" distR="0">
            <wp:extent cx="2457450" cy="2710180"/>
            <wp:effectExtent l="0" t="0" r="0" b="0"/>
            <wp:docPr id="31" name="图片 31" descr="C:\Users\Administrator\Desktop\IMG_20210706_141621.jpg"/>
            <wp:cNvGraphicFramePr>
              <a:graphicFrameLocks noChangeAspect="1"/>
            </wp:cNvGraphicFramePr>
            <a:graphic>
              <a:graphicData uri="http://schemas.openxmlformats.org/drawingml/2006/picture">
                <pic:pic>
                  <pic:nvPicPr>
                    <pic:cNvPr id="33" name="图片 33"/>
                    <pic:cNvPicPr/>
                  </pic:nvPicPr>
                  <pic:blipFill>
                    <a:blip r:embed="rId21"/>
                    <a:stretch>
                      <a:fillRect/>
                    </a:stretch>
                  </pic:blipFill>
                  <pic:spPr>
                    <a:xfrm rot="0">
                      <a:off x="0" y="0"/>
                      <a:ext cx="2457450" cy="2710180"/>
                    </a:xfrm>
                    <a:prstGeom prst="rect"/>
                    <a:noFill/>
                    <a:ln w="9525" cmpd="sng" cap="flat">
                      <a:noFill/>
                      <a:prstDash val="solid"/>
                      <a:miter/>
                    </a:ln>
                  </pic:spPr>
                </pic:pic>
              </a:graphicData>
            </a:graphic>
          </wp:inline>
        </w:drawing>
      </w:r>
      <w:r>
        <w:rPr>
          <w:rFonts w:ascii="Times New Roman" w:eastAsia="方正楷体_GBK" w:cs="Times New Roman" w:hAnsi="Times New Roman"/>
          <w:color w:val="000000"/>
          <w:sz w:val="28"/>
          <w:szCs w:val="28"/>
        </w:rPr>
        <w:drawing>
          <wp:inline distT="0" distB="0" distL="0" distR="0">
            <wp:extent cx="2619374" cy="2714625"/>
            <wp:effectExtent l="0" t="0" r="0" b="0"/>
            <wp:docPr id="34" name="图片 34" descr="C:\Users\Administrator\Desktop\IMG_20210706_161322.jpg"/>
            <wp:cNvGraphicFramePr>
              <a:graphicFrameLocks noChangeAspect="1"/>
            </wp:cNvGraphicFramePr>
            <a:graphic>
              <a:graphicData uri="http://schemas.openxmlformats.org/drawingml/2006/picture">
                <pic:pic>
                  <pic:nvPicPr>
                    <pic:cNvPr id="36" name="图片 36"/>
                    <pic:cNvPicPr/>
                  </pic:nvPicPr>
                  <pic:blipFill>
                    <a:blip r:embed="rId22"/>
                    <a:stretch>
                      <a:fillRect/>
                    </a:stretch>
                  </pic:blipFill>
                  <pic:spPr>
                    <a:xfrm rot="0">
                      <a:off x="0" y="0"/>
                      <a:ext cx="2619374" cy="2714625"/>
                    </a:xfrm>
                    <a:prstGeom prst="rect"/>
                    <a:noFill/>
                    <a:ln w="9525" cmpd="sng" cap="flat">
                      <a:noFill/>
                      <a:prstDash val="solid"/>
                      <a:miter/>
                    </a:ln>
                  </pic:spPr>
                </pic:pic>
              </a:graphicData>
            </a:graphic>
          </wp:inline>
        </w:drawing>
      </w: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b/>
        </w:rPr>
      </w:pPr>
      <w:r>
        <w:rPr>
          <w:rFonts w:ascii="Times New Roman" w:eastAsia="方正楷体_GBK" w:cs="Times New Roman" w:hAnsi="Times New Roman"/>
          <w:b/>
        </w:rPr>
        <w:t>橄榄                             荔枝</w:t>
      </w:r>
    </w:p>
    <w:p>
      <w:pPr>
        <w:pStyle w:val="22"/>
        <w:shd w:val="clear" w:color="auto" w:fill="FFFFFF"/>
        <w:spacing w:before="0" w:beforeAutospacing="0" w:after="0" w:afterAutospacing="0" w:line="360" w:lineRule="auto"/>
        <w:ind w:firstLine="142"/>
        <w:jc w:val="both"/>
        <w:rPr>
          <w:rFonts w:ascii="Times New Roman" w:eastAsia="方正楷体_GBK" w:cs="Times New Roman" w:hAnsi="Times New Roman"/>
          <w:color w:val="000000"/>
          <w:sz w:val="28"/>
          <w:szCs w:val="28"/>
        </w:rPr>
      </w:pPr>
      <w:r>
        <w:rPr>
          <w:rFonts w:ascii="Times New Roman" w:eastAsia="方正楷体_GBK" w:cs="Times New Roman" w:hAnsi="Times New Roman"/>
          <w:color w:val="000000"/>
          <w:sz w:val="28"/>
          <w:szCs w:val="28"/>
        </w:rPr>
        <w:drawing>
          <wp:inline distT="0" distB="0" distL="0" distR="0">
            <wp:extent cx="2457450" cy="2438400"/>
            <wp:effectExtent l="0" t="0" r="0" b="0"/>
            <wp:docPr id="37" name="图片 37" descr="C:\Users\Administrator\Desktop\IMG_20210708_104525_edit_12871411271993.jpg"/>
            <wp:cNvGraphicFramePr>
              <a:graphicFrameLocks noChangeAspect="1"/>
            </wp:cNvGraphicFramePr>
            <a:graphic>
              <a:graphicData uri="http://schemas.openxmlformats.org/drawingml/2006/picture">
                <pic:pic>
                  <pic:nvPicPr>
                    <pic:cNvPr id="39" name="图片 39"/>
                    <pic:cNvPicPr/>
                  </pic:nvPicPr>
                  <pic:blipFill>
                    <a:blip r:embed="rId23"/>
                    <a:stretch>
                      <a:fillRect/>
                    </a:stretch>
                  </pic:blipFill>
                  <pic:spPr>
                    <a:xfrm rot="0">
                      <a:off x="0" y="0"/>
                      <a:ext cx="2457450" cy="2438400"/>
                    </a:xfrm>
                    <a:prstGeom prst="rect"/>
                    <a:noFill/>
                    <a:ln w="9525" cmpd="sng" cap="flat">
                      <a:noFill/>
                      <a:prstDash val="solid"/>
                      <a:miter/>
                    </a:ln>
                  </pic:spPr>
                </pic:pic>
              </a:graphicData>
            </a:graphic>
          </wp:inline>
        </w:drawing>
      </w:r>
      <w:r>
        <w:rPr>
          <w:rFonts w:ascii="Times New Roman" w:eastAsia="方正楷体_GBK" w:cs="Times New Roman" w:hAnsi="Times New Roman"/>
          <w:color w:val="000000"/>
          <w:sz w:val="28"/>
          <w:szCs w:val="28"/>
        </w:rPr>
        <w:drawing>
          <wp:inline distT="0" distB="0" distL="0" distR="0">
            <wp:extent cx="2619374" cy="2438400"/>
            <wp:effectExtent l="0" t="0" r="0" b="0"/>
            <wp:docPr id="40" name="图片 40" descr="C:\Users\Administrator\Desktop\IMG_20210707_144148(1).jpg"/>
            <wp:cNvGraphicFramePr>
              <a:graphicFrameLocks noChangeAspect="1"/>
            </wp:cNvGraphicFramePr>
            <a:graphic>
              <a:graphicData uri="http://schemas.openxmlformats.org/drawingml/2006/picture">
                <pic:pic>
                  <pic:nvPicPr>
                    <pic:cNvPr id="42" name="图片 42"/>
                    <pic:cNvPicPr/>
                  </pic:nvPicPr>
                  <pic:blipFill>
                    <a:blip r:embed="rId24"/>
                    <a:stretch>
                      <a:fillRect/>
                    </a:stretch>
                  </pic:blipFill>
                  <pic:spPr>
                    <a:xfrm rot="0">
                      <a:off x="0" y="0"/>
                      <a:ext cx="2619374" cy="2438400"/>
                    </a:xfrm>
                    <a:prstGeom prst="rect"/>
                    <a:noFill/>
                    <a:ln w="9525" cmpd="sng" cap="flat">
                      <a:noFill/>
                      <a:prstDash val="solid"/>
                      <a:miter/>
                    </a:ln>
                  </pic:spPr>
                </pic:pic>
              </a:graphicData>
            </a:graphic>
          </wp:inline>
        </w:drawing>
      </w: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b/>
        </w:rPr>
      </w:pPr>
      <w:r>
        <w:rPr>
          <w:rFonts w:ascii="Times New Roman" w:eastAsia="方正楷体_GBK" w:cs="Times New Roman" w:hAnsi="Times New Roman"/>
          <w:b/>
        </w:rPr>
        <w:t>柑橘                              花椒</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outlineLvl w:val="1"/>
        <w:rPr>
          <w:rFonts w:ascii="Times New Roman" w:eastAsia="方正楷体_GBK" w:cs="Times New Roman" w:hAnsi="Times New Roman"/>
          <w:sz w:val="32"/>
          <w:szCs w:val="32"/>
        </w:rPr>
      </w:pPr>
      <w:bookmarkStart w:id="37" w:name="_Toc44272743"/>
      <w:r>
        <w:rPr>
          <w:rFonts w:ascii="Times New Roman" w:eastAsia="方正楷体_GBK" w:cs="Times New Roman" w:hAnsi="Times New Roman"/>
          <w:sz w:val="32"/>
          <w:szCs w:val="32"/>
        </w:rPr>
        <w:t>（六）加强自然生态资源保护</w:t>
      </w:r>
      <w:bookmarkEnd w:id="37"/>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b/>
          <w:bCs/>
          <w:color w:val="000000"/>
          <w:sz w:val="32"/>
          <w:szCs w:val="32"/>
          <w:lang w:val="en-US" w:eastAsia="zh-CN"/>
        </w:rPr>
        <w:t>1.</w:t>
      </w:r>
      <w:r>
        <w:rPr>
          <w:rFonts w:ascii="Times New Roman" w:eastAsia="方正仿宋_GBK" w:cs="Times New Roman" w:hAnsi="Times New Roman"/>
          <w:b/>
          <w:bCs/>
          <w:color w:val="000000"/>
          <w:sz w:val="32"/>
          <w:szCs w:val="32"/>
        </w:rPr>
        <w:t>加强林草资源保护</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严格执行《林地保护利用规划》，强化林地分级和差别化管理；严格执行公益林保护管理制度，加强公益林监管；全面保护天然林；做好森林防火工作。建立自然保护地矿产资源开发有序退出机制（地热、矿泉水等符合自然保护地管控要求的矿业权除外），加强自然山体的保护与管控。探索古树名木保护体制机制，做好松材线虫病等有害生物灾害防控，防范外来物种入侵。抓好森林火险、重大有害生物等监测预警设施设备及大数据平台建设。</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b/>
          <w:bCs/>
          <w:color w:val="000000"/>
          <w:sz w:val="32"/>
          <w:szCs w:val="32"/>
        </w:rPr>
      </w:pPr>
      <w:r>
        <w:rPr>
          <w:rFonts w:ascii="Times New Roman" w:eastAsia="方正仿宋_GBK" w:cs="Times New Roman" w:hAnsi="Times New Roman"/>
          <w:b/>
          <w:bCs/>
          <w:color w:val="000000"/>
          <w:sz w:val="32"/>
          <w:szCs w:val="32"/>
          <w:lang w:val="en-US" w:eastAsia="zh-CN"/>
        </w:rPr>
        <w:t>2.</w:t>
      </w:r>
      <w:r>
        <w:rPr>
          <w:rFonts w:ascii="Times New Roman" w:eastAsia="方正仿宋_GBK" w:cs="Times New Roman" w:hAnsi="Times New Roman"/>
          <w:b/>
          <w:bCs/>
          <w:color w:val="000000"/>
          <w:sz w:val="32"/>
          <w:szCs w:val="32"/>
        </w:rPr>
        <w:t>加强湿地资源保护</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统筹谋划江河溪涧库塘堰渠等湿地生态系统，突出对现有湿地生态系统的保护，实行湿地面积总量管控，保持湿地面积不减少。加强湿地生态系统修复和治理，提升湿地生态系统功能，遏制天然湿地生态系统退化趋势。加大对山体、河谷、半岛、江心岛等近湿地生态功能区的生态系统保护与修复力度，确保湿地及周边生态系统得到有效保护。</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b/>
          <w:bCs/>
          <w:color w:val="000000"/>
          <w:sz w:val="32"/>
          <w:szCs w:val="32"/>
        </w:rPr>
      </w:pPr>
      <w:r>
        <w:rPr>
          <w:rFonts w:ascii="Times New Roman" w:eastAsia="方正仿宋_GBK" w:cs="Times New Roman" w:hAnsi="Times New Roman"/>
          <w:b/>
          <w:bCs/>
          <w:color w:val="000000"/>
          <w:sz w:val="32"/>
          <w:szCs w:val="32"/>
          <w:lang w:val="en-US" w:eastAsia="zh-CN"/>
        </w:rPr>
        <w:t>3.</w:t>
      </w:r>
      <w:r>
        <w:rPr>
          <w:rFonts w:ascii="Times New Roman" w:eastAsia="方正仿宋_GBK" w:cs="Times New Roman" w:hAnsi="Times New Roman"/>
          <w:b/>
          <w:bCs/>
          <w:color w:val="000000"/>
          <w:sz w:val="32"/>
          <w:szCs w:val="32"/>
        </w:rPr>
        <w:t>加强自然保护地建设与管理</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开展自然保护地整合优化，科学建立自然保护地体系。加强自然保护地管理，完善管护设施和管理机构，提高监管能力。开展自然保护地动态监测、生态环境监察等监督检查专项行动，严肃查处涉及自然保护地的违法违规行为。实施重点水域生态修复、珍稀濒危物种拯救与救护等工作，开展长江重庆段林业资源生物多样性调查和评估，建立林业物种资源数据库。</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b/>
          <w:bCs/>
          <w:color w:val="000000"/>
          <w:sz w:val="32"/>
          <w:szCs w:val="32"/>
        </w:rPr>
      </w:pPr>
      <w:r>
        <w:rPr>
          <w:rFonts w:ascii="Times New Roman" w:eastAsia="方正仿宋_GBK" w:cs="Times New Roman" w:hAnsi="Times New Roman"/>
          <w:b/>
          <w:bCs/>
          <w:color w:val="000000"/>
          <w:sz w:val="32"/>
          <w:szCs w:val="32"/>
          <w:lang w:val="en-US" w:eastAsia="zh-CN"/>
        </w:rPr>
        <w:t>4.</w:t>
      </w:r>
      <w:r>
        <w:rPr>
          <w:rFonts w:ascii="Times New Roman" w:eastAsia="方正仿宋_GBK" w:cs="Times New Roman" w:hAnsi="Times New Roman"/>
          <w:b/>
          <w:bCs/>
          <w:color w:val="000000"/>
          <w:sz w:val="32"/>
          <w:szCs w:val="32"/>
        </w:rPr>
        <w:t>加强林业执法监管</w:t>
      </w:r>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完善林业综合执法体系建设，建立与公安机关的协同配合机制，加强林业执法，严厉打击破坏森林、湿地、草原和食用野生动物等违法犯罪行为。提升执法信息化水平，推进执法机制创新。实行森林资源保护发展目标责任制和考核评价，建立健全林草资源损害、生态价值损失赔偿和责任追究制度。</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outlineLvl w:val="1"/>
        <w:rPr>
          <w:rFonts w:ascii="方正楷体_GBK" w:eastAsia="方正楷体_GBK" w:cs="Times New Roman" w:hint="eastAsia"/>
          <w:sz w:val="32"/>
          <w:szCs w:val="32"/>
        </w:rPr>
      </w:pPr>
      <w:bookmarkStart w:id="38" w:name="_Toc44272744"/>
      <w:r>
        <w:rPr>
          <w:rFonts w:ascii="方正楷体_GBK" w:eastAsia="方正楷体_GBK" w:cs="Times New Roman" w:hint="eastAsia"/>
          <w:sz w:val="32"/>
          <w:szCs w:val="32"/>
        </w:rPr>
        <w:t>（七）着力强化民生保障</w:t>
      </w:r>
      <w:bookmarkEnd w:id="38"/>
    </w:p>
    <w:p>
      <w:pPr>
        <w:pStyle w:val="22"/>
        <w:shd w:val="clear" w:color="auto" w:fill="FFFFFF"/>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针对长江等江河两岸城镇聚集，人口稠密，生态承载超负荷，坡耕地水土流失较重等实际问题，引导居住在生态脆弱地区的原住居民实施生态搬迁，加大生态搬迁补偿和转移支付力度，增加生态公益岗位供给。实施退耕还林和农业种植结构调整，加大政策、资金倾斜支持力度，引导农村劳动力不断向二三产业转移。推动农村“三变”改革，积极推广“公司+专业合作社+基地+农户”等方式，强化公司与农民的利益有机联结。探索市场化、多元化生态补偿改革试点，完善森林资源有偿使用制度，开展非国有林生态赎买，增加农民生态林财产性收入。</w:t>
      </w:r>
    </w:p>
    <w:p>
      <w:pPr>
        <w:pStyle w:val="2"/>
        <w:keepNext w:val="0"/>
        <w:keepLines/>
        <w:widowControl w:val="0"/>
        <w:adjustRightInd w:val="0"/>
        <w:snapToGrid w:val="0"/>
        <w:spacing w:before="0" w:after="0" w:line="600" w:lineRule="exact"/>
        <w:ind w:firstLineChars="200" w:firstLine="640"/>
        <w:rPr>
          <w:rFonts w:ascii="Times New Roman" w:eastAsia="方正黑体_GBK" w:cs="Times New Roman" w:hAnsi="Times New Roman"/>
          <w:b w:val="0"/>
          <w:bCs w:val="0"/>
          <w:sz w:val="32"/>
        </w:rPr>
      </w:pPr>
      <w:r>
        <w:rPr>
          <w:rFonts w:ascii="Times New Roman" w:eastAsia="方正黑体_GBK" w:cs="Times New Roman" w:hAnsi="Times New Roman"/>
          <w:b w:val="0"/>
          <w:bCs w:val="0"/>
          <w:sz w:val="32"/>
        </w:rPr>
        <w:fldChar w:fldCharType="begin"/>
      </w:r>
      <w:r>
        <w:instrText>HYPERLINK  \l "_Toc13123"</w:instrText>
      </w:r>
      <w:r>
        <w:rPr>
          <w:rFonts w:ascii="Times New Roman" w:eastAsia="方正黑体_GBK" w:cs="Times New Roman" w:hAnsi="Times New Roman"/>
          <w:b w:val="0"/>
          <w:bCs w:val="0"/>
          <w:sz w:val="32"/>
        </w:rPr>
        <w:fldChar w:fldCharType="separate"/>
      </w:r>
      <w:bookmarkStart w:id="39" w:name="_Toc44272745"/>
      <w:r>
        <w:rPr>
          <w:rFonts w:ascii="Times New Roman" w:eastAsia="方正黑体_GBK" w:cs="Times New Roman" w:hAnsi="Times New Roman"/>
          <w:b w:val="0"/>
          <w:bCs w:val="0"/>
          <w:sz w:val="32"/>
        </w:rPr>
        <w:t>五、投资估算</w:t>
      </w:r>
      <w:r>
        <w:rPr>
          <w:rFonts w:ascii="Times New Roman" w:eastAsia="方正黑体_GBK" w:cs="Times New Roman" w:hAnsi="Times New Roman"/>
          <w:b w:val="0"/>
          <w:bCs w:val="0"/>
          <w:sz w:val="32"/>
        </w:rPr>
        <w:fldChar w:fldCharType="end"/>
      </w:r>
      <w:bookmarkEnd w:id="39"/>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outlineLvl w:val="2"/>
        <w:rPr>
          <w:rFonts w:ascii="Times New Roman" w:eastAsia="方正楷体_GBK" w:cs="Times New Roman" w:hAnsi="Times New Roman"/>
          <w:sz w:val="32"/>
          <w:szCs w:val="32"/>
        </w:rPr>
      </w:pPr>
      <w:r>
        <w:rPr>
          <w:rFonts w:ascii="Times New Roman" w:eastAsia="方正楷体_GBK" w:cs="Times New Roman" w:hAnsi="Times New Roman"/>
          <w:sz w:val="32"/>
          <w:szCs w:val="32"/>
        </w:rPr>
        <w:fldChar w:fldCharType="begin"/>
      </w:r>
      <w:r>
        <w:instrText>HYPERLINK  \l "_Toc6702"</w:instrText>
      </w:r>
      <w:r>
        <w:rPr>
          <w:rFonts w:ascii="Times New Roman" w:eastAsia="方正楷体_GBK" w:cs="Times New Roman" w:hAnsi="Times New Roman"/>
          <w:sz w:val="32"/>
          <w:szCs w:val="32"/>
        </w:rPr>
        <w:fldChar w:fldCharType="separate"/>
      </w:r>
      <w:r>
        <w:rPr>
          <w:rFonts w:ascii="Times New Roman" w:eastAsia="方正楷体_GBK" w:cs="Times New Roman" w:hAnsi="Times New Roman"/>
          <w:sz w:val="32"/>
          <w:szCs w:val="32"/>
        </w:rPr>
        <w:t>（一）</w:t>
      </w:r>
      <w:r>
        <w:rPr>
          <w:rFonts w:ascii="Times New Roman" w:eastAsia="方正楷体_GBK" w:cs="Times New Roman" w:hAnsi="Times New Roman"/>
          <w:sz w:val="32"/>
          <w:szCs w:val="32"/>
        </w:rPr>
        <w:fldChar w:fldCharType="end"/>
      </w:r>
      <w:r>
        <w:rPr>
          <w:rFonts w:ascii="Times New Roman" w:eastAsia="方正楷体_GBK" w:cs="Times New Roman" w:hAnsi="Times New Roman"/>
          <w:sz w:val="32"/>
          <w:szCs w:val="32"/>
        </w:rPr>
        <w:t>概算依据</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（1）国家林业局《造林技术经济指标》</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（2）《全国统一建设工程消耗量基础定额重庆市基价表》</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（3）重庆市《人工造林技术经济指标》</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（4）现行的苗木、劳动力市场价格</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（5）外业调查人员收集的询价资料和有关参考依据</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楷体_GBK" w:cs="Times New Roman" w:hAnsi="Times New Roman"/>
          <w:color w:val="000000"/>
          <w:sz w:val="32"/>
          <w:szCs w:val="32"/>
        </w:rPr>
      </w:pPr>
      <w:r>
        <w:rPr>
          <w:rFonts w:ascii="Times New Roman" w:eastAsia="方正仿宋_GBK" w:cs="Times New Roman" w:hAnsi="Times New Roman"/>
          <w:color w:val="000000"/>
          <w:sz w:val="32"/>
          <w:szCs w:val="32"/>
        </w:rPr>
        <w:t>（6）《长江重庆段“两岸青山·千里林带”规划建设营造林投资估算及补助测算标准》中关于投资估算及补助测算的标准</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楷体_GBK" w:cs="Times New Roman" w:hAnsi="Times New Roman"/>
          <w:color w:val="000000"/>
          <w:sz w:val="32"/>
          <w:szCs w:val="32"/>
        </w:rPr>
      </w:pPr>
      <w:r>
        <w:rPr>
          <w:rFonts w:ascii="Times New Roman" w:eastAsia="方正楷体_GBK" w:cs="Times New Roman" w:hAnsi="Times New Roman"/>
          <w:color w:val="000000"/>
          <w:sz w:val="32"/>
          <w:szCs w:val="32"/>
        </w:rPr>
        <w:t>（二）概算标准</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（1）退耕还林按 5210元/亩估算。其中：国家补助资金1600 元/亩、市级财政奖补 400 元/亩、区财政及社会投资3210元/亩。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（2）农业种植结构调整按4010元/亩估算。其中：市级奖补600元/亩，区财政及社会投资3410元/亩。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（3）农田林网和农村“四旁”植树按 4060元/亩估算。其中：国家补助资金300 元/亩，市级财政奖补 300 元/亩；区财政及社会投资3460元/亩。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（4）疏林地及未成林地营造林按2560元/亩估算，其中：国家补助资金200 元/亩，市级财政奖补 600 元/亩；区财政及社会投资1760元/亩。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（5）生态景观示范林建设按7150元/亩估算，其中：市级财政奖补 2000 元/亩；区财政及社会投资5150元/亩。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（6）森林抚育按2060元/亩估算。其中：国家补助资金200 元/亩，市级财政奖补 400 元/亩；区财政及社会投资1460元/亩。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（7）低效林改造按4400元/亩估算，其中：国家补助资金200 元/亩，市级财政奖补 800 元/亩；区财政及社会投资3400元/亩。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（8）建成区、园区及码头绿化美化按 5760 元/亩估算，其中：市级财政奖补 2000元/亩；区财政及社会投资3760元/亩。</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楷体_GBK" w:cs="Times New Roman" w:hAnsi="Times New Roman"/>
          <w:color w:val="000000"/>
          <w:sz w:val="32"/>
          <w:szCs w:val="32"/>
        </w:rPr>
      </w:pPr>
      <w:r>
        <w:rPr>
          <w:rFonts w:ascii="Times New Roman" w:eastAsia="方正楷体_GBK" w:cs="Times New Roman" w:hAnsi="Times New Roman"/>
          <w:color w:val="000000"/>
          <w:sz w:val="32"/>
          <w:szCs w:val="32"/>
        </w:rPr>
        <w:t>（三）投资估算</w:t>
      </w:r>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根据近几年重庆市植树造林实际情况，结合现有造林地土地状况，整地栽植抚育管护劳务成本，生态林与经济林种苗成本，对江津区长江重庆段</w:t>
      </w:r>
      <w:r>
        <w:rPr>
          <w:rFonts w:ascii="Times New Roman" w:eastAsia="方正仿宋_GBK" w:cs="Times New Roman" w:hAnsi="Times New Roman"/>
          <w:color w:val="000000"/>
          <w:sz w:val="32"/>
          <w:szCs w:val="32"/>
          <w:lang w:eastAsia="zh-CN"/>
        </w:rPr>
        <w:t>“两岸青山•千里林带”</w:t>
      </w:r>
      <w:r>
        <w:rPr>
          <w:rFonts w:ascii="Times New Roman" w:eastAsia="方正仿宋_GBK" w:cs="Times New Roman" w:hAnsi="Times New Roman"/>
          <w:color w:val="000000"/>
          <w:sz w:val="32"/>
          <w:szCs w:val="32"/>
        </w:rPr>
        <w:t>各类建设项目投资进行综合估算。测算经果：江津区</w:t>
      </w:r>
      <w:r>
        <w:rPr>
          <w:rFonts w:ascii="Times New Roman" w:eastAsia="方正仿宋_GBK" w:cs="Times New Roman" w:hAnsi="Times New Roman"/>
          <w:color w:val="000000"/>
          <w:sz w:val="32"/>
          <w:szCs w:val="32"/>
          <w:lang w:eastAsia="zh-CN"/>
        </w:rPr>
        <w:t>“两岸青山•千里林带”</w:t>
      </w:r>
      <w:r>
        <w:rPr>
          <w:rFonts w:ascii="Times New Roman" w:eastAsia="方正仿宋_GBK" w:cs="Times New Roman" w:hAnsi="Times New Roman"/>
          <w:color w:val="000000"/>
          <w:sz w:val="32"/>
          <w:szCs w:val="32"/>
        </w:rPr>
        <w:t>建设总投资22845万元。其中：2021-2025年投资16726.8万元，2026-2030年投资6118.2万元。各建设项目投资情况详见表。</w:t>
      </w: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000000"/>
          <w:sz w:val="28"/>
          <w:szCs w:val="28"/>
        </w:rPr>
      </w:pPr>
    </w:p>
    <w:p>
      <w:pPr>
        <w:pStyle w:val="22"/>
        <w:shd w:val="clear" w:color="auto" w:fill="FFFFFF"/>
        <w:spacing w:before="0" w:beforeAutospacing="0" w:after="0" w:afterAutospacing="0" w:line="360" w:lineRule="auto"/>
        <w:ind w:firstLine="480"/>
        <w:jc w:val="both"/>
        <w:rPr>
          <w:rFonts w:ascii="Times New Roman" w:eastAsia="方正楷体_GBK" w:cs="Times New Roman" w:hAnsi="Times New Roman"/>
          <w:color w:val="000000"/>
          <w:sz w:val="28"/>
          <w:szCs w:val="28"/>
        </w:rPr>
      </w:pPr>
    </w:p>
    <w:tbl>
      <w:tblPr>
        <w:jc w:val="left"/>
        <w:tblInd w:w="93" w:type="dxa"/>
        <w:tblW w:w="8379" w:type="dxa"/>
        <w:tblBorders>
          <w:top w:val="none" w:sz="0" w:space="0" w:color="auto"/>
          <w:left w:val="none" w:sz="0" w:space="0" w:color="auto"/>
          <w:bottom w:val="none" w:sz="0" w:space="0" w:color="auto"/>
          <w:right w:val="none" w:sz="0" w:space="0" w:color="auto"/>
        </w:tblBorders>
        <w:tblLayout w:type="fixed"/>
        <w:tblCellMar>
          <w:top w:w="0" w:type="dxa"/>
          <w:left w:w="108" w:type="dxa"/>
          <w:bottom w:w="0" w:type="dxa"/>
          <w:right w:w="108" w:type="dxa"/>
        </w:tblCellMar>
      </w:tblPr>
      <w:tblGrid>
        <w:gridCol w:w="2850"/>
        <w:gridCol w:w="1374"/>
        <w:gridCol w:w="1603"/>
        <w:gridCol w:w="1701"/>
        <w:gridCol w:w="851"/>
      </w:tblGrid>
      <w:tr>
        <w:trPr>
          <w:trHeight w:val="555"/>
        </w:trPr>
        <w:tc>
          <w:tcPr>
            <w:tcW w:w="8379" w:type="dxa"/>
            <w:gridSpan w:val="5"/>
            <w:tcBorders>
              <w:top w:val="nil"/>
              <w:left w:val="nil"/>
              <w:bottom w:val="single" w:sz="4" w:space="0" w:color="auto"/>
              <w:right w:val="nil"/>
            </w:tcBorders>
            <w:shd w:val="clear" w:color="auto" w:fill="auto"/>
            <w:noWrap/>
            <w:vAlign w:val="center"/>
          </w:tcPr>
          <w:p>
            <w:pPr>
              <w:widowControl/>
              <w:jc w:val="left"/>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 xml:space="preserve"> 表17        项目分阶段建设投资情况表    单位：</w:t>
            </w:r>
            <w:r>
              <w:rPr>
                <w:rFonts w:ascii="Times New Roman" w:eastAsia="方正楷体_GBK" w:cs="Times New Roman" w:hAnsi="Times New Roman"/>
                <w:b/>
                <w:bCs/>
                <w:color w:val="000000"/>
                <w:kern w:val="0"/>
                <w:sz w:val="22"/>
                <w:szCs w:val="22"/>
              </w:rPr>
              <w:t>万元</w:t>
            </w:r>
          </w:p>
        </w:tc>
      </w:tr>
      <w:tr>
        <w:trPr>
          <w:trHeight w:val="499"/>
        </w:trPr>
        <w:tc>
          <w:tcPr>
            <w:tcW w:w="2850" w:type="dxa"/>
            <w:vMerge w:val="restart"/>
            <w:tcBorders>
              <w:top w:val="nil"/>
              <w:left w:val="single" w:sz="4" w:space="0" w:color="auto"/>
              <w:bottom w:val="single" w:sz="4" w:space="0" w:color="000000"/>
              <w:right w:val="single" w:sz="4" w:space="0" w:color="auto"/>
            </w:tcBorders>
            <w:shd w:val="clear" w:color="auto" w:fill="auto"/>
            <w:vAlign w:val="center"/>
          </w:tcPr>
          <w:p>
            <w:pPr>
              <w:widowControl/>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项 目</w:t>
            </w:r>
          </w:p>
        </w:tc>
        <w:tc>
          <w:tcPr>
            <w:tcW w:w="4678" w:type="dxa"/>
            <w:gridSpan w:val="3"/>
            <w:tcBorders>
              <w:top w:val="single" w:sz="4" w:space="0" w:color="auto"/>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 xml:space="preserve">  建设投资</w:t>
            </w:r>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tcPr>
          <w:p>
            <w:pPr>
              <w:widowControl/>
              <w:jc w:val="center"/>
              <w:rPr>
                <w:rFonts w:ascii="Times New Roman" w:eastAsia="宋体" w:cs="Times New Roman" w:hAnsi="Times New Roman"/>
                <w:b/>
                <w:color w:val="000000"/>
                <w:kern w:val="0"/>
                <w:sz w:val="22"/>
                <w:szCs w:val="22"/>
              </w:rPr>
            </w:pPr>
            <w:r>
              <w:rPr>
                <w:rFonts w:ascii="Times New Roman" w:eastAsia="宋体" w:cs="Times New Roman" w:hAnsi="Times New Roman"/>
                <w:b/>
                <w:color w:val="000000"/>
                <w:kern w:val="0"/>
                <w:sz w:val="22"/>
                <w:szCs w:val="22"/>
              </w:rPr>
              <w:t>备注</w:t>
            </w:r>
          </w:p>
        </w:tc>
      </w:tr>
      <w:tr>
        <w:trPr>
          <w:trHeight w:val="499"/>
        </w:trPr>
        <w:tc>
          <w:tcPr>
            <w:tcW w:w="2850" w:type="dxa"/>
            <w:vMerge/>
            <w:tcBorders>
              <w:top w:val="nil"/>
              <w:left w:val="single" w:sz="4" w:space="0" w:color="auto"/>
              <w:bottom w:val="single" w:sz="4" w:space="0" w:color="000000"/>
              <w:right w:val="single" w:sz="4" w:space="0" w:color="auto"/>
            </w:tcBorders>
            <w:vAlign w:val="center"/>
          </w:tcPr>
          <w:p/>
        </w:tc>
        <w:tc>
          <w:tcPr>
            <w:tcW w:w="137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合计</w:t>
            </w:r>
          </w:p>
        </w:tc>
        <w:tc>
          <w:tcPr>
            <w:tcW w:w="1603"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2021-2025年</w:t>
            </w:r>
          </w:p>
        </w:tc>
        <w:tc>
          <w:tcPr>
            <w:tcW w:w="1701"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2026-2030年</w:t>
            </w:r>
          </w:p>
        </w:tc>
        <w:tc>
          <w:tcPr>
            <w:tcW w:w="851" w:type="dxa"/>
            <w:vMerge/>
            <w:tcBorders>
              <w:top w:val="nil"/>
              <w:left w:val="single" w:sz="4" w:space="0" w:color="auto"/>
              <w:bottom w:val="single" w:sz="4" w:space="0" w:color="000000"/>
              <w:right w:val="single" w:sz="4" w:space="0" w:color="auto"/>
            </w:tcBorders>
            <w:vAlign w:val="center"/>
          </w:tcPr>
          <w:p/>
        </w:tc>
      </w:tr>
      <w:tr>
        <w:trPr>
          <w:trHeight w:val="499"/>
        </w:trPr>
        <w:tc>
          <w:tcPr>
            <w:tcW w:w="2850" w:type="dxa"/>
            <w:tcBorders>
              <w:top w:val="nil"/>
              <w:left w:val="single" w:sz="4" w:space="0" w:color="auto"/>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　总计</w:t>
            </w:r>
          </w:p>
        </w:tc>
        <w:tc>
          <w:tcPr>
            <w:tcW w:w="1374"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22845</w:t>
            </w:r>
          </w:p>
        </w:tc>
        <w:tc>
          <w:tcPr>
            <w:tcW w:w="1603" w:type="dxa"/>
            <w:tcBorders>
              <w:top w:val="nil"/>
              <w:left w:val="nil"/>
              <w:bottom w:val="single" w:sz="4" w:space="0" w:color="auto"/>
              <w:right w:val="single" w:sz="4" w:space="0" w:color="auto"/>
            </w:tcBorders>
            <w:shd w:val="clear" w:color="auto" w:fill="auto"/>
            <w:noWrap/>
            <w:vAlign w:val="center"/>
          </w:tcPr>
          <w:p>
            <w:pPr>
              <w:widowControl/>
              <w:jc w:val="center"/>
              <w:textAlignment w:val="center"/>
              <w:rPr>
                <w:rFonts w:ascii="Times New Roman" w:eastAsia="宋体" w:cs="Times New Roman" w:hAnsi="Times New Roman"/>
                <w:color w:val="000000"/>
                <w:sz w:val="22"/>
                <w:szCs w:val="22"/>
              </w:rPr>
            </w:pPr>
            <w:r>
              <w:rPr>
                <w:rFonts w:ascii="Times New Roman" w:eastAsia="方正楷体_GBK" w:cs="Times New Roman" w:hAnsi="Times New Roman"/>
                <w:b/>
                <w:bCs/>
                <w:color w:val="000000"/>
                <w:kern w:val="0"/>
                <w:sz w:val="22"/>
                <w:szCs w:val="22"/>
              </w:rPr>
              <w:t>16726.8</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6118.2</w:t>
            </w:r>
          </w:p>
        </w:tc>
        <w:tc>
          <w:tcPr>
            <w:tcW w:w="851"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2"/>
                <w:szCs w:val="22"/>
              </w:rPr>
            </w:pPr>
            <w:r>
              <w:rPr>
                <w:rFonts w:ascii="Times New Roman" w:eastAsia="宋体" w:cs="Times New Roman" w:hAnsi="Times New Roman"/>
                <w:color w:val="000000"/>
                <w:kern w:val="0"/>
                <w:sz w:val="22"/>
                <w:szCs w:val="22"/>
              </w:rPr>
              <w:t>　</w:t>
            </w:r>
          </w:p>
        </w:tc>
      </w:tr>
      <w:tr>
        <w:trPr>
          <w:trHeight w:val="499"/>
        </w:trPr>
        <w:tc>
          <w:tcPr>
            <w:tcW w:w="285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退耕还林</w:t>
            </w:r>
          </w:p>
        </w:tc>
        <w:tc>
          <w:tcPr>
            <w:tcW w:w="1374"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260.5</w:t>
            </w:r>
          </w:p>
        </w:tc>
        <w:tc>
          <w:tcPr>
            <w:tcW w:w="160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260.5</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p>
        </w:tc>
        <w:tc>
          <w:tcPr>
            <w:tcW w:w="851"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2"/>
                <w:szCs w:val="22"/>
              </w:rPr>
            </w:pPr>
            <w:r>
              <w:rPr>
                <w:rFonts w:ascii="Times New Roman" w:eastAsia="宋体" w:cs="Times New Roman" w:hAnsi="Times New Roman"/>
                <w:color w:val="000000"/>
                <w:kern w:val="0"/>
                <w:sz w:val="22"/>
                <w:szCs w:val="22"/>
              </w:rPr>
              <w:t>　</w:t>
            </w:r>
          </w:p>
        </w:tc>
      </w:tr>
      <w:tr>
        <w:trPr>
          <w:trHeight w:val="499"/>
        </w:trPr>
        <w:tc>
          <w:tcPr>
            <w:tcW w:w="285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农业种植结构调整造林</w:t>
            </w:r>
          </w:p>
        </w:tc>
        <w:tc>
          <w:tcPr>
            <w:tcW w:w="1374"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4812</w:t>
            </w:r>
          </w:p>
        </w:tc>
        <w:tc>
          <w:tcPr>
            <w:tcW w:w="160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4812</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p>
        </w:tc>
        <w:tc>
          <w:tcPr>
            <w:tcW w:w="851"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2"/>
                <w:szCs w:val="22"/>
              </w:rPr>
            </w:pPr>
            <w:r>
              <w:rPr>
                <w:rFonts w:ascii="Times New Roman" w:eastAsia="宋体" w:cs="Times New Roman" w:hAnsi="Times New Roman"/>
                <w:color w:val="000000"/>
                <w:kern w:val="0"/>
                <w:sz w:val="22"/>
                <w:szCs w:val="22"/>
              </w:rPr>
              <w:t>　</w:t>
            </w:r>
          </w:p>
        </w:tc>
      </w:tr>
      <w:tr>
        <w:trPr>
          <w:trHeight w:val="499"/>
        </w:trPr>
        <w:tc>
          <w:tcPr>
            <w:tcW w:w="285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疏林地和未成林地营造林</w:t>
            </w:r>
          </w:p>
        </w:tc>
        <w:tc>
          <w:tcPr>
            <w:tcW w:w="1374"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1024</w:t>
            </w:r>
          </w:p>
        </w:tc>
        <w:tc>
          <w:tcPr>
            <w:tcW w:w="160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1024</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p>
        </w:tc>
        <w:tc>
          <w:tcPr>
            <w:tcW w:w="851"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2"/>
                <w:szCs w:val="22"/>
              </w:rPr>
            </w:pPr>
            <w:r>
              <w:rPr>
                <w:rFonts w:ascii="Times New Roman" w:eastAsia="宋体" w:cs="Times New Roman" w:hAnsi="Times New Roman"/>
                <w:color w:val="000000"/>
                <w:kern w:val="0"/>
                <w:sz w:val="22"/>
                <w:szCs w:val="22"/>
              </w:rPr>
              <w:t>　</w:t>
            </w:r>
          </w:p>
        </w:tc>
      </w:tr>
      <w:tr>
        <w:trPr>
          <w:trHeight w:val="499"/>
        </w:trPr>
        <w:tc>
          <w:tcPr>
            <w:tcW w:w="285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农田林网和农村四旁植树</w:t>
            </w:r>
          </w:p>
        </w:tc>
        <w:tc>
          <w:tcPr>
            <w:tcW w:w="1374"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2030</w:t>
            </w:r>
          </w:p>
        </w:tc>
        <w:tc>
          <w:tcPr>
            <w:tcW w:w="160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2030</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p>
        </w:tc>
        <w:tc>
          <w:tcPr>
            <w:tcW w:w="851"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2"/>
                <w:szCs w:val="22"/>
              </w:rPr>
            </w:pPr>
            <w:r>
              <w:rPr>
                <w:rFonts w:ascii="Times New Roman" w:eastAsia="宋体" w:cs="Times New Roman" w:hAnsi="Times New Roman"/>
                <w:color w:val="000000"/>
                <w:kern w:val="0"/>
                <w:sz w:val="22"/>
                <w:szCs w:val="22"/>
              </w:rPr>
              <w:t>　</w:t>
            </w:r>
          </w:p>
        </w:tc>
      </w:tr>
      <w:tr>
        <w:trPr>
          <w:trHeight w:val="499"/>
        </w:trPr>
        <w:tc>
          <w:tcPr>
            <w:tcW w:w="285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景观示范林</w:t>
            </w:r>
          </w:p>
        </w:tc>
        <w:tc>
          <w:tcPr>
            <w:tcW w:w="1374"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1072.5</w:t>
            </w:r>
          </w:p>
        </w:tc>
        <w:tc>
          <w:tcPr>
            <w:tcW w:w="160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1072.5</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p>
        </w:tc>
        <w:tc>
          <w:tcPr>
            <w:tcW w:w="851"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2"/>
                <w:szCs w:val="22"/>
              </w:rPr>
            </w:pPr>
            <w:r>
              <w:rPr>
                <w:rFonts w:ascii="Times New Roman" w:eastAsia="宋体" w:cs="Times New Roman" w:hAnsi="Times New Roman"/>
                <w:color w:val="000000"/>
                <w:kern w:val="0"/>
                <w:sz w:val="22"/>
                <w:szCs w:val="22"/>
              </w:rPr>
              <w:t>　</w:t>
            </w:r>
          </w:p>
        </w:tc>
      </w:tr>
      <w:tr>
        <w:trPr>
          <w:trHeight w:val="499"/>
        </w:trPr>
        <w:tc>
          <w:tcPr>
            <w:tcW w:w="285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低效林改造</w:t>
            </w:r>
          </w:p>
        </w:tc>
        <w:tc>
          <w:tcPr>
            <w:tcW w:w="1374"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3388</w:t>
            </w:r>
          </w:p>
        </w:tc>
        <w:tc>
          <w:tcPr>
            <w:tcW w:w="160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3388</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p>
        </w:tc>
        <w:tc>
          <w:tcPr>
            <w:tcW w:w="851"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2"/>
                <w:szCs w:val="22"/>
              </w:rPr>
            </w:pPr>
            <w:r>
              <w:rPr>
                <w:rFonts w:ascii="Times New Roman" w:eastAsia="宋体" w:cs="Times New Roman" w:hAnsi="Times New Roman"/>
                <w:color w:val="000000"/>
                <w:kern w:val="0"/>
                <w:sz w:val="22"/>
                <w:szCs w:val="22"/>
              </w:rPr>
              <w:t>　</w:t>
            </w:r>
          </w:p>
        </w:tc>
      </w:tr>
      <w:tr>
        <w:trPr>
          <w:trHeight w:val="499"/>
        </w:trPr>
        <w:tc>
          <w:tcPr>
            <w:tcW w:w="285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森林抚育</w:t>
            </w:r>
          </w:p>
        </w:tc>
        <w:tc>
          <w:tcPr>
            <w:tcW w:w="1374"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9682</w:t>
            </w:r>
          </w:p>
        </w:tc>
        <w:tc>
          <w:tcPr>
            <w:tcW w:w="160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3563.8</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6118.2</w:t>
            </w:r>
          </w:p>
        </w:tc>
        <w:tc>
          <w:tcPr>
            <w:tcW w:w="851"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2"/>
                <w:szCs w:val="22"/>
              </w:rPr>
            </w:pPr>
            <w:r>
              <w:rPr>
                <w:rFonts w:ascii="Times New Roman" w:eastAsia="宋体" w:cs="Times New Roman" w:hAnsi="Times New Roman"/>
                <w:color w:val="000000"/>
                <w:kern w:val="0"/>
                <w:sz w:val="22"/>
                <w:szCs w:val="22"/>
              </w:rPr>
              <w:t>　</w:t>
            </w:r>
          </w:p>
        </w:tc>
      </w:tr>
      <w:tr>
        <w:trPr>
          <w:trHeight w:val="499"/>
        </w:trPr>
        <w:tc>
          <w:tcPr>
            <w:tcW w:w="285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园区和城市绿化美化</w:t>
            </w:r>
          </w:p>
        </w:tc>
        <w:tc>
          <w:tcPr>
            <w:tcW w:w="1374"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576</w:t>
            </w:r>
          </w:p>
        </w:tc>
        <w:tc>
          <w:tcPr>
            <w:tcW w:w="160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r>
              <w:rPr>
                <w:rFonts w:ascii="Times New Roman" w:eastAsia="方正楷体_GBK" w:cs="Times New Roman" w:hAnsi="Times New Roman"/>
                <w:color w:val="000000"/>
                <w:kern w:val="0"/>
                <w:sz w:val="22"/>
                <w:szCs w:val="22"/>
              </w:rPr>
              <w:t>576</w:t>
            </w:r>
          </w:p>
        </w:tc>
        <w:tc>
          <w:tcPr>
            <w:tcW w:w="1701"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2"/>
                <w:szCs w:val="22"/>
              </w:rPr>
            </w:pPr>
          </w:p>
        </w:tc>
        <w:tc>
          <w:tcPr>
            <w:tcW w:w="851"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宋体" w:cs="Times New Roman" w:hAnsi="Times New Roman"/>
                <w:color w:val="000000"/>
                <w:kern w:val="0"/>
                <w:sz w:val="22"/>
                <w:szCs w:val="22"/>
              </w:rPr>
            </w:pPr>
            <w:r>
              <w:rPr>
                <w:rFonts w:ascii="Times New Roman" w:eastAsia="宋体" w:cs="Times New Roman" w:hAnsi="Times New Roman"/>
                <w:color w:val="000000"/>
                <w:kern w:val="0"/>
                <w:sz w:val="22"/>
                <w:szCs w:val="22"/>
              </w:rPr>
              <w:t>　</w:t>
            </w:r>
          </w:p>
        </w:tc>
      </w:tr>
    </w:tbl>
    <w:p>
      <w:pPr>
        <w:pStyle w:val="22"/>
        <w:shd w:val="clear" w:color="auto" w:fill="FFFFFF"/>
        <w:spacing w:before="0" w:beforeAutospacing="0" w:after="0" w:afterAutospacing="0" w:line="600" w:lineRule="exact"/>
        <w:ind w:firstLineChars="200" w:firstLine="640"/>
        <w:jc w:val="both"/>
        <w:rPr>
          <w:rFonts w:ascii="Times New Roman" w:eastAsia="方正楷体_GBK" w:cs="Times New Roman" w:hAnsi="Times New Roman"/>
          <w:color w:val="000000"/>
          <w:sz w:val="32"/>
          <w:szCs w:val="32"/>
        </w:rPr>
      </w:pPr>
    </w:p>
    <w:p>
      <w:pPr>
        <w:spacing w:line="600" w:lineRule="exact"/>
        <w:ind w:firstLineChars="200" w:firstLine="640"/>
        <w:outlineLvl w:val="1"/>
        <w:rPr>
          <w:rFonts w:ascii="Times New Roman" w:eastAsia="方正楷体_GBK" w:cs="Times New Roman" w:hAnsi="Times New Roman"/>
          <w:sz w:val="32"/>
          <w:szCs w:val="32"/>
        </w:rPr>
      </w:pPr>
      <w:r>
        <w:rPr>
          <w:rFonts w:ascii="Times New Roman" w:eastAsia="方正楷体_GBK" w:cs="Times New Roman" w:hAnsi="Times New Roman"/>
          <w:sz w:val="32"/>
          <w:szCs w:val="32"/>
        </w:rPr>
        <w:fldChar w:fldCharType="begin"/>
      </w:r>
      <w:r>
        <w:instrText>HYPERLINK  \l "_Toc17877"</w:instrText>
      </w:r>
      <w:r>
        <w:rPr>
          <w:rFonts w:ascii="Times New Roman" w:eastAsia="方正楷体_GBK" w:cs="Times New Roman" w:hAnsi="Times New Roman"/>
          <w:sz w:val="32"/>
          <w:szCs w:val="32"/>
        </w:rPr>
        <w:fldChar w:fldCharType="separate"/>
      </w:r>
      <w:bookmarkStart w:id="40" w:name="_Toc44272746"/>
      <w:r>
        <w:rPr>
          <w:rFonts w:ascii="Times New Roman" w:eastAsia="方正楷体_GBK" w:cs="Times New Roman" w:hAnsi="Times New Roman"/>
          <w:sz w:val="32"/>
          <w:szCs w:val="32"/>
        </w:rPr>
        <w:t>（四）资金来源</w:t>
      </w:r>
      <w:r>
        <w:rPr>
          <w:rFonts w:ascii="Times New Roman" w:eastAsia="方正楷体_GBK" w:cs="Times New Roman" w:hAnsi="Times New Roman"/>
          <w:sz w:val="32"/>
          <w:szCs w:val="32"/>
        </w:rPr>
        <w:fldChar w:fldCharType="end"/>
      </w:r>
      <w:bookmarkEnd w:id="40"/>
    </w:p>
    <w:p>
      <w:pPr>
        <w:spacing w:line="600" w:lineRule="exact"/>
        <w:ind w:firstLineChars="200" w:firstLine="560"/>
        <w:rPr>
          <w:rFonts w:ascii="Times New Roman" w:eastAsia="方正仿宋_GBK" w:cs="Times New Roman" w:hAnsi="Times New Roman"/>
          <w:sz w:val="32"/>
          <w:szCs w:val="32"/>
        </w:rPr>
      </w:pPr>
      <w:r>
        <w:rPr>
          <w:rFonts w:ascii="Times New Roman" w:eastAsia="方正楷体_GBK" w:cs="Times New Roman" w:hAnsi="Times New Roman"/>
          <w:sz w:val="28"/>
          <w:szCs w:val="28"/>
        </w:rPr>
        <w:t xml:space="preserve"> </w:t>
      </w:r>
      <w:r>
        <w:rPr>
          <w:rFonts w:ascii="Times New Roman" w:eastAsia="方正仿宋_GBK" w:cs="Times New Roman" w:hAnsi="Times New Roman"/>
          <w:sz w:val="32"/>
          <w:szCs w:val="32"/>
        </w:rPr>
        <w:t>江津区长江重庆段</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总投资 22845万元其中：按资金来源分，中央财政资金 1394万元，占总投资的6.10%；市级补助资金1660万元，占总投资的7.27%；区级财政及社会投资 19791万元；占总投资的86.63%。按使用类型分，直接投资（用于整地、造林、苗木等费用）21018 万元，间接投资（用于作业设计、检查验收等）1142 万元，预备费685万元。</w:t>
      </w:r>
    </w:p>
    <w:tbl>
      <w:tblPr>
        <w:jc w:val="left"/>
        <w:tblInd w:w="93" w:type="dxa"/>
        <w:tblW w:w="8379" w:type="dxa"/>
        <w:tblBorders>
          <w:top w:val="none" w:sz="0" w:space="0" w:color="auto"/>
          <w:left w:val="none" w:sz="0" w:space="0" w:color="auto"/>
          <w:bottom w:val="none" w:sz="0" w:space="0" w:color="auto"/>
          <w:right w:val="none" w:sz="0" w:space="0" w:color="auto"/>
        </w:tblBorders>
        <w:tblCellMar>
          <w:top w:w="0" w:type="dxa"/>
          <w:left w:w="108" w:type="dxa"/>
          <w:bottom w:w="0" w:type="dxa"/>
          <w:right w:w="108" w:type="dxa"/>
        </w:tblCellMar>
      </w:tblPr>
      <w:tblGrid>
        <w:gridCol w:w="2680"/>
        <w:gridCol w:w="1163"/>
        <w:gridCol w:w="1417"/>
        <w:gridCol w:w="1134"/>
        <w:gridCol w:w="1276"/>
        <w:gridCol w:w="709"/>
      </w:tblGrid>
      <w:tr>
        <w:trPr>
          <w:trHeight w:val="555"/>
        </w:trPr>
        <w:tc>
          <w:tcPr>
            <w:tcW w:w="8379" w:type="dxa"/>
            <w:gridSpan w:val="6"/>
            <w:tcBorders>
              <w:top w:val="nil"/>
              <w:left w:val="nil"/>
              <w:bottom w:val="single" w:sz="4" w:space="0" w:color="auto"/>
              <w:right w:val="nil"/>
            </w:tcBorders>
            <w:shd w:val="clear" w:color="auto" w:fill="auto"/>
            <w:noWrap/>
            <w:vAlign w:val="center"/>
          </w:tcPr>
          <w:p>
            <w:pPr>
              <w:widowControl/>
              <w:jc w:val="left"/>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 xml:space="preserve">         表18        项目建设资金筹措情况表    单位：</w:t>
            </w:r>
            <w:r>
              <w:rPr>
                <w:rFonts w:ascii="Times New Roman" w:eastAsia="方正楷体_GBK" w:cs="Times New Roman" w:hAnsi="Times New Roman"/>
                <w:b/>
                <w:bCs/>
                <w:color w:val="000000"/>
                <w:kern w:val="0"/>
                <w:sz w:val="22"/>
                <w:szCs w:val="22"/>
              </w:rPr>
              <w:t>万元</w:t>
            </w:r>
          </w:p>
        </w:tc>
      </w:tr>
      <w:tr>
        <w:trPr>
          <w:trHeight w:val="499"/>
        </w:trPr>
        <w:tc>
          <w:tcPr>
            <w:tcW w:w="2680" w:type="dxa"/>
            <w:vMerge w:val="restart"/>
            <w:tcBorders>
              <w:top w:val="nil"/>
              <w:left w:val="single" w:sz="4" w:space="0" w:color="auto"/>
              <w:bottom w:val="single" w:sz="4" w:space="0" w:color="000000"/>
              <w:right w:val="single" w:sz="4" w:space="0" w:color="auto"/>
            </w:tcBorders>
            <w:shd w:val="clear" w:color="auto" w:fill="auto"/>
            <w:vAlign w:val="center"/>
          </w:tcPr>
          <w:p>
            <w:pPr>
              <w:widowControl/>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项 目</w:t>
            </w:r>
          </w:p>
        </w:tc>
        <w:tc>
          <w:tcPr>
            <w:tcW w:w="1163" w:type="dxa"/>
            <w:vMerge w:val="restart"/>
            <w:tcBorders>
              <w:top w:val="nil"/>
              <w:left w:val="single" w:sz="4" w:space="0" w:color="auto"/>
              <w:bottom w:val="single" w:sz="4" w:space="0" w:color="000000"/>
              <w:right w:val="single" w:sz="4" w:space="0" w:color="auto"/>
            </w:tcBorders>
            <w:shd w:val="clear" w:color="auto" w:fill="auto"/>
            <w:vAlign w:val="center"/>
          </w:tcPr>
          <w:p>
            <w:pPr>
              <w:widowControl/>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 xml:space="preserve">投资估算 </w:t>
            </w:r>
          </w:p>
        </w:tc>
        <w:tc>
          <w:tcPr>
            <w:tcW w:w="3827" w:type="dxa"/>
            <w:gridSpan w:val="3"/>
            <w:tcBorders>
              <w:top w:val="single" w:sz="4" w:space="0" w:color="auto"/>
              <w:left w:val="nil"/>
              <w:bottom w:val="single" w:sz="4" w:space="0" w:color="auto"/>
              <w:right w:val="single" w:sz="4" w:space="0" w:color="000000"/>
            </w:tcBorders>
            <w:shd w:val="clear" w:color="auto" w:fill="auto"/>
            <w:noWrap/>
            <w:vAlign w:val="center"/>
          </w:tcPr>
          <w:p>
            <w:pPr>
              <w:widowControl/>
              <w:jc w:val="center"/>
              <w:rPr>
                <w:rFonts w:ascii="Times New Roman" w:eastAsia="方正楷体_GBK" w:cs="Times New Roman" w:hAnsi="Times New Roman"/>
                <w:b/>
                <w:bCs/>
                <w:color w:val="000000"/>
                <w:kern w:val="0"/>
                <w:sz w:val="22"/>
                <w:szCs w:val="22"/>
              </w:rPr>
            </w:pPr>
            <w:r>
              <w:rPr>
                <w:rFonts w:ascii="Times New Roman" w:eastAsia="方正楷体_GBK" w:cs="Times New Roman" w:hAnsi="Times New Roman"/>
                <w:b/>
                <w:bCs/>
                <w:color w:val="000000"/>
                <w:kern w:val="0"/>
                <w:sz w:val="22"/>
                <w:szCs w:val="22"/>
              </w:rPr>
              <w:t>资金筹措</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tcPr>
          <w:p>
            <w:pPr>
              <w:widowControl/>
              <w:jc w:val="center"/>
              <w:rPr>
                <w:rFonts w:ascii="Times New Roman" w:eastAsia="宋体" w:cs="Times New Roman" w:hAnsi="Times New Roman"/>
                <w:b/>
                <w:bCs/>
                <w:color w:val="000000"/>
                <w:kern w:val="0"/>
                <w:sz w:val="22"/>
                <w:szCs w:val="22"/>
              </w:rPr>
            </w:pPr>
            <w:r>
              <w:rPr>
                <w:rFonts w:ascii="Times New Roman" w:eastAsia="宋体" w:cs="Times New Roman" w:hAnsi="Times New Roman"/>
                <w:b/>
                <w:bCs/>
                <w:color w:val="000000"/>
                <w:kern w:val="0"/>
                <w:sz w:val="22"/>
                <w:szCs w:val="22"/>
              </w:rPr>
              <w:t>备注</w:t>
            </w:r>
          </w:p>
        </w:tc>
      </w:tr>
      <w:tr>
        <w:trPr>
          <w:trHeight w:val="499"/>
        </w:trPr>
        <w:tc>
          <w:tcPr>
            <w:tcW w:w="2680" w:type="dxa"/>
            <w:vMerge/>
            <w:tcBorders>
              <w:top w:val="nil"/>
              <w:left w:val="single" w:sz="4" w:space="0" w:color="auto"/>
              <w:bottom w:val="single" w:sz="4" w:space="0" w:color="000000"/>
              <w:right w:val="single" w:sz="4" w:space="0" w:color="auto"/>
            </w:tcBorders>
            <w:vAlign w:val="center"/>
          </w:tcPr>
          <w:p/>
        </w:tc>
        <w:tc>
          <w:tcPr>
            <w:tcW w:w="1163" w:type="dxa"/>
            <w:vMerge/>
            <w:tcBorders>
              <w:top w:val="nil"/>
              <w:left w:val="single" w:sz="4" w:space="0" w:color="auto"/>
              <w:bottom w:val="single" w:sz="4" w:space="0" w:color="000000"/>
              <w:right w:val="single" w:sz="4" w:space="0" w:color="auto"/>
            </w:tcBorders>
            <w:vAlign w:val="center"/>
          </w:tcPr>
          <w:p/>
        </w:tc>
        <w:tc>
          <w:tcPr>
            <w:tcW w:w="1417" w:type="dxa"/>
            <w:tcBorders>
              <w:top w:val="nil"/>
              <w:left w:val="nil"/>
              <w:bottom w:val="single" w:sz="4" w:space="0" w:color="auto"/>
              <w:right w:val="single" w:sz="4" w:space="0" w:color="auto"/>
            </w:tcBorders>
            <w:shd w:val="clear" w:color="auto" w:fill="auto"/>
            <w:vAlign w:val="center"/>
          </w:tcPr>
          <w:p>
            <w:pPr>
              <w:widowControl/>
              <w:spacing w:line="320" w:lineRule="exact"/>
              <w:jc w:val="center"/>
              <w:textAlignment w:val="center"/>
              <w:rPr>
                <w:rFonts w:ascii="Times New Roman" w:eastAsia="方正楷体_GBK" w:cs="Times New Roman" w:hAnsi="Times New Roman"/>
                <w:b/>
                <w:color w:val="000000"/>
                <w:szCs w:val="21"/>
              </w:rPr>
            </w:pPr>
            <w:r>
              <w:rPr>
                <w:rFonts w:ascii="Times New Roman" w:eastAsia="方正楷体_GBK" w:cs="Times New Roman" w:hAnsi="Times New Roman"/>
                <w:b/>
                <w:color w:val="000000"/>
                <w:kern w:val="0"/>
                <w:szCs w:val="21"/>
              </w:rPr>
              <w:t>中央林业重点项目资金</w:t>
            </w:r>
          </w:p>
        </w:tc>
        <w:tc>
          <w:tcPr>
            <w:tcW w:w="1134" w:type="dxa"/>
            <w:tcBorders>
              <w:top w:val="nil"/>
              <w:left w:val="nil"/>
              <w:bottom w:val="single" w:sz="4" w:space="0" w:color="auto"/>
              <w:right w:val="single" w:sz="4" w:space="0" w:color="auto"/>
            </w:tcBorders>
            <w:shd w:val="clear" w:color="auto" w:fill="auto"/>
            <w:vAlign w:val="center"/>
          </w:tcPr>
          <w:p>
            <w:pPr>
              <w:widowControl/>
              <w:spacing w:line="320" w:lineRule="exact"/>
              <w:jc w:val="center"/>
              <w:textAlignment w:val="center"/>
              <w:rPr>
                <w:rFonts w:ascii="Times New Roman" w:eastAsia="方正楷体_GBK" w:cs="Times New Roman" w:hAnsi="Times New Roman"/>
                <w:b/>
                <w:color w:val="000000"/>
                <w:szCs w:val="21"/>
              </w:rPr>
            </w:pPr>
            <w:r>
              <w:rPr>
                <w:rFonts w:ascii="Times New Roman" w:eastAsia="方正楷体_GBK" w:cs="Times New Roman" w:hAnsi="Times New Roman"/>
                <w:b/>
                <w:color w:val="000000"/>
                <w:kern w:val="0"/>
                <w:szCs w:val="21"/>
              </w:rPr>
              <w:t>市级奖补</w:t>
            </w:r>
          </w:p>
        </w:tc>
        <w:tc>
          <w:tcPr>
            <w:tcW w:w="1276"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宋体" w:cs="Times New Roman" w:hAnsi="Times New Roman"/>
                <w:b/>
                <w:bCs/>
                <w:color w:val="000000"/>
                <w:kern w:val="0"/>
                <w:sz w:val="22"/>
                <w:szCs w:val="22"/>
              </w:rPr>
            </w:pPr>
            <w:r>
              <w:rPr>
                <w:rFonts w:ascii="Times New Roman" w:eastAsia="楷体" w:cs="Times New Roman" w:hAnsi="Times New Roman"/>
                <w:b/>
                <w:color w:val="000000"/>
                <w:kern w:val="0"/>
                <w:szCs w:val="21"/>
              </w:rPr>
              <w:t>区县财政及社会投资</w:t>
            </w:r>
          </w:p>
        </w:tc>
        <w:tc>
          <w:tcPr>
            <w:tcW w:w="709" w:type="dxa"/>
            <w:vMerge/>
            <w:tcBorders>
              <w:top w:val="nil"/>
              <w:left w:val="single" w:sz="4" w:space="0" w:color="auto"/>
              <w:bottom w:val="single" w:sz="4" w:space="0" w:color="000000"/>
              <w:right w:val="single" w:sz="4" w:space="0" w:color="auto"/>
            </w:tcBorders>
            <w:vAlign w:val="center"/>
          </w:tcPr>
          <w:p/>
        </w:tc>
      </w:tr>
      <w:tr>
        <w:trPr>
          <w:trHeight w:val="499"/>
        </w:trPr>
        <w:tc>
          <w:tcPr>
            <w:tcW w:w="2680" w:type="dxa"/>
            <w:tcBorders>
              <w:top w:val="nil"/>
              <w:left w:val="single" w:sz="4" w:space="0" w:color="auto"/>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总计</w:t>
            </w:r>
          </w:p>
        </w:tc>
        <w:tc>
          <w:tcPr>
            <w:tcW w:w="116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b/>
                <w:bCs/>
                <w:color w:val="000000"/>
                <w:kern w:val="0"/>
                <w:sz w:val="24"/>
              </w:rPr>
            </w:pPr>
            <w:r>
              <w:rPr>
                <w:rFonts w:ascii="Times New Roman" w:eastAsia="方正楷体_GBK" w:cs="Times New Roman" w:hAnsi="Times New Roman"/>
                <w:b/>
                <w:bCs/>
                <w:color w:val="000000"/>
                <w:kern w:val="0"/>
                <w:sz w:val="24"/>
              </w:rPr>
              <w:t>22845</w:t>
            </w:r>
          </w:p>
        </w:tc>
        <w:tc>
          <w:tcPr>
            <w:tcW w:w="1417"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b/>
                <w:color w:val="000000"/>
                <w:sz w:val="24"/>
              </w:rPr>
            </w:pPr>
            <w:r>
              <w:rPr>
                <w:rFonts w:ascii="Times New Roman" w:eastAsia="方正楷体_GBK" w:cs="Times New Roman" w:hAnsi="Times New Roman"/>
                <w:b/>
                <w:color w:val="000000"/>
                <w:kern w:val="0"/>
                <w:sz w:val="24"/>
              </w:rPr>
              <w:t xml:space="preserve">1394.00 </w:t>
            </w:r>
          </w:p>
        </w:tc>
        <w:tc>
          <w:tcPr>
            <w:tcW w:w="1134"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b/>
                <w:color w:val="000000"/>
                <w:sz w:val="24"/>
              </w:rPr>
            </w:pPr>
            <w:r>
              <w:rPr>
                <w:rFonts w:ascii="Times New Roman" w:eastAsia="方正楷体_GBK" w:cs="Times New Roman" w:hAnsi="Times New Roman"/>
                <w:b/>
                <w:color w:val="000000"/>
                <w:kern w:val="0"/>
                <w:sz w:val="24"/>
              </w:rPr>
              <w:t xml:space="preserve">1660.00 </w:t>
            </w:r>
          </w:p>
        </w:tc>
        <w:tc>
          <w:tcPr>
            <w:tcW w:w="1276"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b/>
                <w:color w:val="000000"/>
                <w:sz w:val="24"/>
              </w:rPr>
            </w:pPr>
            <w:r>
              <w:rPr>
                <w:rFonts w:ascii="Times New Roman" w:eastAsia="方正楷体_GBK" w:cs="Times New Roman" w:hAnsi="Times New Roman"/>
                <w:b/>
                <w:color w:val="000000"/>
                <w:kern w:val="0"/>
                <w:sz w:val="24"/>
              </w:rPr>
              <w:t xml:space="preserve">19791.00 </w:t>
            </w: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499"/>
        </w:trPr>
        <w:tc>
          <w:tcPr>
            <w:tcW w:w="268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退耕还林</w:t>
            </w:r>
          </w:p>
        </w:tc>
        <w:tc>
          <w:tcPr>
            <w:tcW w:w="116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260.5</w:t>
            </w:r>
          </w:p>
        </w:tc>
        <w:tc>
          <w:tcPr>
            <w:tcW w:w="1417"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80.00 </w:t>
            </w:r>
          </w:p>
        </w:tc>
        <w:tc>
          <w:tcPr>
            <w:tcW w:w="1134"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20.00 </w:t>
            </w:r>
          </w:p>
        </w:tc>
        <w:tc>
          <w:tcPr>
            <w:tcW w:w="1276"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160.50 </w:t>
            </w: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499"/>
        </w:trPr>
        <w:tc>
          <w:tcPr>
            <w:tcW w:w="268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农业种植结构调整造林</w:t>
            </w:r>
          </w:p>
        </w:tc>
        <w:tc>
          <w:tcPr>
            <w:tcW w:w="116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4812</w:t>
            </w:r>
          </w:p>
        </w:tc>
        <w:tc>
          <w:tcPr>
            <w:tcW w:w="1417"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p>
        </w:tc>
        <w:tc>
          <w:tcPr>
            <w:tcW w:w="1134"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720.00 </w:t>
            </w:r>
          </w:p>
        </w:tc>
        <w:tc>
          <w:tcPr>
            <w:tcW w:w="1276"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4092.00 </w:t>
            </w: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499"/>
        </w:trPr>
        <w:tc>
          <w:tcPr>
            <w:tcW w:w="268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疏林地和未成林地营造林</w:t>
            </w:r>
          </w:p>
        </w:tc>
        <w:tc>
          <w:tcPr>
            <w:tcW w:w="116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1024</w:t>
            </w:r>
          </w:p>
        </w:tc>
        <w:tc>
          <w:tcPr>
            <w:tcW w:w="1417"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120.00 </w:t>
            </w:r>
          </w:p>
        </w:tc>
        <w:tc>
          <w:tcPr>
            <w:tcW w:w="1134"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120.00 </w:t>
            </w:r>
          </w:p>
        </w:tc>
        <w:tc>
          <w:tcPr>
            <w:tcW w:w="1276"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784.00 </w:t>
            </w: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499"/>
        </w:trPr>
        <w:tc>
          <w:tcPr>
            <w:tcW w:w="268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农田林网和农村四旁植树</w:t>
            </w:r>
          </w:p>
        </w:tc>
        <w:tc>
          <w:tcPr>
            <w:tcW w:w="116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2030</w:t>
            </w:r>
          </w:p>
        </w:tc>
        <w:tc>
          <w:tcPr>
            <w:tcW w:w="1417"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100.00 </w:t>
            </w:r>
          </w:p>
        </w:tc>
        <w:tc>
          <w:tcPr>
            <w:tcW w:w="1134"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300.00 </w:t>
            </w:r>
          </w:p>
        </w:tc>
        <w:tc>
          <w:tcPr>
            <w:tcW w:w="1276"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1630.00 </w:t>
            </w: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499"/>
        </w:trPr>
        <w:tc>
          <w:tcPr>
            <w:tcW w:w="268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景观示范林</w:t>
            </w:r>
          </w:p>
        </w:tc>
        <w:tc>
          <w:tcPr>
            <w:tcW w:w="116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1072.5</w:t>
            </w:r>
          </w:p>
        </w:tc>
        <w:tc>
          <w:tcPr>
            <w:tcW w:w="1417"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p>
        </w:tc>
        <w:tc>
          <w:tcPr>
            <w:tcW w:w="1134"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300.00 </w:t>
            </w:r>
          </w:p>
        </w:tc>
        <w:tc>
          <w:tcPr>
            <w:tcW w:w="1276"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772.50 </w:t>
            </w: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499"/>
        </w:trPr>
        <w:tc>
          <w:tcPr>
            <w:tcW w:w="268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低效林改造</w:t>
            </w:r>
          </w:p>
        </w:tc>
        <w:tc>
          <w:tcPr>
            <w:tcW w:w="116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3388</w:t>
            </w:r>
          </w:p>
        </w:tc>
        <w:tc>
          <w:tcPr>
            <w:tcW w:w="1417"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154.00 </w:t>
            </w:r>
          </w:p>
        </w:tc>
        <w:tc>
          <w:tcPr>
            <w:tcW w:w="1134"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rPr>
                <w:rFonts w:ascii="Times New Roman" w:eastAsia="方正楷体_GBK" w:cs="Times New Roman" w:hAnsi="Times New Roman"/>
                <w:color w:val="000000"/>
                <w:sz w:val="24"/>
              </w:rPr>
            </w:pPr>
          </w:p>
        </w:tc>
        <w:tc>
          <w:tcPr>
            <w:tcW w:w="1276"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3234.00 </w:t>
            </w: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499"/>
        </w:trPr>
        <w:tc>
          <w:tcPr>
            <w:tcW w:w="268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森林抚育</w:t>
            </w:r>
          </w:p>
        </w:tc>
        <w:tc>
          <w:tcPr>
            <w:tcW w:w="116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9682</w:t>
            </w:r>
          </w:p>
        </w:tc>
        <w:tc>
          <w:tcPr>
            <w:tcW w:w="1417"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940.00 </w:t>
            </w:r>
          </w:p>
        </w:tc>
        <w:tc>
          <w:tcPr>
            <w:tcW w:w="1134"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rPr>
                <w:rFonts w:ascii="Times New Roman" w:eastAsia="方正楷体_GBK" w:cs="Times New Roman" w:hAnsi="Times New Roman"/>
                <w:color w:val="000000"/>
                <w:sz w:val="24"/>
              </w:rPr>
            </w:pPr>
          </w:p>
        </w:tc>
        <w:tc>
          <w:tcPr>
            <w:tcW w:w="1276"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8742.00 </w:t>
            </w: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r>
        <w:trPr>
          <w:trHeight w:val="499"/>
        </w:trPr>
        <w:tc>
          <w:tcPr>
            <w:tcW w:w="2680" w:type="dxa"/>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园区和城市绿化美化</w:t>
            </w:r>
          </w:p>
        </w:tc>
        <w:tc>
          <w:tcPr>
            <w:tcW w:w="1163" w:type="dxa"/>
            <w:tcBorders>
              <w:top w:val="nil"/>
              <w:left w:val="nil"/>
              <w:bottom w:val="single" w:sz="4" w:space="0" w:color="auto"/>
              <w:right w:val="single" w:sz="4" w:space="0" w:color="auto"/>
            </w:tcBorders>
            <w:shd w:val="clear" w:color="auto" w:fill="auto"/>
            <w:noWrap/>
            <w:vAlign w:val="center"/>
          </w:tcPr>
          <w:p>
            <w:pPr>
              <w:widowControl/>
              <w:jc w:val="center"/>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576</w:t>
            </w:r>
          </w:p>
        </w:tc>
        <w:tc>
          <w:tcPr>
            <w:tcW w:w="1417"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rPr>
                <w:rFonts w:ascii="Times New Roman" w:eastAsia="方正楷体_GBK" w:cs="Times New Roman" w:hAnsi="Times New Roman"/>
                <w:color w:val="000000"/>
                <w:sz w:val="24"/>
              </w:rPr>
            </w:pPr>
          </w:p>
        </w:tc>
        <w:tc>
          <w:tcPr>
            <w:tcW w:w="1134"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200.00 </w:t>
            </w:r>
          </w:p>
        </w:tc>
        <w:tc>
          <w:tcPr>
            <w:tcW w:w="1276" w:type="dxa"/>
            <w:tcBorders>
              <w:top w:val="nil"/>
              <w:left w:val="nil"/>
              <w:bottom w:val="single" w:sz="4" w:space="0" w:color="auto"/>
              <w:right w:val="single" w:sz="4" w:space="0" w:color="auto"/>
            </w:tcBorders>
            <w:shd w:val="clear" w:color="auto" w:fill="auto"/>
            <w:noWrap/>
            <w:vAlign w:val="center"/>
          </w:tcPr>
          <w:p>
            <w:pPr>
              <w:widowControl/>
              <w:spacing w:line="320" w:lineRule="exact"/>
              <w:jc w:val="center"/>
              <w:textAlignment w:val="center"/>
              <w:rPr>
                <w:rFonts w:ascii="Times New Roman" w:eastAsia="方正楷体_GBK" w:cs="Times New Roman" w:hAnsi="Times New Roman"/>
                <w:color w:val="000000"/>
                <w:sz w:val="24"/>
              </w:rPr>
            </w:pPr>
            <w:r>
              <w:rPr>
                <w:rFonts w:ascii="Times New Roman" w:eastAsia="方正楷体_GBK" w:cs="Times New Roman" w:hAnsi="Times New Roman"/>
                <w:color w:val="000000"/>
                <w:kern w:val="0"/>
                <w:sz w:val="24"/>
              </w:rPr>
              <w:t xml:space="preserve">376.00 </w:t>
            </w:r>
          </w:p>
        </w:tc>
        <w:tc>
          <w:tcPr>
            <w:tcW w:w="709" w:type="dxa"/>
            <w:tcBorders>
              <w:top w:val="nil"/>
              <w:left w:val="nil"/>
              <w:bottom w:val="single" w:sz="4" w:space="0" w:color="auto"/>
              <w:right w:val="single" w:sz="4" w:space="0" w:color="auto"/>
            </w:tcBorders>
            <w:shd w:val="clear" w:color="auto" w:fill="auto"/>
            <w:noWrap/>
            <w:vAlign w:val="center"/>
          </w:tcPr>
          <w:p>
            <w:pPr>
              <w:widowControl/>
              <w:jc w:val="left"/>
              <w:rPr>
                <w:rFonts w:ascii="Times New Roman" w:eastAsia="方正楷体_GBK" w:cs="Times New Roman" w:hAnsi="Times New Roman"/>
                <w:color w:val="000000"/>
                <w:kern w:val="0"/>
                <w:sz w:val="24"/>
              </w:rPr>
            </w:pPr>
            <w:r>
              <w:rPr>
                <w:rFonts w:ascii="Times New Roman" w:eastAsia="方正楷体_GBK" w:cs="Times New Roman" w:hAnsi="Times New Roman"/>
                <w:color w:val="000000"/>
                <w:kern w:val="0"/>
                <w:sz w:val="24"/>
              </w:rPr>
              <w:t>　</w:t>
            </w:r>
          </w:p>
        </w:tc>
      </w:tr>
    </w:tbl>
    <w:p>
      <w:pPr>
        <w:rPr>
          <w:rFonts w:ascii="Times New Roman" w:eastAsia="方正黑体_GBK" w:cs="Times New Roman" w:hAnsi="Times New Roman"/>
          <w:sz w:val="32"/>
        </w:rPr>
      </w:pPr>
    </w:p>
    <w:p>
      <w:pPr>
        <w:rPr>
          <w:rFonts w:ascii="Times New Roman" w:cs="Times New Roman" w:hAnsi="Times New Roman"/>
        </w:rPr>
      </w:pPr>
    </w:p>
    <w:p>
      <w:pPr>
        <w:pStyle w:val="2"/>
        <w:keepNext w:val="0"/>
        <w:keepLines/>
        <w:pageBreakBefore w:val="0"/>
        <w:widowControl w:val="0"/>
        <w:kinsoku/>
        <w:wordWrap/>
        <w:overflowPunct/>
        <w:topLinePunct w:val="0"/>
        <w:autoSpaceDE/>
        <w:autoSpaceDN/>
        <w:bidi w:val="0"/>
        <w:adjustRightInd w:val="0"/>
        <w:snapToGrid w:val="0"/>
        <w:spacing w:before="0" w:after="0" w:line="600" w:lineRule="exact"/>
        <w:ind w:left="0" w:firstLineChars="200" w:firstLine="640"/>
        <w:rPr>
          <w:rFonts w:ascii="Times New Roman" w:eastAsia="方正黑体_GBK" w:cs="Times New Roman" w:hAnsi="Times New Roman"/>
          <w:b w:val="0"/>
          <w:bCs w:val="0"/>
          <w:sz w:val="32"/>
        </w:rPr>
      </w:pPr>
      <w:r>
        <w:rPr>
          <w:rFonts w:ascii="Times New Roman" w:eastAsia="方正黑体_GBK" w:cs="Times New Roman" w:hAnsi="Times New Roman"/>
          <w:b w:val="0"/>
          <w:bCs w:val="0"/>
          <w:sz w:val="32"/>
        </w:rPr>
        <w:fldChar w:fldCharType="begin"/>
      </w:r>
      <w:r>
        <w:instrText>HYPERLINK  \l "_Toc18138"</w:instrText>
      </w:r>
      <w:r>
        <w:rPr>
          <w:rFonts w:ascii="Times New Roman" w:eastAsia="方正黑体_GBK" w:cs="Times New Roman" w:hAnsi="Times New Roman"/>
          <w:b w:val="0"/>
          <w:bCs w:val="0"/>
          <w:sz w:val="32"/>
        </w:rPr>
        <w:fldChar w:fldCharType="separate"/>
      </w:r>
      <w:bookmarkStart w:id="41" w:name="_Toc44272747"/>
      <w:r>
        <w:rPr>
          <w:rFonts w:ascii="Times New Roman" w:eastAsia="方正黑体_GBK" w:cs="Times New Roman" w:hAnsi="Times New Roman"/>
          <w:b w:val="0"/>
          <w:bCs w:val="0"/>
          <w:sz w:val="32"/>
        </w:rPr>
        <w:t>六、效益分析</w:t>
      </w:r>
      <w:r>
        <w:rPr>
          <w:rFonts w:ascii="Times New Roman" w:eastAsia="方正黑体_GBK" w:cs="Times New Roman" w:hAnsi="Times New Roman"/>
          <w:b w:val="0"/>
          <w:bCs w:val="0"/>
          <w:sz w:val="32"/>
        </w:rPr>
        <w:fldChar w:fldCharType="end"/>
      </w:r>
      <w:bookmarkEnd w:id="41"/>
    </w:p>
    <w:p>
      <w:pPr>
        <w:keepNext w:val="0"/>
        <w:pageBreakBefore w:val="0"/>
        <w:widowControl w:val="0"/>
        <w:kinsoku/>
        <w:wordWrap/>
        <w:overflowPunct/>
        <w:topLinePunct w:val="0"/>
        <w:autoSpaceDE/>
        <w:autoSpaceDN/>
        <w:bidi w:val="0"/>
        <w:spacing w:line="600" w:lineRule="exact"/>
        <w:ind w:left="0" w:firstLineChars="200" w:firstLine="640"/>
        <w:outlineLvl w:val="1"/>
        <w:rPr>
          <w:rFonts w:ascii="Times New Roman" w:eastAsia="方正楷体_GBK" w:cs="Times New Roman" w:hAnsi="Times New Roman"/>
          <w:sz w:val="32"/>
          <w:szCs w:val="32"/>
        </w:rPr>
      </w:pPr>
      <w:bookmarkStart w:id="42" w:name="_Toc44272748"/>
      <w:r>
        <w:rPr>
          <w:rFonts w:ascii="Times New Roman" w:eastAsia="方正楷体_GBK" w:cs="Times New Roman" w:hAnsi="Times New Roman"/>
          <w:sz w:val="32"/>
          <w:szCs w:val="32"/>
        </w:rPr>
        <w:t>（一）</w:t>
      </w:r>
      <w:r>
        <w:rPr>
          <w:rFonts w:ascii="Times New Roman" w:eastAsia="方正楷体_GBK" w:cs="Times New Roman" w:hAnsi="Times New Roman"/>
          <w:sz w:val="32"/>
          <w:szCs w:val="32"/>
        </w:rPr>
        <w:fldChar w:fldCharType="begin"/>
      </w:r>
      <w:r>
        <w:instrText>HYPERLINK  \l "_Toc2126"</w:instrText>
      </w:r>
      <w:r>
        <w:rPr>
          <w:rFonts w:ascii="Times New Roman" w:eastAsia="方正楷体_GBK" w:cs="Times New Roman" w:hAnsi="Times New Roman"/>
          <w:sz w:val="32"/>
          <w:szCs w:val="32"/>
        </w:rPr>
        <w:fldChar w:fldCharType="separate"/>
      </w:r>
      <w:r>
        <w:rPr>
          <w:rFonts w:ascii="Times New Roman" w:eastAsia="方正楷体_GBK" w:cs="Times New Roman" w:hAnsi="Times New Roman"/>
          <w:sz w:val="32"/>
          <w:szCs w:val="32"/>
        </w:rPr>
        <w:t>生态效益</w:t>
      </w:r>
      <w:r>
        <w:rPr>
          <w:rFonts w:ascii="Times New Roman" w:eastAsia="方正楷体_GBK" w:cs="Times New Roman" w:hAnsi="Times New Roman"/>
          <w:sz w:val="32"/>
          <w:szCs w:val="32"/>
        </w:rPr>
        <w:fldChar w:fldCharType="end"/>
      </w:r>
      <w:bookmarkEnd w:id="42"/>
    </w:p>
    <w:p>
      <w:pPr>
        <w:pStyle w:val="22"/>
        <w:keepNext w:val="0"/>
        <w:pageBreakBefore w:val="0"/>
        <w:widowControl/>
        <w:shd w:val="clear" w:color="auto" w:fill="FFFFFF"/>
        <w:kinsoku/>
        <w:wordWrap/>
        <w:overflowPunct/>
        <w:topLinePunct w:val="0"/>
        <w:autoSpaceDE/>
        <w:autoSpaceDN/>
        <w:bidi w:val="0"/>
        <w:spacing w:before="0" w:beforeAutospacing="0" w:after="0" w:afterAutospacing="0" w:line="600" w:lineRule="exact"/>
        <w:ind w:left="0"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长江重庆段</w:t>
      </w:r>
      <w:r>
        <w:rPr>
          <w:rFonts w:ascii="Times New Roman" w:eastAsia="方正仿宋_GBK" w:cs="Times New Roman" w:hAnsi="Times New Roman"/>
          <w:color w:val="000000"/>
          <w:sz w:val="32"/>
          <w:szCs w:val="32"/>
          <w:lang w:eastAsia="zh-CN"/>
        </w:rPr>
        <w:t>“两岸青山•千里林带”</w:t>
      </w:r>
      <w:r>
        <w:rPr>
          <w:rFonts w:ascii="Times New Roman" w:eastAsia="方正仿宋_GBK" w:cs="Times New Roman" w:hAnsi="Times New Roman"/>
          <w:color w:val="000000"/>
          <w:sz w:val="32"/>
          <w:szCs w:val="32"/>
        </w:rPr>
        <w:t>是保护长江上游生态屏障最直接、最有效的形式，是解决长江干流两岸绿化缺株断带、森林生态功能脆弱等问题的重要手段，具有重大的实际意义。森林生态效益是指森林环境的调节产生对人类和生物种群生息繁衍有利的效益，具有净化环境，维持水文循环，维持大气化学平衡等综合性作用。</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1.</w:t>
      </w:r>
      <w:r>
        <w:rPr>
          <w:rFonts w:ascii="Times New Roman" w:eastAsia="方正仿宋_GBK" w:cs="Times New Roman" w:hAnsi="Times New Roman"/>
          <w:b/>
          <w:bCs/>
          <w:sz w:val="32"/>
          <w:szCs w:val="32"/>
        </w:rPr>
        <w:t>涵蓄水源、保持水土</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森林是土壤的绿色保护伞，把地面径流转为地下径流， 减慢了径流速度，因此在雨季可以大量贮蓄水分，减缓洪水流量；干旱季节又可补充河水流量，减轻或防止旱灾。森林对降雨的截留，大大减轻了雨滴对土壤表面的重力冲击。森林把地面径流转为地下径流，可以防止土壤流失。树根深而交错盘结，固土能力强，可以防止滑坡、塌方和泥石流的发生。</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2.</w:t>
      </w:r>
      <w:r>
        <w:rPr>
          <w:rFonts w:ascii="Times New Roman" w:eastAsia="方正仿宋_GBK" w:cs="Times New Roman" w:hAnsi="Times New Roman"/>
          <w:b/>
          <w:bCs/>
          <w:sz w:val="32"/>
          <w:szCs w:val="32"/>
        </w:rPr>
        <w:t>保护生物多样性</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生物多样性是生态系统不可缺少的重要组成部分，人们 依靠生态系统净化空气、水，并充腴土壤。随着江津区国土  绿化提升规划的实施，将极大程度上改善生态环境，使江津的天更蓝、水更绿、山更青，为生物提供一个更加舒适的栖息场所，维护自然界的生态平衡，呈现一派鸟语花香、生机盎然的景象。</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rPr>
        <w:t xml:space="preserve"> </w:t>
      </w:r>
      <w:r>
        <w:rPr>
          <w:rFonts w:ascii="Times New Roman" w:eastAsia="方正仿宋_GBK" w:cs="Times New Roman" w:hAnsi="Times New Roman"/>
          <w:b/>
          <w:bCs/>
          <w:sz w:val="32"/>
          <w:szCs w:val="32"/>
          <w:lang w:val="en-US" w:eastAsia="zh-CN"/>
        </w:rPr>
        <w:t>3.</w:t>
      </w:r>
      <w:r>
        <w:rPr>
          <w:rFonts w:ascii="Times New Roman" w:eastAsia="方正仿宋_GBK" w:cs="Times New Roman" w:hAnsi="Times New Roman"/>
          <w:b/>
          <w:bCs/>
          <w:sz w:val="32"/>
          <w:szCs w:val="32"/>
        </w:rPr>
        <w:t>调节气候</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森林对于调节气候有着十分显著的作用。森林庞大起伏的树冠，拦阻了太阳辐射带来的光和热，大约有 20%~25% 的热量被反射回空中，约 35%的热量被树冠吸收，树木本身旺盛的蒸腾作用也消耗了大量的热能，所以森林环境可以改变局部地区的小气候。据测定，夏天有林荫的地方要比空旷地气温低 3-5</w:t>
      </w:r>
      <w:r>
        <w:rPr>
          <w:rFonts w:ascii="方正仿宋_GBK" w:eastAsia="方正仿宋_GBK" w:cs="Times New Roman" w:hint="eastAsia"/>
          <w:sz w:val="32"/>
          <w:szCs w:val="32"/>
        </w:rPr>
        <w:t>℃</w:t>
      </w:r>
      <w:r>
        <w:rPr>
          <w:rFonts w:ascii="Times New Roman" w:eastAsia="方正仿宋_GBK" w:cs="Times New Roman" w:hAnsi="Times New Roman"/>
          <w:sz w:val="32"/>
          <w:szCs w:val="32"/>
        </w:rPr>
        <w:t>，而在冬季，有林地区要比无林地区的气温高出 2-4</w:t>
      </w:r>
      <w:r>
        <w:rPr>
          <w:rFonts w:ascii="方正仿宋_GBK" w:eastAsia="方正仿宋_GBK" w:cs="Times New Roman" w:hint="eastAsia"/>
          <w:sz w:val="32"/>
          <w:szCs w:val="32"/>
        </w:rPr>
        <w:t>℃</w:t>
      </w:r>
      <w:r>
        <w:rPr>
          <w:rFonts w:ascii="Times New Roman" w:eastAsia="方正仿宋_GBK" w:cs="Times New Roman" w:hAnsi="Times New Roman"/>
          <w:sz w:val="32"/>
          <w:szCs w:val="32"/>
        </w:rPr>
        <w:t>。</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4.</w:t>
      </w:r>
      <w:r>
        <w:rPr>
          <w:rFonts w:ascii="Times New Roman" w:eastAsia="方正仿宋_GBK" w:cs="Times New Roman" w:hAnsi="Times New Roman"/>
          <w:b/>
          <w:bCs/>
          <w:sz w:val="32"/>
          <w:szCs w:val="32"/>
        </w:rPr>
        <w:t>净化空气</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森林生态系统净化环境功能主要表现在吸收污染物、阻滞粉尘、杀灭病菌、降低噪声、提供负离子等方面，按等量替代方法计算，每亩森林每年可释放氧气 1-2 吨，吸收二氧化碳 1.33-2.66 吨。</w:t>
      </w:r>
    </w:p>
    <w:p>
      <w:pPr>
        <w:keepNext w:val="0"/>
        <w:pageBreakBefore w:val="0"/>
        <w:widowControl w:val="0"/>
        <w:kinsoku/>
        <w:wordWrap/>
        <w:overflowPunct/>
        <w:topLinePunct w:val="0"/>
        <w:autoSpaceDE/>
        <w:autoSpaceDN/>
        <w:bidi w:val="0"/>
        <w:spacing w:line="600" w:lineRule="exact"/>
        <w:ind w:left="0" w:firstLineChars="200" w:firstLine="640"/>
        <w:outlineLvl w:val="1"/>
        <w:rPr>
          <w:rFonts w:ascii="Times New Roman" w:eastAsia="方正楷体_GBK" w:cs="Times New Roman" w:hAnsi="Times New Roman"/>
          <w:sz w:val="32"/>
          <w:szCs w:val="32"/>
        </w:rPr>
      </w:pPr>
      <w:r>
        <w:rPr>
          <w:rFonts w:ascii="Times New Roman" w:eastAsia="方正楷体_GBK" w:cs="Times New Roman" w:hAnsi="Times New Roman"/>
          <w:sz w:val="32"/>
          <w:szCs w:val="32"/>
        </w:rPr>
        <w:fldChar w:fldCharType="begin"/>
      </w:r>
      <w:r>
        <w:instrText>HYPERLINK  \l "_Toc17688"</w:instrText>
      </w:r>
      <w:r>
        <w:rPr>
          <w:rFonts w:ascii="Times New Roman" w:eastAsia="方正楷体_GBK" w:cs="Times New Roman" w:hAnsi="Times New Roman"/>
          <w:sz w:val="32"/>
          <w:szCs w:val="32"/>
        </w:rPr>
        <w:fldChar w:fldCharType="separate"/>
      </w:r>
      <w:bookmarkStart w:id="43" w:name="_Toc44272749"/>
      <w:r>
        <w:rPr>
          <w:rFonts w:ascii="Times New Roman" w:eastAsia="方正楷体_GBK" w:cs="Times New Roman" w:hAnsi="Times New Roman"/>
          <w:sz w:val="32"/>
          <w:szCs w:val="32"/>
        </w:rPr>
        <w:t>（二）社会效益</w:t>
      </w:r>
      <w:r>
        <w:rPr>
          <w:rFonts w:ascii="Times New Roman" w:eastAsia="方正楷体_GBK" w:cs="Times New Roman" w:hAnsi="Times New Roman"/>
          <w:sz w:val="32"/>
          <w:szCs w:val="32"/>
        </w:rPr>
        <w:fldChar w:fldCharType="end"/>
      </w:r>
      <w:bookmarkEnd w:id="43"/>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1.</w:t>
      </w:r>
      <w:r>
        <w:rPr>
          <w:rFonts w:ascii="Times New Roman" w:eastAsia="方正仿宋_GBK" w:cs="Times New Roman" w:hAnsi="Times New Roman"/>
          <w:b/>
          <w:bCs/>
          <w:sz w:val="32"/>
          <w:szCs w:val="32"/>
        </w:rPr>
        <w:t>美化城乡面貌，改善人居环境</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楷体_GBK" w:cs="Times New Roman" w:hAnsi="Times New Roman"/>
          <w:sz w:val="28"/>
          <w:szCs w:val="28"/>
        </w:rPr>
      </w:pPr>
      <w:r>
        <w:rPr>
          <w:rFonts w:ascii="Times New Roman" w:eastAsia="方正仿宋_GBK" w:cs="Times New Roman" w:hAnsi="Times New Roman"/>
          <w:sz w:val="32"/>
          <w:szCs w:val="32"/>
        </w:rPr>
        <w:t>通过</w:t>
      </w:r>
      <w:r>
        <w:rPr>
          <w:rFonts w:ascii="Times New Roman" w:eastAsia="方正仿宋_GBK" w:cs="Times New Roman" w:hAnsi="Times New Roman"/>
          <w:sz w:val="32"/>
          <w:szCs w:val="32"/>
          <w:lang w:eastAsia="zh-CN"/>
        </w:rPr>
        <w:t>“两岸青山•千里林带”</w:t>
      </w:r>
      <w:r>
        <w:rPr>
          <w:rFonts w:ascii="Times New Roman" w:eastAsia="方正仿宋_GBK" w:cs="Times New Roman" w:hAnsi="Times New Roman"/>
          <w:sz w:val="32"/>
          <w:szCs w:val="32"/>
        </w:rPr>
        <w:t>项目实施，形成以长江两岸1公里范围内森林组团和沿江生态廊道为主的森林网络系统，建设一批沿江生态景观示范林，特色经济林等，打造长江沿岸靓丽景观点、景观线，加快发展生态旅游、森林康养等绿色产业，美化城乡面</w:t>
      </w:r>
      <w:r>
        <w:rPr>
          <w:rFonts w:ascii="Times New Roman" w:eastAsia="方正楷体_GBK" w:cs="Times New Roman" w:hAnsi="Times New Roman"/>
          <w:sz w:val="28"/>
          <w:szCs w:val="28"/>
        </w:rPr>
        <w:t>貌的同时，改善人居环境。</w:t>
      </w:r>
    </w:p>
    <w:p>
      <w:pPr>
        <w:pStyle w:val="15"/>
        <w:keepNext w:val="0"/>
        <w:pageBreakBefore w:val="0"/>
        <w:widowControl w:val="0"/>
        <w:kinsoku/>
        <w:wordWrap/>
        <w:overflowPunct/>
        <w:topLinePunct w:val="0"/>
        <w:autoSpaceDE/>
        <w:autoSpaceDN/>
        <w:bidi w:val="0"/>
        <w:spacing w:line="600" w:lineRule="exact"/>
        <w:ind w:left="0" w:firstLineChars="200" w:firstLine="140"/>
        <w:rPr>
          <w:rFonts w:ascii="Times New Roman" w:cs="Times New Roman" w:hAnsi="Times New Roman"/>
          <w:sz w:val="7"/>
        </w:rPr>
      </w:pP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2.</w:t>
      </w:r>
      <w:r>
        <w:rPr>
          <w:rFonts w:ascii="Times New Roman" w:eastAsia="方正仿宋_GBK" w:cs="Times New Roman" w:hAnsi="Times New Roman"/>
          <w:b/>
          <w:bCs/>
          <w:sz w:val="32"/>
          <w:szCs w:val="32"/>
        </w:rPr>
        <w:t>提高公众意识，传播生态文明</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在项目实施中，加大公众对长江两岸生态环境绿化美化必要性、迫切性的宣传教育，加强公众对长江两岸生态屏障重要性的认知，唤起公众全民参与“两岸青山、千里林带”的意识与激情。紧紧围绕“绿水青山 就是金山银山”的发展理念，以江津区“两岸青山、千里林带”为重点， 开展了一系列内容丰富、形式多样的宣传教育和主题实践活动，传播生态文明理念，积极引导人们树立“人与自然和谐” 的意识，调动广大人民群众关注森林、支持林业建设的积极性和主动性，产生了广泛而深刻的社会影响，加快推进了规划区林业生态建设发展步伐。</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3.</w:t>
      </w:r>
      <w:r>
        <w:rPr>
          <w:rFonts w:ascii="Times New Roman" w:eastAsia="方正仿宋_GBK" w:cs="Times New Roman" w:hAnsi="Times New Roman"/>
          <w:b/>
          <w:bCs/>
          <w:sz w:val="32"/>
          <w:szCs w:val="32"/>
        </w:rPr>
        <w:t>优化产业结构，带动产业发展</w:t>
      </w:r>
    </w:p>
    <w:p>
      <w:pPr>
        <w:keepNext w:val="0"/>
        <w:pageBreakBefore w:val="0"/>
        <w:widowControl w:val="0"/>
        <w:kinsoku/>
        <w:wordWrap/>
        <w:overflowPunct/>
        <w:topLinePunct w:val="0"/>
        <w:autoSpaceDE/>
        <w:autoSpaceDN/>
        <w:bidi w:val="0"/>
        <w:spacing w:line="600" w:lineRule="exact"/>
        <w:ind w:left="0" w:firstLineChars="200" w:firstLine="640"/>
        <w:rPr>
          <w:rFonts w:ascii="Times New Roman" w:eastAsia="方正仿宋_GBK" w:cs="Times New Roman" w:hAnsi="Times New Roman"/>
          <w:sz w:val="32"/>
          <w:szCs w:val="32"/>
        </w:rPr>
      </w:pPr>
      <w:r>
        <w:rPr>
          <w:rFonts w:ascii="Times New Roman" w:eastAsia="方正仿宋_GBK" w:cs="Times New Roman" w:hAnsi="Times New Roman"/>
          <w:sz w:val="32"/>
          <w:szCs w:val="32"/>
        </w:rPr>
        <w:t>随着“两岸青山、千里林带”建设的深入，森林资源的增长和效益的发挥，农业种植结构调整，生态景观示范林，建成区、园区及码头绿化美化等成为加快城镇经济发展的新增长点；生态环境的改善和森林资源的增长，也促进了农副产品加工业及森林旅游业的兴起，将加快产业结构的调整和区域经济的发展，具有显著的社会效益。</w:t>
      </w:r>
    </w:p>
    <w:p>
      <w:pPr>
        <w:keepNext w:val="0"/>
        <w:pageBreakBefore w:val="0"/>
        <w:widowControl w:val="0"/>
        <w:kinsoku/>
        <w:wordWrap/>
        <w:overflowPunct/>
        <w:topLinePunct w:val="0"/>
        <w:autoSpaceDE/>
        <w:autoSpaceDN/>
        <w:bidi w:val="0"/>
        <w:spacing w:line="600" w:lineRule="exact"/>
        <w:ind w:left="0" w:firstLineChars="200" w:firstLine="640"/>
        <w:outlineLvl w:val="1"/>
        <w:rPr>
          <w:rFonts w:ascii="Times New Roman" w:eastAsia="方正楷体_GBK" w:cs="Times New Roman" w:hAnsi="Times New Roman"/>
          <w:sz w:val="32"/>
          <w:szCs w:val="32"/>
        </w:rPr>
      </w:pPr>
      <w:bookmarkStart w:id="44" w:name="_Toc44272750"/>
      <w:r>
        <w:rPr>
          <w:rFonts w:ascii="Times New Roman" w:eastAsia="方正楷体_GBK" w:cs="Times New Roman" w:hAnsi="Times New Roman"/>
          <w:sz w:val="32"/>
          <w:szCs w:val="32"/>
        </w:rPr>
        <w:t>（三）经济效益</w:t>
      </w:r>
      <w:bookmarkEnd w:id="44"/>
    </w:p>
    <w:p>
      <w:pPr>
        <w:pStyle w:val="21"/>
        <w:keepNext w:val="0"/>
        <w:pageBreakBefore w:val="0"/>
        <w:widowControl w:val="0"/>
        <w:tabs>
          <w:tab w:val="right" w:leader="dot" w:pos="10253"/>
        </w:tabs>
        <w:kinsoku/>
        <w:wordWrap/>
        <w:overflowPunct/>
        <w:topLinePunct w:val="0"/>
        <w:autoSpaceDE/>
        <w:autoSpaceDN/>
        <w:bidi w:val="0"/>
        <w:spacing w:line="600" w:lineRule="exact"/>
        <w:ind w:leftChars="0" w:left="0" w:firstLineChars="200" w:firstLine="640"/>
        <w:textAlignment w:val="baseline"/>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1.</w:t>
      </w:r>
      <w:r>
        <w:rPr>
          <w:rFonts w:ascii="Times New Roman" w:eastAsia="方正仿宋_GBK" w:cs="Times New Roman" w:hAnsi="Times New Roman"/>
          <w:b/>
          <w:bCs/>
          <w:sz w:val="32"/>
          <w:szCs w:val="32"/>
        </w:rPr>
        <w:t>促进林业产品生产</w:t>
      </w:r>
    </w:p>
    <w:p>
      <w:pPr>
        <w:pStyle w:val="21"/>
        <w:keepNext w:val="0"/>
        <w:pageBreakBefore w:val="0"/>
        <w:widowControl w:val="0"/>
        <w:tabs>
          <w:tab w:val="right" w:leader="dot" w:pos="10253"/>
        </w:tabs>
        <w:kinsoku/>
        <w:wordWrap/>
        <w:overflowPunct/>
        <w:topLinePunct w:val="0"/>
        <w:autoSpaceDE/>
        <w:autoSpaceDN/>
        <w:bidi w:val="0"/>
        <w:spacing w:line="600" w:lineRule="exact"/>
        <w:ind w:leftChars="0" w:left="0" w:firstLineChars="200" w:firstLine="640"/>
        <w:textAlignment w:val="baseline"/>
        <w:rPr>
          <w:rFonts w:ascii="Times New Roman" w:eastAsia="方正仿宋_GBK" w:cs="Times New Roman" w:hAnsi="Times New Roman"/>
          <w:sz w:val="32"/>
          <w:szCs w:val="32"/>
        </w:rPr>
      </w:pPr>
      <w:r>
        <w:rPr>
          <w:rFonts w:ascii="Times New Roman" w:eastAsia="方正仿宋_GBK" w:cs="Times New Roman" w:hAnsi="Times New Roman"/>
          <w:sz w:val="32"/>
          <w:szCs w:val="32"/>
        </w:rPr>
        <w:t>“两岸青山、千里林带”实施过程中，对花椒、笋竹、橄榄、荔枝、桂圆、柑橘、柠檬等经济林果进行品种改良，结构调整，抚育管护，挺高经济林果的产量和质量，提高其经济价值，促进经济林产品等深加工和高附加值产品等林业产品企业的发展，带动当地经济发展，增加居民收入。</w:t>
      </w:r>
    </w:p>
    <w:p>
      <w:pPr>
        <w:pStyle w:val="21"/>
        <w:keepNext w:val="0"/>
        <w:pageBreakBefore w:val="0"/>
        <w:widowControl w:val="0"/>
        <w:tabs>
          <w:tab w:val="right" w:leader="dot" w:pos="10253"/>
        </w:tabs>
        <w:kinsoku/>
        <w:wordWrap/>
        <w:overflowPunct/>
        <w:topLinePunct w:val="0"/>
        <w:autoSpaceDE/>
        <w:autoSpaceDN/>
        <w:bidi w:val="0"/>
        <w:spacing w:line="600" w:lineRule="exact"/>
        <w:ind w:leftChars="0" w:left="0" w:firstLineChars="200" w:firstLine="640"/>
        <w:textAlignment w:val="baseline"/>
        <w:rPr>
          <w:rFonts w:ascii="Times New Roman" w:eastAsia="方正仿宋_GBK" w:cs="Times New Roman" w:hAnsi="Times New Roman"/>
          <w:b/>
          <w:bCs/>
          <w:sz w:val="32"/>
          <w:szCs w:val="32"/>
        </w:rPr>
      </w:pPr>
      <w:r>
        <w:rPr>
          <w:rFonts w:ascii="Times New Roman" w:eastAsia="方正仿宋_GBK" w:cs="Times New Roman" w:hAnsi="Times New Roman"/>
          <w:b/>
          <w:bCs/>
          <w:sz w:val="32"/>
          <w:szCs w:val="32"/>
          <w:lang w:val="en-US" w:eastAsia="zh-CN"/>
        </w:rPr>
        <w:t>2.</w:t>
      </w:r>
      <w:r>
        <w:rPr>
          <w:rFonts w:ascii="Times New Roman" w:eastAsia="方正仿宋_GBK" w:cs="Times New Roman" w:hAnsi="Times New Roman"/>
          <w:b/>
          <w:bCs/>
          <w:sz w:val="32"/>
          <w:szCs w:val="32"/>
        </w:rPr>
        <w:t>带动全区旅游产业发展</w:t>
      </w:r>
    </w:p>
    <w:p>
      <w:pPr>
        <w:pStyle w:val="21"/>
        <w:keepNext w:val="0"/>
        <w:pageBreakBefore w:val="0"/>
        <w:widowControl w:val="0"/>
        <w:tabs>
          <w:tab w:val="right" w:leader="dot" w:pos="10253"/>
        </w:tabs>
        <w:kinsoku/>
        <w:wordWrap/>
        <w:overflowPunct/>
        <w:topLinePunct w:val="0"/>
        <w:autoSpaceDE/>
        <w:autoSpaceDN/>
        <w:bidi w:val="0"/>
        <w:spacing w:line="600" w:lineRule="exact"/>
        <w:ind w:leftChars="0" w:left="0" w:firstLineChars="200" w:firstLine="640"/>
        <w:textAlignment w:val="baseline"/>
        <w:rPr>
          <w:rFonts w:ascii="Times New Roman" w:eastAsia="方正仿宋_GBK" w:cs="Times New Roman" w:hAnsi="Times New Roman"/>
          <w:sz w:val="32"/>
          <w:szCs w:val="32"/>
        </w:rPr>
        <w:sectPr>
          <w:footerReference w:type="default" r:id="rId3"/>
          <w:pgSz w:w="11910" w:h="16840"/>
          <w:pgMar w:top="1960" w:right="1520" w:bottom="1200" w:left="1680" w:header="1620" w:footer="1015" w:gutter="0"/>
          <w:pgNumType w:start="1"/>
          <w:docGrid w:linePitch="312" w:charSpace="0"/>
        </w:sectPr>
      </w:pPr>
      <w:r>
        <w:rPr>
          <w:rFonts w:ascii="Times New Roman" w:eastAsia="方正仿宋_GBK" w:cs="Times New Roman" w:hAnsi="Times New Roman"/>
          <w:sz w:val="32"/>
          <w:szCs w:val="32"/>
        </w:rPr>
        <w:t xml:space="preserve">“两岸青山、千里林带”在沿江重要生态节点打造生态景观示范，城市绿化美化等森林质量提升项目，森林质量提高必将促进森林文化、生态旅游业的全面、全方位发展，从而带动相关多个经济部门和行业的发展，如交通运输、建筑、工商、餐饮娱乐以及文化教育、财政金融、房地产等行业。规划期内，涉林产业牵头、周边产业相继繁荣，城市整体环境改善、吸引更多的人才和投资，增加地方税收，带动和促进地方经济的全面可持续发展。规划期内产业发展价值新增 0.1 亿，到规划期末产业发展价值为0.5 亿。 </w:t>
      </w:r>
    </w:p>
    <w:p>
      <w:pPr>
        <w:pStyle w:val="2"/>
        <w:keepNext w:val="0"/>
        <w:keepLines/>
        <w:pageBreakBefore w:val="0"/>
        <w:widowControl w:val="0"/>
        <w:kinsoku/>
        <w:wordWrap/>
        <w:overflowPunct/>
        <w:topLinePunct w:val="0"/>
        <w:autoSpaceDE/>
        <w:autoSpaceDN/>
        <w:bidi w:val="0"/>
        <w:adjustRightInd w:val="0"/>
        <w:snapToGrid w:val="0"/>
        <w:spacing w:before="0" w:after="0" w:line="600" w:lineRule="exact"/>
        <w:ind w:firstLineChars="200" w:firstLine="640"/>
        <w:rPr>
          <w:rFonts w:ascii="Times New Roman" w:eastAsia="方正黑体_GBK" w:cs="Times New Roman" w:hAnsi="Times New Roman"/>
          <w:b w:val="0"/>
          <w:bCs w:val="0"/>
          <w:sz w:val="32"/>
        </w:rPr>
      </w:pPr>
      <w:r>
        <w:rPr>
          <w:rFonts w:ascii="Times New Roman" w:eastAsia="方正黑体_GBK" w:cs="Times New Roman" w:hAnsi="Times New Roman"/>
          <w:b w:val="0"/>
          <w:bCs w:val="0"/>
          <w:sz w:val="32"/>
        </w:rPr>
        <w:fldChar w:fldCharType="begin"/>
      </w:r>
      <w:r>
        <w:instrText>HYPERLINK  \l "_Toc31612"</w:instrText>
      </w:r>
      <w:r>
        <w:rPr>
          <w:rFonts w:ascii="Times New Roman" w:eastAsia="方正黑体_GBK" w:cs="Times New Roman" w:hAnsi="Times New Roman"/>
          <w:b w:val="0"/>
          <w:bCs w:val="0"/>
          <w:sz w:val="32"/>
        </w:rPr>
        <w:fldChar w:fldCharType="separate"/>
      </w:r>
      <w:bookmarkStart w:id="45" w:name="_Toc44272751"/>
      <w:r>
        <w:rPr>
          <w:rFonts w:ascii="Times New Roman" w:eastAsia="方正黑体_GBK" w:cs="Times New Roman" w:hAnsi="Times New Roman"/>
          <w:b w:val="0"/>
          <w:bCs w:val="0"/>
          <w:sz w:val="32"/>
        </w:rPr>
        <w:t>七、保障措施</w:t>
      </w:r>
      <w:r>
        <w:rPr>
          <w:rFonts w:ascii="Times New Roman" w:eastAsia="方正黑体_GBK" w:cs="Times New Roman" w:hAnsi="Times New Roman"/>
          <w:b w:val="0"/>
          <w:bCs w:val="0"/>
          <w:sz w:val="32"/>
        </w:rPr>
        <w:fldChar w:fldCharType="end"/>
      </w:r>
      <w:bookmarkEnd w:id="45"/>
    </w:p>
    <w:p>
      <w:pPr>
        <w:keepNext w:val="0"/>
        <w:pageBreakBefore w:val="0"/>
        <w:widowControl w:val="0"/>
        <w:kinsoku/>
        <w:wordWrap/>
        <w:overflowPunct/>
        <w:topLinePunct w:val="0"/>
        <w:autoSpaceDE/>
        <w:autoSpaceDN/>
        <w:bidi w:val="0"/>
        <w:spacing w:line="600" w:lineRule="exact"/>
        <w:ind w:firstLineChars="200" w:firstLine="640"/>
        <w:outlineLvl w:val="1"/>
        <w:rPr>
          <w:rFonts w:ascii="Times New Roman" w:eastAsia="方正楷体_GBK" w:cs="Times New Roman" w:hAnsi="Times New Roman"/>
          <w:sz w:val="32"/>
          <w:szCs w:val="32"/>
        </w:rPr>
      </w:pPr>
      <w:bookmarkStart w:id="46" w:name="_Toc44272752"/>
      <w:r>
        <w:rPr>
          <w:rFonts w:ascii="Times New Roman" w:eastAsia="方正楷体_GBK" w:cs="Times New Roman" w:hAnsi="Times New Roman"/>
          <w:sz w:val="32"/>
          <w:szCs w:val="32"/>
        </w:rPr>
        <w:t>（一）组织领导</w:t>
      </w:r>
      <w:bookmarkEnd w:id="46"/>
    </w:p>
    <w:p>
      <w:pPr>
        <w:pStyle w:val="22"/>
        <w:keepNext w:val="0"/>
        <w:pageBreakBefore w:val="0"/>
        <w:widowControl/>
        <w:shd w:val="clear" w:color="auto" w:fill="FFFFFF"/>
        <w:kinsoku/>
        <w:wordWrap/>
        <w:overflowPunct/>
        <w:topLinePunct w:val="0"/>
        <w:autoSpaceDE/>
        <w:autoSpaceDN/>
        <w:bidi w:val="0"/>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把“两岸青山·千里林带”建设纳入江津区推动长江经济带绿色发展工作重点内容，全面推行“林长制”“河长制”，落实江津区实施“两岸青山·千里林带”建设的主体责任。严格年度目标和任期目标管理，完善细化配套政策措施，实行目标、任务、资金、责任、考核“五到位”，确保规划建设任务全面完成。</w:t>
      </w:r>
    </w:p>
    <w:p>
      <w:pPr>
        <w:keepNext w:val="0"/>
        <w:pageBreakBefore w:val="0"/>
        <w:widowControl w:val="0"/>
        <w:kinsoku/>
        <w:wordWrap/>
        <w:overflowPunct/>
        <w:topLinePunct w:val="0"/>
        <w:autoSpaceDE/>
        <w:autoSpaceDN/>
        <w:bidi w:val="0"/>
        <w:spacing w:line="600" w:lineRule="exact"/>
        <w:ind w:firstLineChars="200" w:firstLine="640"/>
        <w:outlineLvl w:val="1"/>
        <w:rPr>
          <w:rFonts w:ascii="Times New Roman" w:eastAsia="方正楷体_GBK" w:cs="Times New Roman" w:hAnsi="Times New Roman"/>
          <w:sz w:val="32"/>
          <w:szCs w:val="32"/>
        </w:rPr>
      </w:pPr>
      <w:bookmarkStart w:id="47" w:name="_Toc44272753"/>
      <w:r>
        <w:rPr>
          <w:rFonts w:ascii="Times New Roman" w:eastAsia="方正楷体_GBK" w:cs="Times New Roman" w:hAnsi="Times New Roman"/>
          <w:sz w:val="32"/>
          <w:szCs w:val="32"/>
        </w:rPr>
        <w:t>（二）空间落地</w:t>
      </w:r>
      <w:bookmarkEnd w:id="47"/>
    </w:p>
    <w:p>
      <w:pPr>
        <w:pStyle w:val="20"/>
        <w:keepNext w:val="0"/>
        <w:pageBreakBefore w:val="0"/>
        <w:widowControl w:val="0"/>
        <w:tabs>
          <w:tab w:val="right" w:leader="dot" w:pos="10253"/>
        </w:tabs>
        <w:kinsoku/>
        <w:wordWrap/>
        <w:overflowPunct/>
        <w:topLinePunct w:val="0"/>
        <w:autoSpaceDE/>
        <w:autoSpaceDN/>
        <w:bidi w:val="0"/>
        <w:spacing w:line="600" w:lineRule="exact"/>
        <w:ind w:firstLineChars="200" w:firstLine="640"/>
        <w:textAlignment w:val="baseline"/>
        <w:rPr>
          <w:rFonts w:ascii="Times New Roman" w:eastAsia="方正仿宋_GBK" w:cs="Times New Roman" w:hAnsi="Times New Roman"/>
          <w:sz w:val="32"/>
          <w:szCs w:val="32"/>
        </w:rPr>
      </w:pPr>
      <w:r>
        <w:rPr>
          <w:rFonts w:ascii="Times New Roman" w:eastAsia="方正仿宋_GBK" w:cs="Times New Roman" w:hAnsi="Times New Roman"/>
          <w:color w:val="000000"/>
          <w:sz w:val="32"/>
          <w:szCs w:val="32"/>
        </w:rPr>
        <w:t>积极争取国家支持，优化江津区长江两岸基本农田布局，为调整农业种植结构、增加植树造林空间创造条件。充分利用各类园区绿化用地和农村“四旁”土地，结合农业产业结构调整适地适树种植木本粮油和特色经果林，切实破解生态修复任务重与绿色生态廊道空间不足的用地矛盾。</w:t>
      </w:r>
    </w:p>
    <w:p>
      <w:pPr>
        <w:keepNext w:val="0"/>
        <w:pageBreakBefore w:val="0"/>
        <w:widowControl w:val="0"/>
        <w:kinsoku/>
        <w:wordWrap/>
        <w:overflowPunct/>
        <w:topLinePunct w:val="0"/>
        <w:autoSpaceDE/>
        <w:autoSpaceDN/>
        <w:bidi w:val="0"/>
        <w:spacing w:line="600" w:lineRule="exact"/>
        <w:ind w:firstLineChars="200" w:firstLine="640"/>
        <w:outlineLvl w:val="1"/>
        <w:rPr>
          <w:rFonts w:ascii="Times New Roman" w:eastAsia="方正楷体_GBK" w:cs="Times New Roman" w:hAnsi="Times New Roman"/>
          <w:sz w:val="32"/>
          <w:szCs w:val="32"/>
        </w:rPr>
      </w:pPr>
      <w:bookmarkStart w:id="48" w:name="_Toc44272754"/>
      <w:r>
        <w:rPr>
          <w:rFonts w:ascii="Times New Roman" w:eastAsia="方正楷体_GBK" w:cs="Times New Roman" w:hAnsi="Times New Roman"/>
          <w:sz w:val="32"/>
          <w:szCs w:val="32"/>
        </w:rPr>
        <w:t>（三）资金保障</w:t>
      </w:r>
      <w:bookmarkEnd w:id="48"/>
    </w:p>
    <w:p>
      <w:pPr>
        <w:pStyle w:val="22"/>
        <w:keepNext w:val="0"/>
        <w:pageBreakBefore w:val="0"/>
        <w:widowControl/>
        <w:shd w:val="clear" w:color="auto" w:fill="FFFFFF"/>
        <w:kinsoku/>
        <w:wordWrap/>
        <w:overflowPunct/>
        <w:topLinePunct w:val="0"/>
        <w:autoSpaceDE/>
        <w:autoSpaceDN/>
        <w:bidi w:val="0"/>
        <w:spacing w:before="0" w:beforeAutospacing="0" w:after="0" w:afterAutospacing="0" w:line="600" w:lineRule="exact"/>
        <w:ind w:firstLineChars="200" w:firstLine="640"/>
        <w:jc w:val="both"/>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积极争取国家三峡后续、退耕还林、天然林保护、长江防护林等重点项目支持，落实财政预算资金用于“两岸青山·千里林带”规划建设，统筹使用生态转移支付、森林植被恢复费返还等资金，完善森林生态效益补偿制度和流域横向生态保护补偿机制，探索多元投入和市场运作机制，鼓励社会资本参与建设，确保“两岸青山·千里林带”建设资金足额到位。</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outlineLvl w:val="1"/>
        <w:rPr>
          <w:rFonts w:ascii="Times New Roman" w:eastAsia="方正楷体_GBK" w:cs="Times New Roman" w:hAnsi="Times New Roman"/>
          <w:sz w:val="32"/>
          <w:szCs w:val="32"/>
        </w:rPr>
      </w:pPr>
      <w:bookmarkStart w:id="49" w:name="_Toc44272755"/>
      <w:r>
        <w:rPr>
          <w:rFonts w:ascii="Times New Roman" w:eastAsia="方正楷体_GBK" w:cs="Times New Roman" w:hAnsi="Times New Roman"/>
          <w:sz w:val="32"/>
          <w:szCs w:val="32"/>
        </w:rPr>
        <w:t>（四）机制创新</w:t>
      </w:r>
      <w:bookmarkEnd w:id="49"/>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加强和改进国土绿化工作考核，建立完善工作督查、情况通报和考核结果运用机制。各级领导干部带头参加全民义务植树，充分利用传统媒体和新型媒介加强新闻宣传及舆论引导，深入宣传“两岸青山·千里林带”建设重大意义、政策措施、先进典型，努力营造全党动手、全民动员、全社会参与的强大声势和良好氛围。</w:t>
      </w:r>
    </w:p>
    <w:p>
      <w:pPr>
        <w:keepNext w:val="0"/>
        <w:keepLines w:val="0"/>
        <w:pageBreakBefore w:val="0"/>
        <w:widowControl w:val="0"/>
        <w:kinsoku/>
        <w:wordWrap/>
        <w:overflowPunct/>
        <w:topLinePunct w:val="0"/>
        <w:autoSpaceDE/>
        <w:autoSpaceDN/>
        <w:bidi w:val="0"/>
        <w:adjustRightInd/>
        <w:snapToGrid/>
        <w:spacing w:line="600" w:lineRule="exact"/>
        <w:ind w:firstLineChars="200" w:firstLine="640"/>
        <w:textAlignment w:val="auto"/>
        <w:outlineLvl w:val="1"/>
        <w:rPr>
          <w:rFonts w:ascii="Times New Roman" w:eastAsia="方正楷体_GBK" w:cs="Times New Roman" w:hAnsi="Times New Roman"/>
          <w:sz w:val="32"/>
          <w:szCs w:val="32"/>
        </w:rPr>
      </w:pPr>
      <w:bookmarkStart w:id="50" w:name="_Toc44272756"/>
      <w:r>
        <w:rPr>
          <w:rFonts w:ascii="Times New Roman" w:eastAsia="方正楷体_GBK" w:cs="Times New Roman" w:hAnsi="Times New Roman"/>
          <w:sz w:val="32"/>
          <w:szCs w:val="32"/>
        </w:rPr>
        <w:t>（五）科技支撑</w:t>
      </w:r>
      <w:bookmarkEnd w:id="50"/>
    </w:p>
    <w:p>
      <w:pPr>
        <w:pStyle w:val="22"/>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600" w:lineRule="exact"/>
        <w:ind w:firstLineChars="200" w:firstLine="640"/>
        <w:jc w:val="both"/>
        <w:textAlignment w:val="auto"/>
        <w:rPr>
          <w:rFonts w:ascii="Times New Roman" w:eastAsia="方正仿宋_GBK" w:cs="Times New Roman" w:hAnsi="Times New Roman"/>
          <w:color w:val="000000"/>
          <w:sz w:val="32"/>
          <w:szCs w:val="32"/>
        </w:rPr>
      </w:pPr>
      <w:r>
        <w:rPr>
          <w:rFonts w:ascii="Times New Roman" w:eastAsia="方正仿宋_GBK" w:cs="Times New Roman" w:hAnsi="Times New Roman"/>
          <w:color w:val="000000"/>
          <w:sz w:val="32"/>
          <w:szCs w:val="32"/>
        </w:rPr>
        <w:t>开展造林栽培、复合经营、森林质量精准提升等技术集成研发，筛选一批适宜不同区域的营造林技术模式进行示范推广。加大森林火灾、松材线虫病等有害生物灾害防控、林特资源开发加工利用、森林旅游康养等实用技术运用。加强林木良种选育和保障性苗圃建设，做好种苗生产和调剂，严格使用良种壮苗，实行种苗管理“一签两证”制度。依托大数据、云计算和“互联网+”“人工智能+”等构建远程技术服务平台提供技术支撑，确保造林绿化质量和效益。</w:t>
      </w:r>
    </w:p>
    <w:sectPr>
      <w:headerReference w:type="default" r:id="rId25"/>
      <w:pgSz w:w="11906" w:h="16838"/>
      <w:pgMar w:top="1440" w:right="1800" w:bottom="1440" w:left="1800" w:header="851" w:footer="992" w:gutter="0"/>
      <w:docGrid w:type="lines" w:linePitch="312" w:charSpace="0"/>
    </w:sectPr>
  </w:body>
</w:document>
</file>

<file path=word/fontTable.xml><?xml version="1.0" encoding="utf-8"?>
<w:fonts xmlns:w="http://schemas.openxmlformats.org/wordprocessingml/2006/main" xmlns:r="http://schemas.openxmlformats.org/officeDocument/2006/relationships">
  <w:font w:name="Times New Roman">
    <w:panose1 w:val="02020603050405020304"/>
    <w:charset w:val="00"/>
    <w:family w:val="roman"/>
    <w:pitch w:val="variable"/>
    <w:sig w:usb0="20007A87" w:usb1="80000000" w:usb2="00000008" w:usb3="00000000" w:csb0="000001FF" w:csb1="00000000"/>
  </w:font>
  <w:font w:name="方正小标宋_GBK">
    <w:panose1 w:val="03000509000000000000"/>
    <w:charset w:val="86"/>
    <w:family w:val="script"/>
    <w:pitch w:val="variable"/>
    <w:sig w:usb0="00000001" w:usb1="080E0000" w:usb2="00000000" w:usb3="00000000" w:csb0="00040000" w:csb1="00000000"/>
  </w:font>
  <w:font w:name="方正楷体_GBK">
    <w:panose1 w:val="03000509000000000000"/>
    <w:charset w:val="86"/>
    <w:family w:val="script"/>
    <w:pitch w:val="variable"/>
    <w:sig w:usb0="00000001" w:usb1="080E0000" w:usb2="00000000" w:usb3="00000000" w:csb0="00040000" w:csb1="00000000"/>
  </w:font>
  <w:font w:name="华文行楷">
    <w:altName w:val="微软雅黑"/>
    <w:panose1 w:val="02010800040101010101"/>
    <w:charset w:val="86"/>
    <w:family w:val="auto"/>
    <w:pitch w:val="variable"/>
    <w:sig w:usb0="00000001" w:usb1="080F0000" w:usb2="00000000" w:usb3="00000000" w:csb0="00040000" w:csb1="00000000"/>
  </w:font>
  <w:font w:name="方正仿宋_GBK">
    <w:panose1 w:val="03000509000000000000"/>
    <w:charset w:val="86"/>
    <w:family w:val="script"/>
    <w:pitch w:val="variable"/>
    <w:sig w:usb0="00000001" w:usb1="080E0000" w:usb2="00000000" w:usb3="00000000" w:csb0="00040000" w:csb1="00000000"/>
  </w:font>
  <w:font w:name="华文楷体">
    <w:altName w:val="微软雅黑"/>
    <w:panose1 w:val="02010600040101010101"/>
    <w:charset w:val="86"/>
    <w:family w:val="auto"/>
    <w:pitch w:val="variable"/>
    <w:sig w:usb0="00000287" w:usb1="080F0000" w:usb2="00000000" w:usb3="00000000" w:csb0="0004009F" w:csb1="DFD70000"/>
  </w:font>
  <w:font w:name="方正黑体_GBK">
    <w:panose1 w:val="03000509000000000000"/>
    <w:charset w:val="86"/>
    <w:family w:val="script"/>
    <w:pitch w:val="variable"/>
    <w:sig w:usb0="00000001" w:usb1="080E0000" w:usb2="00000000" w:usb3="00000000" w:csb0="00040000" w:csb1="00000000"/>
  </w:font>
  <w:font w:name="仿宋">
    <w:panose1 w:val="02010609060101010101"/>
    <w:charset w:val="86"/>
    <w:family w:val="modern"/>
    <w:pitch w:val="variable"/>
    <w:sig w:usb0="800002BF" w:usb1="38CF7CFA" w:usb2="00000016" w:usb3="00000000" w:csb0="00040001" w:csb1="00000000"/>
  </w:font>
  <w:font w:name="宋体">
    <w:panose1 w:val="02010600030101010101"/>
    <w:charset w:val="86"/>
    <w:family w:val="auto"/>
    <w:pitch w:val="variable"/>
    <w:sig w:usb0="00000003" w:usb1="288F0000" w:usb2="00000006" w:usb3="00000000" w:csb0="00040001" w:csb1="00000000"/>
  </w:font>
  <w:font w:name="楷体">
    <w:panose1 w:val="02010609060101010101"/>
    <w:charset w:val="86"/>
    <w:family w:val="modern"/>
    <w:pitch w:val="variable"/>
    <w:sig w:usb0="800002BF" w:usb1="38CF7CFA" w:usb2="00000016" w:usb3="00000000" w:csb0="00040001" w:csb1="00000000"/>
  </w:font>
  <w:font w:name="Calibri">
    <w:panose1 w:val="020F0502020204030204"/>
    <w:charset w:val="00"/>
    <w:family w:val="swiss"/>
    <w:pitch w:val="variable"/>
    <w:sig w:usb0="E00002FF" w:usb1="4000ACFF" w:usb2="00000001" w:usb3="00000000" w:csb0="2000019F" w:csb1="00000000"/>
  </w:font>
  <w:font w:name="Arial">
    <w:panose1 w:val="020B0604020202020204"/>
    <w:charset w:val="01"/>
    <w:family w:val="swiss"/>
    <w:pitch w:val="variable"/>
    <w:sig w:usb0="E0002AFF" w:usb1="C0007843" w:usb2="00000009" w:usb3="00000000" w:csb0="400001FF" w:csb1="FFFF0000"/>
  </w:font>
  <w:font w:name="Cambria">
    <w:panose1 w:val="02040503050406030204"/>
    <w:charset w:val="00"/>
    <w:family w:val="roman"/>
    <w:pitch w:val="variable"/>
    <w:sig w:usb0="E00002FF" w:usb1="400004FF" w:usb2="00000000" w:usb3="00000000" w:csb0="2000019F" w:csb1="00000000"/>
  </w:font>
  <w:font w:name="Arial Unicode MS">
    <w:altName w:val="微软雅黑"/>
    <w:panose1 w:val="020B0604020202020204"/>
    <w:charset w:val="86"/>
    <w:family w:val="swiss"/>
    <w:pitch w:val="variable"/>
    <w:sig w:usb0="FFFFFFFF" w:usb1="E9FFFFFF" w:usb2="0000003F" w:usb3="00000000" w:csb0="603F01FF" w:csb1="FFFF0000"/>
  </w:font>
  <w:font w:name="等线">
    <w:altName w:val="SimSun-ExtB"/>
    <w:panose1 w:val="00000000000000000000"/>
    <w:charset w:val="86"/>
    <w:family w:val="auto"/>
    <w:pitch w:val="variable"/>
    <w:sig w:usb0="00000000" w:usb1="00000000" w:usb2="00000016" w:usb3="00000000" w:csb0="0004000F" w:csb1="00000000"/>
  </w:font>
</w:fonts>
</file>

<file path=word/footer1.xml><?xml version="1.0" encoding="utf-8"?>
<w:ftr xmlns:w="http://schemas.openxmlformats.org/wordprocessingml/2006/main" xmlns:o="urn:schemas-microsoft-com:office:office" xmlns:r="http://schemas.openxmlformats.org/officeDocument/2006/relationships" xmlns:m="http://schemas.openxmlformats.org/officeDocument/2006/math" xmlns:v="urn:schemas-microsoft-com:vml" xmlns:a="http://schemas.openxmlformats.org/drawingml/2006/main" xmlns:wps="http://schemas.microsoft.com/office/word/2010/wordprocessingShape" xmlns:wp="http://schemas.openxmlformats.org/drawingml/2006/wordprocessingDrawing" xmlns:pic="http://schemas.openxmlformats.org/drawingml/2006/picture" xmlns:mc="http://schemas.openxmlformats.org/markup-compatibility/2006" xmlns:wpg="http://schemas.microsoft.com/office/word/2010/wordprocessingGroup" xmlns:wpc="http://schemas.microsoft.com/office/word/2010/wordprocessingCanvas" xmlns:w10="urn:schemas-microsoft-com:office:word" xmlns:w14="http://schemas.microsoft.com/office/word/2010/wordml">
  <w:p>
    <w:pPr>
      <w:pStyle w:val="15"/>
      <w:spacing w:line="14" w:lineRule="auto"/>
      <w:ind w:left="0"/>
      <w:rPr>
        <w:sz w:val="20"/>
      </w:rPr>
    </w:pPr>
  </w:p>
</w:ftr>
</file>

<file path=word/footer2.xml><?xml version="1.0" encoding="utf-8"?>
<w:ftr xmlns:w="http://schemas.openxmlformats.org/wordprocessingml/2006/main" xmlns:o="urn:schemas-microsoft-com:office:office" xmlns:r="http://schemas.openxmlformats.org/officeDocument/2006/relationships" xmlns:m="http://schemas.openxmlformats.org/officeDocument/2006/math" xmlns:v="urn:schemas-microsoft-com:vml" xmlns:a="http://schemas.openxmlformats.org/drawingml/2006/main" xmlns:wps="http://schemas.microsoft.com/office/word/2010/wordprocessingShape" xmlns:wp="http://schemas.openxmlformats.org/drawingml/2006/wordprocessingDrawing" xmlns:pic="http://schemas.openxmlformats.org/drawingml/2006/picture" xmlns:mc="http://schemas.openxmlformats.org/markup-compatibility/2006" xmlns:wpg="http://schemas.microsoft.com/office/word/2010/wordprocessingGroup" xmlns:wpc="http://schemas.microsoft.com/office/word/2010/wordprocessingCanvas" xmlns:w10="urn:schemas-microsoft-com:office:word" xmlns:w14="http://schemas.microsoft.com/office/word/2010/wordml">
  <w:p>
    <w:pPr>
      <w:pStyle w:val="15"/>
      <w:spacing w:line="14" w:lineRule="auto"/>
      <w:ind w:left="0"/>
      <w:rPr>
        <w:sz w:val="20"/>
      </w:rPr>
    </w:pPr>
    <w:r>
      <mc:AlternateContent>
        <mc:Choice Requires="wps">
          <w:drawing>
            <wp:anchor distT="0" distB="0" distL="114298" distR="114298" simplePos="0" relativeHeight="2" behindDoc="1" locked="0" layoutInCell="1" hidden="0" allowOverlap="1">
              <wp:simplePos x="0" y="0"/>
              <wp:positionH relativeFrom="page">
                <wp:posOffset>3500119</wp:posOffset>
              </wp:positionH>
              <wp:positionV relativeFrom="page">
                <wp:posOffset>9907905</wp:posOffset>
              </wp:positionV>
              <wp:extent cx="560070" cy="203834"/>
              <wp:effectExtent l="0" t="0" r="0" b="0"/>
              <wp:wrapNone/>
              <wp:docPr id="1" name="文本框 1"/>
              <wp:cNvGraphicFramePr>
                <a:graphicFrameLocks noChangeAspect="0"/>
              </wp:cNvGraphicFramePr>
              <a:graphic>
                <a:graphicData uri="http://schemas.microsoft.com/office/word/2010/wordprocessingShape">
                  <wps:wsp>
                    <wps:cNvSpPr/>
                    <wps:spPr>
                      <a:xfrm rot="0">
                        <a:off x="0" y="0"/>
                        <a:ext cx="560070" cy="203834"/>
                      </a:xfrm>
                      <a:prstGeom prst="rect"/>
                      <a:noFill/>
                      <a:ln w="9525" cmpd="sng" cap="flat">
                        <a:noFill/>
                        <a:prstDash val="solid"/>
                        <a:round/>
                      </a:ln>
                    </wps:spPr>
                    <wps:txbx id="2">
                      <w:txbxContent>
                        <w:p>
                          <w:pPr>
                            <w:spacing w:line="321" w:lineRule="exact"/>
                            <w:ind w:left="20"/>
                            <w:jc w:val="left"/>
                            <w:rPr>
                              <w:rFonts w:ascii="宋体"/>
                              <w:sz w:val="28"/>
                            </w:rPr>
                          </w:pPr>
                          <w:r>
                            <w:rPr>
                              <w:rFonts w:ascii="宋体"/>
                              <w:sz w:val="28"/>
                            </w:rPr>
                            <w:t xml:space="preserve">- </w:t>
                          </w:r>
                          <w:r>
                            <w:rPr>
                              <w:rFonts w:ascii="宋体"/>
                              <w:sz w:val="28"/>
                            </w:rPr>
                            <w:fldChar w:fldCharType="begin"/>
                          </w:r>
                          <w:r>
                            <w:rPr>
                              <w:rFonts w:ascii="宋体"/>
                              <w:sz w:val="28"/>
                            </w:rPr>
                            <w:instrText xml:space="preserve"> PAGE </w:instrText>
                          </w:r>
                          <w:r>
                            <w:fldChar w:fldCharType="separate"/>
                          </w:r>
                          <w:r>
                            <w:rPr>
                              <w:rFonts w:ascii="宋体"/>
                              <w:sz w:val="28"/>
                            </w:rPr>
                            <w:t>1</w:t>
                          </w:r>
                          <w:r>
                            <w:fldChar w:fldCharType="end"/>
                          </w:r>
                          <w:r>
                            <w:rPr>
                              <w:rFonts w:ascii="宋体"/>
                              <w:sz w:val="28"/>
                            </w:rPr>
                            <w:t xml:space="preserve"> -</w:t>
                          </w:r>
                        </w:p>
                      </w:txbxContent>
                    </wps:txbx>
                    <wps:bodyPr vert="horz" wrap="square" lIns="0" tIns="0" rIns="0" bIns="0" anchor="t" anchorCtr="0" upright="1">
                      <a:noAutofit/>
                    </wps:bodyPr>
                  </wps:wsp>
                </a:graphicData>
              </a:graphic>
            </wp:anchor>
          </w:drawing>
        </mc:Choice>
        <mc:Fallback>
          <w:pict>
            <v:shape type="#_x0000_t202" id="文本框 3" o:spid="_x0000_s3" filled="f" stroked="f" style="position:absolute;margin-left:275.6pt;margin-top:780.14996pt;width:44.100006pt;height:16.049957pt;z-index:-21;mso-position-horizontal:absolute;mso-position-horizontal-relative:page;mso-position-vertical:absolute;mso-position-vertical-relative:page;mso-wrap-distance-left:8.999863pt;mso-wrap-distance-right:8.999863pt;mso-wrap-style:square;">
              <v:stroke color="#000000"/>
              <v:textbox id="864" inset="0mm,0mm,0mm,0mm" o:insetmode="custom" style="layout-flow:horizontal;v-text-anchor:top;">
                <w:txbxContent>
                  <w:p>
                    <w:pPr>
                      <w:spacing w:line="321" w:lineRule="exact"/>
                      <w:ind w:left="20"/>
                      <w:jc w:val="left"/>
                      <w:rPr>
                        <w:rFonts w:ascii="宋体"/>
                        <w:sz w:val="28"/>
                      </w:rPr>
                    </w:pPr>
                    <w:r>
                      <w:rPr>
                        <w:rFonts w:ascii="宋体"/>
                        <w:sz w:val="28"/>
                      </w:rPr>
                      <w:t xml:space="preserve">- </w:t>
                    </w:r>
                    <w:r>
                      <w:rPr>
                        <w:rFonts w:ascii="宋体"/>
                        <w:sz w:val="28"/>
                      </w:rPr>
                      <w:fldChar w:fldCharType="begin"/>
                    </w:r>
                    <w:r>
                      <w:rPr>
                        <w:rFonts w:ascii="宋体"/>
                        <w:sz w:val="28"/>
                      </w:rPr>
                      <w:instrText xml:space="preserve"> PAGE </w:instrText>
                    </w:r>
                    <w:r>
                      <w:fldChar w:fldCharType="separate"/>
                    </w:r>
                    <w:r>
                      <w:rPr>
                        <w:rFonts w:ascii="宋体"/>
                        <w:sz w:val="28"/>
                      </w:rPr>
                      <w:t>1</w:t>
                    </w:r>
                    <w:r>
                      <w:fldChar w:fldCharType="end"/>
                    </w:r>
                    <w:r>
                      <w:rPr>
                        <w:rFonts w:ascii="宋体"/>
                        <w:sz w:val="28"/>
                      </w:rPr>
                      <w:t xml:space="preserve"> -</w:t>
                    </w:r>
                  </w:p>
                </w:txbxContent>
              </v:textbox>
            </v:shape>
          </w:pict>
        </mc:Fallback>
      </mc:AlternateContent>
    </w:r>
  </w:p>
</w:ftr>
</file>

<file path=word/header1.xml><?xml version="1.0" encoding="utf-8"?>
<w:hdr xmlns:w="http://schemas.openxmlformats.org/wordprocessingml/2006/main" xmlns:o="urn:schemas-microsoft-com:office:office" xmlns:r="http://schemas.openxmlformats.org/officeDocument/2006/relationships" xmlns:m="http://schemas.openxmlformats.org/officeDocument/2006/math" xmlns:v="urn:schemas-microsoft-com:vml" xmlns:a="http://schemas.openxmlformats.org/drawingml/2006/main" xmlns:wps="http://schemas.microsoft.com/office/word/2010/wordprocessingShape" xmlns:wp="http://schemas.openxmlformats.org/drawingml/2006/wordprocessingDrawing" xmlns:pic="http://schemas.openxmlformats.org/drawingml/2006/picture" xmlns:mc="http://schemas.openxmlformats.org/markup-compatibility/2006" xmlns:wpg="http://schemas.microsoft.com/office/word/2010/wordprocessingGroup" xmlns:wpc="http://schemas.microsoft.com/office/word/2010/wordprocessingCanvas" xmlns:w10="urn:schemas-microsoft-com:office:word" xmlns:w14="http://schemas.microsoft.com/office/word/2010/wordml">
  <w:p>
    <w:pPr>
      <w:pStyle w:val="15"/>
      <w:spacing w:line="14" w:lineRule="auto"/>
      <w:ind w:left="0"/>
      <w:rPr>
        <w:sz w:val="20"/>
      </w:rPr>
    </w:pPr>
    <w:r>
      <mc:AlternateContent>
        <mc:Choice Requires="wps">
          <w:drawing>
            <wp:anchor distT="0" distB="0" distL="114298" distR="114298" simplePos="0" relativeHeight="3" behindDoc="1" locked="0" layoutInCell="1" hidden="0" allowOverlap="1">
              <wp:simplePos x="0" y="0"/>
              <wp:positionH relativeFrom="page">
                <wp:posOffset>1130300</wp:posOffset>
              </wp:positionH>
              <wp:positionV relativeFrom="page">
                <wp:posOffset>1015999</wp:posOffset>
              </wp:positionV>
              <wp:extent cx="5300345" cy="253364"/>
              <wp:effectExtent l="0" t="0" r="0" b="0"/>
              <wp:wrapNone/>
              <wp:docPr id="43" name="文本框 43"/>
              <wp:cNvGraphicFramePr>
                <a:graphicFrameLocks noChangeAspect="0"/>
              </wp:cNvGraphicFramePr>
              <a:graphic>
                <a:graphicData uri="http://schemas.microsoft.com/office/word/2010/wordprocessingShape">
                  <wps:wsp>
                    <wps:cNvSpPr/>
                    <wps:spPr>
                      <a:xfrm rot="0">
                        <a:off x="0" y="0"/>
                        <a:ext cx="5300345" cy="253364"/>
                      </a:xfrm>
                      <a:prstGeom prst="rect"/>
                      <a:noFill/>
                      <a:ln w="9525" cmpd="sng" cap="flat">
                        <a:noFill/>
                        <a:prstDash val="solid"/>
                        <a:round/>
                      </a:ln>
                    </wps:spPr>
                    <wps:txbx id="44">
                      <w:txbxContent>
                        <w:p/>
                      </w:txbxContent>
                    </wps:txbx>
                    <wps:bodyPr vert="horz" wrap="square" lIns="0" tIns="0" rIns="0" bIns="0" anchor="t" anchorCtr="0" upright="1">
                      <a:noAutofit/>
                    </wps:bodyPr>
                  </wps:wsp>
                </a:graphicData>
              </a:graphic>
            </wp:anchor>
          </w:drawing>
        </mc:Choice>
        <mc:Fallback>
          <w:pict>
            <v:shape type="#_x0000_t202" id="文本框 45" o:spid="_x0000_s45" filled="f" stroked="f" style="position:absolute;margin-left:89.0pt;margin-top:80.0pt;width:417.35pt;height:19.949999pt;z-index:-20;mso-position-horizontal:absolute;mso-position-horizontal-relative:page;mso-position-vertical:absolute;mso-position-vertical-relative:page;mso-wrap-distance-left:8.999863pt;mso-wrap-distance-right:8.999863pt;mso-wrap-style:square;">
              <v:stroke color="#000000"/>
              <v:textbox id="863" inset="0mm,0mm,0mm,0mm" o:insetmode="custom" style="layout-flow:horizontal;v-text-anchor:top;">
                <w:txbxContent>
                  <w:p/>
                </w:txbxContent>
              </v:textbox>
            </v:shape>
          </w:pict>
        </mc:Fallback>
      </mc:AlternateContent>
    </w:r>
  </w:p>
</w:hdr>
</file>

<file path=word/settings.xml><?xml version="1.0" encoding="utf-8"?>
<w:settings xmlns:w="http://schemas.openxmlformats.org/wordprocessingml/2006/main" xmlns:o="urn:schemas-microsoft-com:office:office" xmlns:r="http://schemas.openxmlformats.org/officeDocument/2006/relationships" xmlns:m="http://schemas.openxmlformats.org/officeDocument/2006/math" xmlns:v="urn:schemas-microsoft-com:vml">
  <w:zoom w:percent="97"/>
  <w:bordersDoNotSurroundHeader/>
  <w:bordersDoNotSurroundFooter/>
  <w:defaultTabStop w:val="420"/>
  <w:drawingGridHorizontalSpacing w:val="105"/>
  <w:drawingGridVerticalSpacing w:val="156"/>
  <w:displayHorizontalDrawingGridEvery w:val="0"/>
  <w:displayVerticalDrawingGridEvery w:val="1"/>
  <w:noPunctuationKerning/>
  <w:characterSpacingControl w:val="compressPunctuation"/>
  <w:compat>
    <w:spaceForUL/>
    <w:balanceSingleByteDoubleByteWidth/>
    <w:ulTrailSpace/>
    <w:doNotExpandShiftReturn/>
    <w:adjustLineHeightInTable/>
    <w:growAutofit/>
    <w:useAltKinsokuLineBreakRules/>
    <w:splitPgBreakAndParaMark/>
    <w:compatSetting w:name="compatibilityMode" w:uri="http://schemas.microsoft.com/office/word" w:val="14"/>
  </w:compat>
</w:settings>
</file>

<file path=word/styles.xml><?xml version="1.0" encoding="utf-8"?>
<w:styles xmlns:w="http://schemas.openxmlformats.org/wordprocessingml/2006/main" xmlns:r="http://schemas.openxmlformats.org/officeDocument/2006/relationships">
  <w:docDefaults>
    <w:rPrDefault>
      <w:rPr>
        <w:rFonts w:ascii="Times New Roman" w:eastAsia="宋体" w:hAnsi="Times New Roman" w:cs="Times New Roman"/>
        <w:lang w:val="en-US" w:eastAsia="zh-CN" w:bidi="ar-SA"/>
      </w:rPr>
    </w:rPrDefault>
    <w:pPrDefault/>
  </w:docDefaults>
  <w:style w:type="paragraph" w:default="1" w:styleId="0">
    <w:name w:val="Normal"/>
    <w:next w:val="4"/>
    <w:pPr>
      <w:widowControl w:val="0"/>
      <w:jc w:val="both"/>
    </w:pPr>
    <w:rPr>
      <w:rFonts w:ascii="Calibri" w:eastAsia="宋体" w:cs="Arial" w:hAnsi="Calibri"/>
      <w:kern w:val="2"/>
      <w:sz w:val="21"/>
      <w:szCs w:val="24"/>
      <w:lang w:val="en-US" w:eastAsia="zh-CN" w:bidi="ar-SA"/>
    </w:rPr>
  </w:style>
  <w:style w:type="paragraph" w:styleId="2">
    <w:name w:val="heading 2"/>
    <w:basedOn w:val="0"/>
    <w:next w:val="0"/>
    <w:pPr>
      <w:keepNext/>
      <w:keepLines/>
      <w:widowControl w:val="0"/>
      <w:spacing w:before="260" w:after="260" w:line="415" w:lineRule="auto"/>
      <w:outlineLvl w:val="1"/>
    </w:pPr>
    <w:rPr>
      <w:rFonts w:ascii="Cambria" w:eastAsia="宋体" w:hAnsi="Cambria"/>
      <w:b/>
      <w:bCs/>
      <w:szCs w:val="32"/>
    </w:rPr>
  </w:style>
  <w:style w:type="paragraph" w:styleId="4">
    <w:name w:val="heading 4"/>
    <w:basedOn w:val="0"/>
    <w:next w:val="0"/>
    <w:pPr>
      <w:keepNext/>
      <w:keepLines/>
      <w:widowControl w:val="0"/>
      <w:adjustRightInd w:val="0"/>
      <w:snapToGrid w:val="0"/>
      <w:spacing w:line="360" w:lineRule="auto"/>
      <w:ind w:firstLineChars="200" w:firstLine="200"/>
      <w:outlineLvl w:val="3"/>
    </w:pPr>
    <w:rPr>
      <w:rFonts w:ascii="Arial" w:eastAsia="方正仿宋_GBK" w:hAnsi="Arial"/>
      <w:sz w:val="28"/>
    </w:rPr>
  </w:style>
  <w:style w:type="character" w:default="1" w:styleId="10">
    <w:name w:val="Default Paragraph Font"/>
  </w:style>
  <w:style w:type="paragraph" w:styleId="15">
    <w:name w:val="Body Text"/>
    <w:basedOn w:val="0"/>
    <w:pPr>
      <w:ind w:left="120"/>
    </w:pPr>
    <w:rPr>
      <w:rFonts w:ascii="Arial Unicode MS" w:eastAsia="Arial Unicode MS" w:cs="Arial Unicode MS" w:hAnsi="Arial Unicode MS"/>
      <w:sz w:val="32"/>
      <w:szCs w:val="32"/>
      <w:lang w:val="zh-CN" w:bidi="zh-CN"/>
    </w:rPr>
  </w:style>
  <w:style w:type="paragraph" w:styleId="16">
    <w:name w:val="Date"/>
    <w:basedOn w:val="0"/>
    <w:next w:val="0"/>
    <w:pPr>
      <w:ind w:leftChars="2500" w:left="2500"/>
    </w:pPr>
  </w:style>
  <w:style w:type="paragraph" w:styleId="17">
    <w:name w:val="Balloon Text"/>
    <w:basedOn w:val="0"/>
    <w:rPr>
      <w:sz w:val="18"/>
      <w:szCs w:val="18"/>
    </w:rPr>
  </w:style>
  <w:style w:type="paragraph" w:styleId="18">
    <w:name w:val="footer"/>
    <w:basedOn w:val="0"/>
    <w:pPr>
      <w:tabs>
        <w:tab w:val="center" w:pos="4153"/>
        <w:tab w:val="right" w:pos="8306"/>
      </w:tabs>
      <w:snapToGrid w:val="0"/>
      <w:jc w:val="left"/>
    </w:pPr>
    <w:rPr>
      <w:sz w:val="18"/>
      <w:szCs w:val="18"/>
    </w:rPr>
  </w:style>
  <w:style w:type="paragraph" w:styleId="19">
    <w:name w:val="header"/>
    <w:basedOn w:val="0"/>
    <w:pPr>
      <w:pBdr>
        <w:bottom w:val="single" w:sz="6" w:space="1" w:color="auto"/>
      </w:pBdr>
      <w:tabs>
        <w:tab w:val="center" w:pos="4153"/>
        <w:tab w:val="right" w:pos="8306"/>
      </w:tabs>
      <w:snapToGrid w:val="0"/>
      <w:jc w:val="center"/>
    </w:pPr>
    <w:rPr>
      <w:sz w:val="18"/>
      <w:szCs w:val="18"/>
    </w:rPr>
  </w:style>
  <w:style w:type="paragraph" w:styleId="20">
    <w:name w:val="toc 1"/>
    <w:basedOn w:val="0"/>
    <w:next w:val="0"/>
  </w:style>
  <w:style w:type="paragraph" w:styleId="21">
    <w:name w:val="toc 2"/>
    <w:basedOn w:val="0"/>
    <w:next w:val="0"/>
    <w:pPr>
      <w:ind w:leftChars="200" w:left="200"/>
    </w:pPr>
  </w:style>
  <w:style w:type="paragraph" w:styleId="22">
    <w:name w:val="Normal (Web)"/>
    <w:basedOn w:val="0"/>
    <w:pPr>
      <w:widowControl/>
      <w:spacing w:before="100" w:beforeAutospacing="1" w:after="100" w:afterAutospacing="1"/>
      <w:jc w:val="left"/>
    </w:pPr>
    <w:rPr>
      <w:rFonts w:ascii="宋体" w:eastAsia="宋体" w:cs="宋体"/>
      <w:kern w:val="0"/>
      <w:sz w:val="24"/>
    </w:rPr>
  </w:style>
  <w:style w:type="character" w:styleId="23">
    <w:name w:val="Strong"/>
    <w:basedOn w:val="10"/>
    <w:rPr>
      <w:b/>
      <w:bCs/>
    </w:rPr>
  </w:style>
  <w:style w:type="paragraph" w:customStyle="1" w:styleId="24">
    <w:name w:val="无间隔1"/>
    <w:pPr>
      <w:widowControl w:val="0"/>
      <w:jc w:val="both"/>
    </w:pPr>
    <w:rPr>
      <w:rFonts w:ascii="等线" w:eastAsia="等线" w:cs="Arial"/>
      <w:kern w:val="2"/>
      <w:sz w:val="21"/>
      <w:szCs w:val="22"/>
      <w:lang w:val="en-US" w:eastAsia="zh-CN" w:bidi="ar-SA"/>
    </w:rPr>
  </w:style>
  <w:style w:type="paragraph" w:customStyle="1" w:styleId="25">
    <w:name w:val="正文 New"/>
    <w:pPr>
      <w:widowControl w:val="0"/>
      <w:jc w:val="both"/>
    </w:pPr>
    <w:rPr>
      <w:rFonts w:ascii="Times New Roman" w:eastAsia="宋体" w:cs="Times New Roman" w:hAnsi="Times New Roman"/>
      <w:kern w:val="2"/>
      <w:sz w:val="21"/>
      <w:szCs w:val="24"/>
      <w:lang w:val="en-US" w:eastAsia="zh-CN" w:bidi="ar-SA"/>
    </w:rPr>
  </w:style>
  <w:style w:type="character" w:customStyle="1" w:styleId="26">
    <w:name w:val="font71"/>
    <w:basedOn w:val="10"/>
    <w:rPr>
      <w:rFonts w:ascii="华文楷体" w:eastAsia="华文楷体" w:cs="华文楷体"/>
      <w:b/>
      <w:bCs/>
      <w:color w:val="000000"/>
      <w:sz w:val="24"/>
      <w:szCs w:val="24"/>
      <w:u w:val="none"/>
    </w:rPr>
  </w:style>
  <w:style w:type="character" w:customStyle="1" w:styleId="27">
    <w:name w:val="font01"/>
    <w:basedOn w:val="10"/>
    <w:rPr>
      <w:rFonts w:ascii="华文楷体" w:eastAsia="华文楷体" w:cs="华文楷体"/>
      <w:color w:val="000000"/>
      <w:sz w:val="24"/>
      <w:szCs w:val="24"/>
      <w:u w:val="none"/>
    </w:rPr>
  </w:style>
  <w:style w:type="character" w:customStyle="1" w:styleId="28">
    <w:name w:val="font51"/>
    <w:basedOn w:val="10"/>
    <w:rPr>
      <w:rFonts w:ascii="Times New Roman" w:cs="Times New Roman" w:hAnsi="Times New Roman"/>
      <w:color w:val="000000"/>
      <w:sz w:val="24"/>
      <w:szCs w:val="24"/>
      <w:u w:val="none"/>
    </w:rPr>
  </w:style>
  <w:style w:type="character" w:customStyle="1" w:styleId="29">
    <w:name w:val="font81"/>
    <w:basedOn w:val="10"/>
    <w:rPr>
      <w:rFonts w:ascii="Times New Roman" w:cs="Times New Roman" w:hAnsi="Times New Roman"/>
      <w:color w:val="000000"/>
      <w:sz w:val="21"/>
      <w:szCs w:val="21"/>
      <w:u w:val="none"/>
    </w:rPr>
  </w:style>
  <w:style w:type="character" w:customStyle="1" w:styleId="30">
    <w:name w:val="font91"/>
    <w:basedOn w:val="10"/>
    <w:rPr>
      <w:rFonts w:ascii="华文楷体" w:eastAsia="华文楷体" w:cs="华文楷体"/>
      <w:color w:val="000000"/>
      <w:sz w:val="22"/>
      <w:szCs w:val="22"/>
      <w:u w:val="none"/>
    </w:rPr>
  </w:style>
  <w:style w:type="character" w:customStyle="1" w:styleId="31">
    <w:name w:val="font101"/>
    <w:basedOn w:val="10"/>
    <w:rPr>
      <w:rFonts w:ascii="华文楷体" w:eastAsia="华文楷体" w:cs="华文楷体"/>
      <w:b/>
      <w:bCs/>
      <w:color w:val="000000"/>
      <w:sz w:val="21"/>
      <w:szCs w:val="21"/>
      <w:u w:val="none"/>
    </w:rPr>
  </w:style>
  <w:style w:type="character" w:customStyle="1" w:styleId="32">
    <w:name w:val="font21"/>
    <w:basedOn w:val="10"/>
    <w:rPr>
      <w:rFonts w:ascii="华文楷体" w:eastAsia="华文楷体" w:cs="华文楷体"/>
      <w:b/>
      <w:bCs/>
      <w:color w:val="000000"/>
      <w:sz w:val="24"/>
      <w:szCs w:val="24"/>
      <w:u w:val="none"/>
    </w:rPr>
  </w:style>
  <w:style w:type="character" w:customStyle="1" w:styleId="33">
    <w:name w:val="font112"/>
    <w:basedOn w:val="10"/>
    <w:rPr>
      <w:rFonts w:ascii="Times New Roman" w:cs="Times New Roman" w:hAnsi="Times New Roman"/>
      <w:color w:val="000000"/>
      <w:sz w:val="21"/>
      <w:szCs w:val="21"/>
      <w:u w:val="none"/>
    </w:rPr>
  </w:style>
  <w:style w:type="character" w:customStyle="1" w:styleId="34">
    <w:name w:val="font121"/>
    <w:basedOn w:val="10"/>
    <w:rPr>
      <w:rFonts w:ascii="华文楷体" w:eastAsia="华文楷体" w:cs="华文楷体"/>
      <w:color w:val="000000"/>
      <w:sz w:val="22"/>
      <w:szCs w:val="22"/>
      <w:u w:val="none"/>
    </w:rPr>
  </w:style>
  <w:style w:type="character" w:customStyle="1" w:styleId="35">
    <w:name w:val="font131"/>
    <w:basedOn w:val="10"/>
    <w:rPr>
      <w:rFonts w:ascii="华文楷体" w:eastAsia="华文楷体" w:cs="华文楷体"/>
      <w:b/>
      <w:bCs/>
      <w:color w:val="000000"/>
      <w:sz w:val="21"/>
      <w:szCs w:val="21"/>
      <w:u w:val="none"/>
    </w:rPr>
  </w:style>
  <w:style w:type="character" w:customStyle="1" w:styleId="36">
    <w:name w:val="font111"/>
    <w:basedOn w:val="10"/>
    <w:rPr>
      <w:rFonts w:ascii="华文楷体" w:eastAsia="华文楷体" w:cs="华文楷体"/>
      <w:b/>
      <w:bCs/>
      <w:color w:val="000000"/>
      <w:sz w:val="21"/>
      <w:szCs w:val="21"/>
      <w:u w:val="none"/>
    </w:rPr>
  </w:style>
  <w:style w:type="character" w:customStyle="1" w:styleId="37">
    <w:name w:val="font61"/>
    <w:basedOn w:val="10"/>
    <w:rPr>
      <w:rFonts w:ascii="Times New Roman" w:cs="Times New Roman" w:hAnsi="Times New Roman"/>
      <w:b/>
      <w:bCs/>
      <w:color w:val="000000"/>
      <w:sz w:val="21"/>
      <w:szCs w:val="21"/>
      <w:u w:val="none"/>
    </w:rPr>
  </w:style>
  <w:style w:type="character" w:customStyle="1" w:styleId="38">
    <w:name w:val="font141"/>
    <w:basedOn w:val="10"/>
    <w:rPr>
      <w:rFonts w:ascii="华文楷体" w:eastAsia="华文楷体" w:cs="华文楷体"/>
      <w:b/>
      <w:bCs/>
      <w:color w:val="000000"/>
      <w:sz w:val="21"/>
      <w:szCs w:val="21"/>
      <w:u w:val="none"/>
    </w:rPr>
  </w:style>
  <w:style w:type="paragraph" w:customStyle="1" w:styleId="39">
    <w:name w:val="List Paragraph"/>
    <w:basedOn w:val="0"/>
    <w:pPr>
      <w:ind w:left="1001" w:hanging="243"/>
    </w:pPr>
    <w:rPr>
      <w:rFonts w:ascii="Arial Unicode MS" w:eastAsia="Arial Unicode MS" w:cs="Arial Unicode MS" w:hAnsi="Arial Unicode MS"/>
      <w:lang w:val="zh-CN" w:bidi="zh-CN"/>
    </w:rPr>
  </w:style>
  <w:style w:type="paragraph" w:customStyle="1" w:styleId="40">
    <w:name w:val="WPSOffice手动目录 1"/>
    <w:rPr>
      <w:rFonts w:ascii="Times New Roman" w:eastAsia="宋体" w:cs="Times New Roman" w:hAnsi="Times New Roman"/>
      <w:lang w:val="en-US" w:eastAsia="zh-CN" w:bidi="ar-SA"/>
    </w:rPr>
  </w:style>
  <w:style w:type="paragraph" w:customStyle="1" w:styleId="41">
    <w:name w:val="WPSOffice手动目录 2"/>
    <w:pPr>
      <w:ind w:leftChars="200" w:left="200"/>
    </w:pPr>
    <w:rPr>
      <w:rFonts w:ascii="Times New Roman" w:eastAsia="宋体" w:cs="Times New Roman" w:hAnsi="Times New Roman"/>
      <w:lang w:val="en-US" w:eastAsia="zh-CN" w:bidi="ar-SA"/>
    </w:rPr>
  </w:style>
  <w:style w:type="character" w:styleId="42">
    <w:name w:val="FollowedHyperlink"/>
    <w:basedOn w:val="10"/>
    <w:rPr>
      <w:color w:val="800080"/>
      <w:u w:val="single"/>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footer" Target="footer1.xml"/><Relationship Id="rId3" Type="http://schemas.openxmlformats.org/officeDocument/2006/relationships/footer" Target="footer2.xml"/><Relationship Id="rId4" Type="http://schemas.openxmlformats.org/officeDocument/2006/relationships/image" Target="media/5.jpeg"/><Relationship Id="rId5" Type="http://schemas.openxmlformats.org/officeDocument/2006/relationships/image" Target="media/8.png"/><Relationship Id="rId6" Type="http://schemas.openxmlformats.org/officeDocument/2006/relationships/oleObject" Target="embeddings/oleObject1.bin"/><Relationship Id="rId7" Type="http://schemas.openxmlformats.org/officeDocument/2006/relationships/image" Target="media/10.png"/><Relationship Id="rId8" Type="http://schemas.openxmlformats.org/officeDocument/2006/relationships/oleObject" Target="embeddings/oleObject2.bin"/><Relationship Id="rId9" Type="http://schemas.openxmlformats.org/officeDocument/2006/relationships/image" Target="media/12.png"/><Relationship Id="rId10" Type="http://schemas.openxmlformats.org/officeDocument/2006/relationships/image" Target="media/15.png"/><Relationship Id="rId11" Type="http://schemas.openxmlformats.org/officeDocument/2006/relationships/oleObject" Target="embeddings/oleObject3.bin"/><Relationship Id="rId12" Type="http://schemas.openxmlformats.org/officeDocument/2006/relationships/image" Target="media/17.png"/><Relationship Id="rId13" Type="http://schemas.openxmlformats.org/officeDocument/2006/relationships/oleObject" Target="embeddings/oleObject4.bin"/><Relationship Id="rId14" Type="http://schemas.openxmlformats.org/officeDocument/2006/relationships/image" Target="media/19.jpeg"/><Relationship Id="rId15" Type="http://schemas.openxmlformats.org/officeDocument/2006/relationships/image" Target="media/22.png"/><Relationship Id="rId16" Type="http://schemas.openxmlformats.org/officeDocument/2006/relationships/oleObject" Target="embeddings/oleObject5.bin"/><Relationship Id="rId17" Type="http://schemas.openxmlformats.org/officeDocument/2006/relationships/image" Target="media/24.jpeg"/><Relationship Id="rId18" Type="http://schemas.openxmlformats.org/officeDocument/2006/relationships/image" Target="media/27.jpeg"/><Relationship Id="rId19" Type="http://schemas.openxmlformats.org/officeDocument/2006/relationships/image" Target="media/30.png"/><Relationship Id="rId20" Type="http://schemas.openxmlformats.org/officeDocument/2006/relationships/oleObject" Target="embeddings/oleObject6.bin"/><Relationship Id="rId21" Type="http://schemas.openxmlformats.org/officeDocument/2006/relationships/image" Target="media/32.jpeg"/><Relationship Id="rId22" Type="http://schemas.openxmlformats.org/officeDocument/2006/relationships/image" Target="media/35.jpeg"/><Relationship Id="rId23" Type="http://schemas.openxmlformats.org/officeDocument/2006/relationships/image" Target="media/38.jpeg"/><Relationship Id="rId24" Type="http://schemas.openxmlformats.org/officeDocument/2006/relationships/image" Target="media/41.jpeg"/><Relationship Id="rId25" Type="http://schemas.openxmlformats.org/officeDocument/2006/relationships/header" Target="header1.xml"/><Relationship Id="rId26" Type="http://schemas.openxmlformats.org/officeDocument/2006/relationships/styles" Target="styles.xml"/><Relationship Id="rId27" Type="http://schemas.openxmlformats.org/officeDocument/2006/relationships/fontTable" Target="fontTable.xml"/></Relationships>
</file>

<file path=docProps/app.xml><?xml version="1.0" encoding="utf-8"?>
<Properties xmlns="http://schemas.openxmlformats.org/officeDocument/2006/extended-properties">
  <Template>Normal.eit</Template>
  <TotalTime>51</TotalTime>
  <Application>Yozo_Office</Application>
  <Pages>47</Pages>
  <Words>15657</Words>
  <Characters>18859</Characters>
  <Lines>1753</Lines>
  <Paragraphs>1058</Paragraphs>
  <CharactersWithSpaces>19541</CharactersWithSpaces>
  <Company>china</Company>
</Properties>
</file>

<file path=docProps/core.xml><?xml version="1.0" encoding="utf-8"?>
<cp:coreProperties xmlns:cp="http://schemas.openxmlformats.org/package/2006/metadata/core-properties" xmlns:dc="http://purl.org/dc/elements/1.1/" xmlns:dcterms="http://purl.org/dc/terms/" xmlns:xsi="http://www.w3.org/2001/XMLSchema-instance">
  <dc:creator>Administrator</dc:creator>
  <cp:lastModifiedBy>lyj</cp:lastModifiedBy>
  <cp:revision>8</cp:revision>
  <cp:lastPrinted>2021-08-10T07:53:00Z</cp:lastPrinted>
  <dcterms:created xsi:type="dcterms:W3CDTF">2021-09-06T14:56:00Z</dcterms:created>
  <dcterms:modified xsi:type="dcterms:W3CDTF">2021-09-15T09:50:08Z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2052-11.1.0.10700</vt:lpwstr>
  </property>
  <property fmtid="{D5CDD505-2E9C-101B-9397-08002B2CF9AE}" pid="3" name="ICV">
    <vt:lpwstr>0431ACB593554E9CA3CE8A083671C406</vt:lpwstr>
  </property>
</Properties>
</file>