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left="0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附件</w:t>
      </w:r>
    </w:p>
    <w:p>
      <w:pPr>
        <w:ind w:left="0"/>
      </w:pPr>
    </w:p>
    <w:p>
      <w:pPr>
        <w:spacing w:line="580" w:lineRule="exact"/>
        <w:ind w:left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江津区农村公路养护管理考核内容</w:t>
      </w:r>
    </w:p>
    <w:p>
      <w:pPr>
        <w:spacing w:line="160" w:lineRule="exact"/>
        <w:ind w:firstLineChars="200" w:firstLine="640"/>
        <w:rPr>
          <w:rFonts w:hint="eastAsia"/>
        </w:rPr>
      </w:pPr>
    </w:p>
    <w:tbl>
      <w:tblPr>
        <w:jc w:val="cent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825"/>
        <w:gridCol w:w="1125"/>
        <w:gridCol w:w="2535"/>
        <w:gridCol w:w="930"/>
        <w:gridCol w:w="5865"/>
        <w:gridCol w:w="735"/>
        <w:gridCol w:w="669"/>
        <w:gridCol w:w="546"/>
        <w:gridCol w:w="495"/>
      </w:tblGrid>
      <w:tr>
        <w:trPr>
          <w:tblHeader/>
        </w:trP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leftChars="-50" w:left="-160" w:rightChars="-50" w:right="-160"/>
              <w:jc w:val="center"/>
              <w:textAlignment w:val="center"/>
              <w:rPr>
                <w:rFonts w:ascii="方正黑体_GBK" w:eastAsia="方正黑体_GBK" w:hint="eastAsia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考核项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leftChars="-50" w:left="-160" w:rightChars="-50" w:right="-160"/>
              <w:jc w:val="center"/>
              <w:textAlignment w:val="center"/>
              <w:rPr>
                <w:rFonts w:ascii="方正黑体_GBK" w:eastAsia="方正黑体_GBK" w:hint="eastAsia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leftChars="-50" w:left="-160" w:rightChars="-50" w:right="-160"/>
              <w:jc w:val="center"/>
              <w:textAlignment w:val="center"/>
              <w:rPr>
                <w:rFonts w:ascii="方正黑体_GBK" w:eastAsia="方正黑体_GBK" w:hint="eastAsia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子项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leftChars="-50" w:left="-160" w:rightChars="-50" w:right="-160"/>
              <w:jc w:val="center"/>
              <w:textAlignment w:val="center"/>
              <w:rPr>
                <w:rFonts w:ascii="方正黑体_GBK" w:eastAsia="方正黑体_GBK" w:hint="eastAsia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leftChars="-50" w:left="-160" w:rightChars="-50" w:right="-160"/>
              <w:jc w:val="center"/>
              <w:textAlignment w:val="center"/>
              <w:rPr>
                <w:rFonts w:ascii="方正黑体_GBK" w:eastAsia="方正黑体_GBK" w:hint="eastAsia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考核方式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leftChars="-50" w:left="-160" w:rightChars="-50" w:right="-160"/>
              <w:jc w:val="center"/>
              <w:textAlignment w:val="center"/>
              <w:rPr>
                <w:rFonts w:ascii="方正黑体_GBK" w:eastAsia="方正黑体_GBK" w:hint="eastAsia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扣分说明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leftChars="-50" w:left="-160" w:rightChars="-50" w:right="-160"/>
              <w:jc w:val="center"/>
              <w:textAlignment w:val="center"/>
              <w:rPr>
                <w:rFonts w:ascii="方正黑体_GBK" w:eastAsia="方正黑体_GBK" w:hint="eastAsia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分值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leftChars="-50" w:left="-160" w:rightChars="-50" w:right="-160"/>
              <w:jc w:val="center"/>
              <w:textAlignment w:val="center"/>
              <w:rPr>
                <w:rFonts w:ascii="方正黑体_GBK" w:eastAsia="方正黑体_GBK" w:hint="eastAsia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扣分</w:t>
            </w: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leftChars="-50" w:left="-160" w:rightChars="-50" w:right="-160"/>
              <w:jc w:val="center"/>
              <w:textAlignment w:val="center"/>
              <w:rPr>
                <w:rFonts w:ascii="方正黑体_GBK" w:eastAsia="方正黑体_GBK" w:hint="eastAsia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得分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ind w:leftChars="-50" w:left="-160" w:rightChars="-50" w:right="-160"/>
              <w:jc w:val="center"/>
              <w:textAlignment w:val="center"/>
              <w:rPr>
                <w:rFonts w:ascii="方正黑体_GBK" w:eastAsia="方正黑体_GBK" w:hint="eastAsia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路长制（10）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路长制实施情况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路长制建立和实施情况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内业检查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未按要求建立路长制的扣3分；未按要求建立和落实路长会议制度、路长巡查制度、路长考核机制的，每一项扣2分；未建立和落实人员配备、资金投入保障机制的，每一项扣2分；扣完为止。主要道路应设未设置路长公示牌，少一块扣0.5分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c>
          <w:tcPr>
            <w:tcW w:w="10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日常养护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（30）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路基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排水设施、路肩、边坡、护坡及挡土墙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日常检查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排水设施堵塞、淤积等影响排水的，发现一次扣0.2分；排水设施、路肩有损坏的，发现一次扣0.4分；边坡、护坡、挡土墙等结构物有破损、坍塌或坍塌土方未及时清除的，发现一处扣0.4分；扣完为止。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路面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路面保洁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日常检查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路面有垃圾、杂物等不清洁现象的，发现一处扣0.4分；路面有严重病害的，发现一处扣1分；扣完为止。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桥涵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桥涵养护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日常检查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桥梁未设置养护公示牌，发现一处扣0.5分；桥头出现跳车、桥面有积水、桥梁护栏有损坏、桥梁伸缩缝有损坏或伸缩缝及泄水孔有堵塞现象的，发现一处扣0.2分；桥梁结构物有损坏或病害的，发现一处扣0.4分；发生桥梁安全事故的，该项不得分。涵洞进出口堵塞或排水不畅的，发现一处扣0.2分；因桥涵排水不畅导致农田、堰塘或民房等冲刷受损的，发现一处扣0.4分；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隧道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隧道养护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日常检查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隧道未设置立面标记的，发现一处扣0.5分；洞门横截面小于隧道处路面横截面且无安防设施过渡的，发现一处扣0.4分；隧道内部未设置轮廓标或其他示阔设施的，发现一处扣0.4分；扣完为止。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绿化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绿化管护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日常检查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绿化植物未及时修剪造成倾斜，影响行车安全的，发现一处扣0.2分；行道树有枯死的，发现一处扣0.2分；绿化植物遮挡标志牌或行车视线的，发现一处扣0.2分；扣完为止。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交安设施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护栏、标志牌、道口桩等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日常检查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护栏、标志牌、道口桩等交安设施有损坏的，发现一处扣0.2分；未设置管养公示牌、桥梁公示牌、“路长制”公示牌或设置不规范的，发现一处扣0.5分；未对重点路段或重要路口完善交安设施的，发现一处扣0.5分；护栏端头缺失或端头变形的，发现一处扣0.2分；交安设施未设置反光标志或不清洁的，发现一处扣0.2分；擅自拆除护栏未及时恢复的，发现一处扣0.4分；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养护作业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人员、作业安全规范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日常检查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未按规定穿戴安全标志服帽和使用安全防护用品的，发现一人次扣0.2分；养护作业未按要求设置公路养护作业控制区和安全标志的，发现一处扣0.4分；未及时对险路、险桥及水毁等安全隐患路段设立安全警示标志的，发现一处扣0.5分；对隔日作业项目未按规定设置安全防护措施或设置不符合要求的，发现一次扣0.4分；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路况评定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（10）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路况检测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路面技术状况评定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外业检测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农村公路路面技术状况评定结果按照：优（10分）、良（8分）、中（6分）、次（4分）、差（2分）等级得分和评定。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年终督查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（20）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en-US"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组织管理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建立管理养护机构，明确责任和分工，配备专兼职养护人员，并制定村民爱路护路公约；养护管理工作列入镇街政府年度工作目标；签订农村公路养护委托协议及制定全年养护计划；制定本行政区内农村公路管理养护办法；建立完善公路巡查等养护管理制度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内业检查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未建立管理养护机构或未配备专兼职养护人员的，每少一项扣0.5分、没有制定村民护路公约的，每少一项扣0.5分。创新农村道路养护办法，荣获市、区表彰和经验交流的，每一项加1分，最多加5分。  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5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内业检查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养护工作未列入镇街政府年度工作目标的扣0.5分；无养护委托协议的扣0.5分；未制定管理养护办法的扣0.5分；未参加或定期组织开展农村公路养护管理培训及重要会议的，发现一次扣0.5分；扣完为止。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en-US"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内业资料管理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养护计划编制科学、养护工程管理规范、巡查记录完整、信息报送及时。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内业检查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未编制农村公路养护计划或未在区交通局备案的，每少一项扣1.5分。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5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内业检查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未开展农村公路巡查或巡查记录不完整规范的，每少一项扣1.5分。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5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内业检查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农村公路养护管理信息化数据报送不及时或未按相关要求报送的，发现一次扣1分；其中未按相关要求及时报送灾毁数据的，发现一次扣1分；扣完为止。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5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内业检查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按照公路工程基本建设程序，养护工程建设程序不完善或资料缺失不规范的，每少一项扣1分，扣完为止。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资金筹措与使用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建立农村公路管理养护资金专用账户，专款专用，积极筹措养护资金。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内业检查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未建立养护资金专用台账或未专款专用的，每少一项扣1分。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5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内业检查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未落实配套养护资金的，发现一次扣1分；未按编制计划使用或擅自挪用养护资金的，发现一次扣1分；扣完为止。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c>
          <w:tcPr>
            <w:tcW w:w="10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安全及应急管理（30）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制度建设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履职情况、落实安全生产情况及安全相关制度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内业检查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明确安全生产工作职责，落实安</w:t>
            </w:r>
            <w:r>
              <w:rPr>
                <w:rFonts w:ascii="方正仿宋_GBK" w:hint="eastAsia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全生产“一岗双责”，</w:t>
            </w: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建立健全切实可行的安全生产会议制度、安全生产检查制度、安全教育培训制度、事故及险情报告制度、安全生产事故隐患排查治理制度，并得到有效执行（查资料）。制度订立每缺一个扣1分；制度未有效贯彻执行发现一处扣1分；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应急管理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应急预案、队伍、物资等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内业检查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制订突发事件应急预案，加强应急抢险队伍建设，加强应急物资储备，每年至少开展1次应急演练。未制订应急预案扣1分，应急抢险队伍未建设扣1分，应急物资未储备扣1分，未开展应急演练扣2分，扣完为止。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  <w:tr>
        <w:tc>
          <w:tcPr>
            <w:tcW w:w="10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事故控制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安全事故发生起数及程度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50" w:left="-160" w:rightChars="-50" w:right="-160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据实扣分</w:t>
            </w:r>
          </w:p>
        </w:tc>
        <w:tc>
          <w:tcPr>
            <w:tcW w:w="5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在养护责任路段，发生一起道路安全死亡1人事故扣4分，发生一起道路安全死亡2人事故扣8分，扣完为止；发生较大及以上事故直接扣完。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color w:val="000000"/>
                <w:sz w:val="21"/>
                <w:szCs w:val="21"/>
                <w:u w:val="none"/>
                <w:lang w:bidi="ar-SA"/>
              </w:rPr>
            </w:pPr>
          </w:p>
        </w:tc>
      </w:tr>
    </w:tbl>
    <w:p>
      <w:pPr>
        <w:spacing w:line="440" w:lineRule="exact"/>
        <w:ind w:leftChars="148" w:left="1554" w:hangingChars="450" w:hanging="1080"/>
        <w:rPr>
          <w:sz w:val="24"/>
          <w:szCs w:val="24"/>
        </w:rPr>
      </w:pPr>
      <w:r>
        <w:rPr>
          <w:sz w:val="24"/>
          <w:szCs w:val="24"/>
        </w:rPr>
        <w:t>备注：1．日常检查：由区公路养护段负责组织属地镇街及相关单位参加，采用不定期现场检查的方式，每季度将检查结果将通报各镇街。</w:t>
      </w:r>
    </w:p>
    <w:p>
      <w:pPr>
        <w:spacing w:line="440" w:lineRule="exact"/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2．外业检测：利用路况检测设备收集检测路段路面技术状况指标。</w:t>
      </w:r>
    </w:p>
    <w:p>
      <w:pPr>
        <w:spacing w:line="440" w:lineRule="exact"/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3．年终考核：由区交通局组织区应急局、区公安交巡警支队等相关单位负责。</w:t>
      </w:r>
    </w:p>
    <w:p>
      <w:pPr>
        <w:spacing w:line="440" w:lineRule="exact"/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4．安全事故：由区道安办提供数据。</w:t>
      </w:r>
    </w:p>
    <w:p>
      <w:bookmarkStart w:id="0" w:name="_GoBack"/>
      <w:bookmarkEnd w:id="0"/>
    </w:p>
    <w:sectPr>
      <w:pgSz w:w="16839" w:h="11907" w:orient="landscape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4</Pages>
  <Words>2335</Words>
  <Characters>2418</Characters>
  <Lines>261</Lines>
  <Paragraphs>129</Paragraphs>
  <CharactersWithSpaces>2423</CharactersWithSpaces>
  <Company>123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Windows 用户</cp:lastModifiedBy>
  <cp:revision>1</cp:revision>
  <dcterms:created xsi:type="dcterms:W3CDTF">2021-11-22T08:51:24Z</dcterms:created>
  <dcterms:modified xsi:type="dcterms:W3CDTF">2021-11-22T08:51:42Z</dcterms:modified>
</cp:coreProperties>
</file>