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13" w:rsidRPr="00F92F13" w:rsidRDefault="00F92F13" w:rsidP="00F92F13">
      <w:pPr>
        <w:adjustRightInd/>
        <w:snapToGrid/>
        <w:spacing w:before="100" w:beforeAutospacing="1" w:after="0" w:line="605" w:lineRule="atLeast"/>
        <w:rPr>
          <w:rFonts w:ascii="Arial" w:eastAsia="宋体" w:hAnsi="Arial" w:cs="Arial"/>
          <w:color w:val="000000"/>
          <w:sz w:val="20"/>
          <w:szCs w:val="20"/>
        </w:rPr>
      </w:pPr>
      <w:r w:rsidRPr="00F92F13">
        <w:rPr>
          <w:rFonts w:ascii="方正黑体_GBK" w:eastAsia="方正黑体_GBK" w:hAnsi="Arial" w:cs="Arial" w:hint="eastAsia"/>
          <w:color w:val="000000"/>
          <w:sz w:val="32"/>
          <w:szCs w:val="32"/>
        </w:rPr>
        <w:t>附件1</w:t>
      </w:r>
    </w:p>
    <w:p w:rsidR="00F92F13" w:rsidRPr="00F92F13" w:rsidRDefault="00F92F13" w:rsidP="00F92F13">
      <w:pPr>
        <w:adjustRightInd/>
        <w:snapToGrid/>
        <w:spacing w:before="100" w:beforeAutospacing="1" w:after="0" w:line="605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F92F13">
        <w:rPr>
          <w:rFonts w:ascii="方正小标宋_GBK" w:eastAsia="方正小标宋_GBK" w:hAnsi="Arial" w:cs="Arial" w:hint="eastAsia"/>
          <w:color w:val="000000"/>
          <w:sz w:val="44"/>
          <w:szCs w:val="44"/>
        </w:rPr>
        <w:t>江津区“门前三包”“五长制”工作实施评价标准</w:t>
      </w:r>
    </w:p>
    <w:p w:rsidR="00F92F13" w:rsidRPr="00F92F13" w:rsidRDefault="00F92F13" w:rsidP="00F92F1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9"/>
        <w:gridCol w:w="521"/>
        <w:gridCol w:w="430"/>
        <w:gridCol w:w="5503"/>
        <w:gridCol w:w="3978"/>
        <w:gridCol w:w="519"/>
      </w:tblGrid>
      <w:tr w:rsidR="00F92F13" w:rsidRPr="00F92F13" w:rsidTr="00F92F13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评价内容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分值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分</w:t>
            </w:r>
            <w:r w:rsidRPr="00F92F13">
              <w:rPr>
                <w:rFonts w:ascii="Calibri" w:eastAsia="宋体" w:hAnsi="Calibri" w:cs="宋体"/>
                <w:sz w:val="28"/>
              </w:rPr>
              <w:t> </w:t>
            </w: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评分标准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sz w:val="28"/>
                <w:szCs w:val="28"/>
              </w:rPr>
              <w:t>备</w:t>
            </w:r>
            <w:r w:rsidRPr="00F92F13">
              <w:rPr>
                <w:rFonts w:ascii="方正黑体_GBK" w:eastAsia="方正黑体_GBK" w:hAnsi="宋体" w:cs="宋体" w:hint="eastAsia"/>
                <w:sz w:val="28"/>
                <w:szCs w:val="28"/>
              </w:rPr>
              <w:t>注</w:t>
            </w:r>
          </w:p>
        </w:tc>
      </w:tr>
      <w:tr w:rsidR="00F92F13" w:rsidRPr="00F92F13" w:rsidTr="00F92F13">
        <w:trPr>
          <w:trHeight w:val="322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体制机制建设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15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各镇、街道认真贯彻《重庆市人民政府办公厅关于印发重庆市“门前三包”责任制管理办法（试行）的通知》和《重庆市城市综合管理领导小组办公室关于推行城市综合管理“五长制”的通知》精神，结合自身实际制定工作实施方案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建立镇、街道“门前三包”“五长制”组织机构，制定工作推进计划（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建立评价制度并有效执行（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未制定工作方案或制定方案结合自身实际不紧密的不得分；根据制定工作方案和年度工作计划进展程度酌情给分。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未建立组织机构的不得分；建立组织机构履行职责不好的酌情给分。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未建立考评制度的不得分；根据评价标准执行情况酌情给分。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trHeight w:val="30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街道档案建设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建立“门前三包”“五长制”示范街道档案，以及街长、路长、巷长、楼长、店长档案（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建立“门前三包”“五长制”相关登统计台账（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建立辖区示范道路综合档案（综合档案包括“门前三包”“五长制”建设计划、推进措施、阶段性工作小结等内容）（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未建立示范街道档案的不得分；建立分项档案未建立系统档案</w:t>
            </w:r>
            <w:r w:rsidRPr="00F92F13">
              <w:rPr>
                <w:rFonts w:ascii="仿宋" w:eastAsia="仿宋" w:hAnsi="仿宋" w:cs="宋体" w:hint="eastAsia"/>
                <w:sz w:val="28"/>
                <w:szCs w:val="28"/>
              </w:rPr>
              <w:t>的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可酌情给分。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未制定相关登统计台账的不得分；登统计台账不全的酌情给分。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未建立本辖区“门前三包”“五长制”示范道路综合档案的不得分，综合档案内容不全面酌情给分</w:t>
            </w:r>
            <w:r w:rsidRPr="00F92F13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trHeight w:val="2610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建设内容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36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签订“门前三包”责任书。与示范道路临街门店、商家、企事业单位签订责任书，指导临街责任单位或责任人依据管理办法要求履行“三包”职责（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12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悬挂“门前三包”责任牌。为示范道路临街门店、商家、企事业单位悬挂责任牌，责任牌制式统一、要素齐全、美观大方，悬挂于醒目位置，要素包含责任牌名称、责任单位或个人、联系电话和星级评定区域（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12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制作“五长制”责任牌。制作示范道路街长、路长、巷长、楼长责任牌（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12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已建设的示范道路内签订“门前三包”责任书低于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80%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的不得分，签订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80%-90%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的得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3-6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分，签订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90%-100%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的得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6-12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已建设的示范道路内未悬挂“门前三包”责任牌的不得分，未以全区统一格式的、要素不齐全的酌情给分。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未制作“五长制”责任牌的不得分，“五长制”责任牌要素不齐全的酌情给分。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trHeight w:val="510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推进落实举措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15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加强宣传引导。运用电视、网络、广告牌和自媒体等方式做好政策法规、工作动态等宣传（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搞好机制融合。探索运用“门前三包”“五长制”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+“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马路办公”、“五长制”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+“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网格化”等方式充分融合“门前三包”责任制和“五长制”机能，实现效能倍增（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强化督导评定。组织机构成员要加强检查督促，做好“门前三包”星级评定和“五长”满意度调查等工作（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方案中没有宣传措施的不得分，宣传引导措施落实不全面的酌情给分。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门前三包”责任制和“五长制”融合效果不好的不得分。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未开展“门前三包”星级评定和“五长”满意度举措的不得分。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trHeight w:val="2190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强化社会监督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12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畅通“门前三包”“五长制”工作社会监督渠道，向社会公开监督投诉信箱、电话、网站等（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组织机构及时向社会及公众通报问题处置情况并积极整改（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未建立监督渠道不得分，建立监督渠道运用效果不好不得分。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对该项工作督办件、信访件或新闻媒体曝光事件处理不及时不得分。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trHeight w:val="247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创新举措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12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制定本辖区“门前三包”“五长制”相关政策规定，已制定的继续推行实施（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运用互联网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+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、物联网、大数据等智能化手段促进工作开展（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门前三包”“五长制”示范街道建设富有特色并取得实效（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未制定相关政策规定的不得分，原制定相关政策但结合辖区实际不紧的酌情给分。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未运用智能化手段的不得分。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门前三包”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+“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五长制”示范街道建设融合效果不好不得分。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jc w:val="center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加减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加分项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依托区高位协调机制，建立本辖区高位协调机制（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示范道路建设富有成效（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分）。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建立本辖区高位协调机制的加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建设任务推进快、效果好酌情加分。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F13" w:rsidRPr="00F92F13" w:rsidTr="00F92F13">
        <w:trPr>
          <w:jc w:val="center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2F13" w:rsidRPr="00F92F13" w:rsidRDefault="00F92F13" w:rsidP="00F92F1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2F13" w:rsidRPr="00F92F13" w:rsidRDefault="00F92F13" w:rsidP="00F92F13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减分项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被上级政府和主管部门通报批评的。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发现弄虚作假的。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年度建设任务排名在后三位的。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1.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建设任务推进中被通报批评的，每次扣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2.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发现弄虚作假的视情扣分。</w:t>
            </w:r>
          </w:p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ind w:firstLine="480"/>
              <w:rPr>
                <w:rFonts w:ascii="宋体" w:eastAsia="宋体" w:hAnsi="宋体" w:cs="宋体"/>
                <w:sz w:val="20"/>
                <w:szCs w:val="20"/>
              </w:rPr>
            </w:pPr>
            <w:r w:rsidRPr="00F92F13">
              <w:rPr>
                <w:rFonts w:ascii="宋体" w:eastAsia="宋体" w:hAnsi="宋体" w:cs="宋体"/>
                <w:sz w:val="28"/>
                <w:szCs w:val="28"/>
              </w:rPr>
              <w:t>3.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年度建设任务排在后三位的分别减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分、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2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分、</w:t>
            </w:r>
            <w:r w:rsidRPr="00F92F13">
              <w:rPr>
                <w:rFonts w:ascii="宋体" w:eastAsia="宋体" w:hAnsi="宋体" w:cs="宋体"/>
                <w:sz w:val="28"/>
                <w:szCs w:val="28"/>
              </w:rPr>
              <w:t>1</w:t>
            </w:r>
            <w:r w:rsidRPr="00F92F13">
              <w:rPr>
                <w:rFonts w:ascii="方正仿宋_GBK" w:eastAsia="方正仿宋_GBK" w:hAnsi="宋体" w:cs="宋体" w:hint="eastAsia"/>
                <w:sz w:val="28"/>
                <w:szCs w:val="28"/>
              </w:rPr>
              <w:t>分。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F13" w:rsidRPr="00F92F13" w:rsidRDefault="00F92F13" w:rsidP="00F92F13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F92F13" w:rsidRPr="00F92F13" w:rsidRDefault="00F92F13" w:rsidP="00F92F13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  <w:r w:rsidRPr="00F92F13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Default="007806B0" w:rsidP="00D31D50">
      <w:pPr>
        <w:spacing w:line="220" w:lineRule="atLeast"/>
        <w:rPr>
          <w:rFonts w:hint="eastAsia"/>
        </w:rPr>
      </w:pPr>
    </w:p>
    <w:p w:rsidR="007806B0" w:rsidRPr="007806B0" w:rsidRDefault="007806B0" w:rsidP="007806B0">
      <w:pPr>
        <w:adjustRightInd/>
        <w:snapToGrid/>
        <w:spacing w:before="100" w:beforeAutospacing="1" w:after="0" w:line="518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7806B0">
        <w:rPr>
          <w:rFonts w:ascii="方正小标宋_GBK" w:eastAsia="方正小标宋_GBK" w:hAnsi="Arial" w:cs="Arial" w:hint="eastAsia"/>
          <w:color w:val="000000"/>
          <w:sz w:val="44"/>
          <w:szCs w:val="44"/>
        </w:rPr>
        <w:lastRenderedPageBreak/>
        <w:t>江津区“门前三包”“五长制”示范道路建设标准</w:t>
      </w:r>
    </w:p>
    <w:tbl>
      <w:tblPr>
        <w:tblW w:w="872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84"/>
        <w:gridCol w:w="1134"/>
        <w:gridCol w:w="5954"/>
        <w:gridCol w:w="850"/>
      </w:tblGrid>
      <w:tr w:rsidR="007806B0" w:rsidRPr="007806B0" w:rsidTr="007806B0">
        <w:trPr>
          <w:trHeight w:val="19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项</w:t>
            </w:r>
            <w:r w:rsidRPr="007806B0">
              <w:rPr>
                <w:rFonts w:ascii="Calibri" w:eastAsia="宋体" w:hAnsi="Calibri" w:cs="Arial"/>
                <w:color w:val="000000"/>
                <w:sz w:val="28"/>
              </w:rPr>
              <w:t> </w:t>
            </w: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子</w:t>
            </w:r>
            <w:r w:rsidRPr="007806B0">
              <w:rPr>
                <w:rFonts w:ascii="Calibri" w:eastAsia="宋体" w:hAnsi="Calibri" w:cs="Arial"/>
                <w:color w:val="000000"/>
                <w:sz w:val="28"/>
              </w:rPr>
              <w:t> </w:t>
            </w: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标</w:t>
            </w:r>
            <w:r w:rsidRPr="007806B0">
              <w:rPr>
                <w:rFonts w:ascii="Calibri" w:eastAsia="宋体" w:hAnsi="Calibri" w:cs="Arial"/>
                <w:color w:val="000000"/>
                <w:sz w:val="28"/>
              </w:rPr>
              <w:t> </w:t>
            </w:r>
            <w:r w:rsidRPr="007806B0">
              <w:rPr>
                <w:rFonts w:ascii="方正黑体_GBK" w:eastAsia="方正黑体_GBK" w:hAnsi="宋体" w:cs="Arial" w:hint="eastAsia"/>
                <w:color w:val="000000"/>
                <w:sz w:val="28"/>
                <w:szCs w:val="28"/>
              </w:rPr>
              <w:t>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黑体_GBK" w:eastAsia="方正黑体_GBK" w:hAnsi="Arial" w:cs="Arial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806B0" w:rsidRPr="007806B0" w:rsidTr="007806B0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仿宋_GBK" w:eastAsia="方正仿宋_GBK" w:hAnsi="Arial" w:cs="Arial" w:hint="eastAsia"/>
                <w:color w:val="000000"/>
                <w:sz w:val="28"/>
                <w:szCs w:val="28"/>
              </w:rPr>
              <w:t>门前三包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垃圾容器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责任区垃圾容器规范摆放，并保持容器干净整洁。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规范经营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临街门店的经营者不得超出门、窗外墙摆卖、经营、作业或者展示商品。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非机动车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非机动车划线定点停放，摆放整齐。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人行坡道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禁止各单位商户在人行道站卧石间用混凝土、木材、钢材等材料设立坡道。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宣传条幅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无违规设置的非公益性宣传条幅横幅。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店招店牌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设置门面招牌实行一店一牌、一单位一牌；招牌悬挂标准；门面招牌污损、字体残缺、灯光显示不完整等影响市容的，应当及时维修或者更换。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外墙立面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墙面无明显污渍，无墙面刻画宣传，空调室外机悬挂规范；玻璃幕墙要定期清洗，保持整洁。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门店橱窗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门店橱窗定期清洗，保持整洁。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门前秩序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禁止在城市道路和其他公共场所的护栏、行道树、绿化带、电线杆、路牌等公共设施上晾晒、吊挂物品。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方正仿宋_GBK" w:eastAsia="方正仿宋_GBK" w:hAnsi="Arial" w:cs="Arial" w:hint="eastAsia"/>
                <w:color w:val="000000"/>
                <w:sz w:val="28"/>
                <w:szCs w:val="28"/>
              </w:rPr>
              <w:t>五长制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制定台账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细化工作职责，明确工作任务，分类制定“五长”工作台账。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构建网络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构建“全域覆盖、纵向到底、横向到边”的“五长”管理网络。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融合创新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建立“门前三包”</w:t>
            </w:r>
            <w:r w:rsidRPr="007806B0">
              <w:rPr>
                <w:rFonts w:ascii="Arial" w:eastAsia="宋体" w:hAnsi="Arial" w:cs="Arial"/>
                <w:color w:val="000000"/>
                <w:sz w:val="24"/>
                <w:szCs w:val="24"/>
              </w:rPr>
              <w:t>+“</w:t>
            </w: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五长制”融合责任制度机制。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目标任务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落实市容秩序、广告亮化、市政设施、空间立面、环境卫生、园林绿化、停车秩序、小区楼院、管理执法等工作任务，并建有工作档案。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机制建设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建立联动反应机制和其他社会管理手段联系机制，遇有问题科学及时有效处置。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7806B0" w:rsidRPr="007806B0" w:rsidTr="007806B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06B0" w:rsidRPr="007806B0" w:rsidRDefault="007806B0" w:rsidP="007806B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智慧管理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806B0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将智能化、数字化措施充分融入“五长制”管理工作。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6B0" w:rsidRPr="007806B0" w:rsidRDefault="007806B0" w:rsidP="007806B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7806B0" w:rsidRPr="007806B0" w:rsidRDefault="007806B0" w:rsidP="00D31D50">
      <w:pPr>
        <w:spacing w:line="220" w:lineRule="atLeast"/>
      </w:pPr>
    </w:p>
    <w:sectPr w:rsidR="007806B0" w:rsidRPr="007806B0" w:rsidSect="00780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5D92"/>
    <w:rsid w:val="007806B0"/>
    <w:rsid w:val="008B7726"/>
    <w:rsid w:val="00A11F7F"/>
    <w:rsid w:val="00D31D5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2F1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2F1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F92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4</cp:revision>
  <dcterms:created xsi:type="dcterms:W3CDTF">2008-09-11T17:20:00Z</dcterms:created>
  <dcterms:modified xsi:type="dcterms:W3CDTF">2021-12-08T06:42:00Z</dcterms:modified>
</cp:coreProperties>
</file>