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41B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重庆市江津区政务服务管理办公室</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p>
    <w:p w14:paraId="2F46E08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val="en-US" w:eastAsia="zh-CN"/>
        </w:rPr>
        <w:t>单位</w:t>
      </w:r>
      <w:bookmarkStart w:id="0" w:name="_GoBack"/>
      <w:bookmarkEnd w:id="0"/>
      <w:r>
        <w:rPr>
          <w:rFonts w:hint="eastAsia" w:ascii="方正小标宋_GBK" w:hAnsi="方正小标宋_GBK" w:eastAsia="方正小标宋_GBK" w:cs="方正小标宋_GBK"/>
          <w:sz w:val="44"/>
          <w:szCs w:val="44"/>
        </w:rPr>
        <w:t>决算公开说明</w:t>
      </w:r>
    </w:p>
    <w:p w14:paraId="0E7714FB">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sz w:val="32"/>
          <w:szCs w:val="32"/>
        </w:rPr>
      </w:pPr>
    </w:p>
    <w:p w14:paraId="019E17C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单位</w:t>
      </w:r>
      <w:r>
        <w:rPr>
          <w:rFonts w:hint="eastAsia" w:ascii="方正黑体_GBK" w:hAnsi="方正黑体_GBK" w:eastAsia="方正黑体_GBK" w:cs="方正黑体_GBK"/>
          <w:sz w:val="32"/>
          <w:szCs w:val="32"/>
        </w:rPr>
        <w:t>基本情况</w:t>
      </w:r>
    </w:p>
    <w:p w14:paraId="3FED7540">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1F8782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政务服务管理办公室的职能职责：1.贯彻落实党中央国务院、市委市政府、区委区政府转变政府职能和“放管服”改革有关方针政策，制定转变政府职能、优化政务服务、改善营商环境相应制度、办法、措施并组织实施，承担重庆市江津区人民政府推进政府职能转变和“放管服”改革协调小组办公室日常工作。2.负责牵头推进全区简政放权、放管结合、优化服务工作，完善政务服务管理体制，牵头推进营商环境建设。3.承担行政审批制度改革的组织、执行和指导职责。对区级各部门办理行政审批和公共服务事项的工作实施统一管理。承担重庆市江津区行政审批制度改革办公室日常工作。4.承担区级行政权力事项和公共服务事项清单管理工作，指导镇级行政权力事项和公共服务事项清单管理工作，牵头负责市级行政审批事项的承接、取消、调整工作；牵头负责对区级平台和各镇（街道）放权的审查、指导及运行情况评估工作；牵头建立事中事后监管机制。5.负责区、镇（街道）、村（社区）三级服务体系建设管理，统筹指导、督促区行政服务中心及分中心行政审批服务便民化工作，组织开展业务培训。牵头推进实体大厅规范化建设和网上大厅融合发展。6.负责开展政务服务标准化建设，指导、督促三级服务中心、政府职能部门落实政务服务事项、流程、服务、场所、监督检查评价标准。7.负责推进、指导、协调、监督全区的政府信息公开工作。8.负责全区政府系统电子政务发展和政务信息资源的规划、协调和指导，负责统筹全区电子政务外网网络、全区政务共享应用平台、区政府信息公开平台的建设管理，负责全区政府系统政务机房集约化的建设管理，统筹、指导各镇（街道）、政府各部门电子政务建设。9.负责推进“互联网+政务服务”，开展一体化政务服务平台建设，开展网上审批服务，对全区政务服务效能开展电子监察。10.负责全区服务群众工作中民生事项的研判、分析，统筹服务群众工作系统的运行管理。11.负责规范、健全全区政务服务、电子政务、政务公开的工作机制，开展日常监管和考核工作。受理有关政务服务、电子政务和政务公开的咨询、投诉、建议工作。12.完成区委、区政府交办的其他任务。</w:t>
      </w:r>
    </w:p>
    <w:p w14:paraId="5C5C7223">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单位构成</w:t>
      </w:r>
    </w:p>
    <w:p w14:paraId="0CD3AF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重庆市江津区政务服务管理办公室下属事业单位2个：重庆市江津区行政服务中心、重庆市江津区电子政务服务中心。</w:t>
      </w:r>
    </w:p>
    <w:p w14:paraId="5AC9FB6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重庆市江津区政务服务管理办公室设3个内设机构：综合科、政务服务管理科（重庆市江津区行政审批制度改革办公室）、效能监察科。</w:t>
      </w:r>
    </w:p>
    <w:p w14:paraId="686F45B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w:t>
      </w:r>
    </w:p>
    <w:p w14:paraId="2083E2A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（一）部门收支总体情况</w:t>
      </w:r>
    </w:p>
    <w:p w14:paraId="17BC1707">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1.收入支出总体情况。</w:t>
      </w:r>
      <w:r>
        <w:rPr>
          <w:rFonts w:hint="eastAsia" w:ascii="方正仿宋_GBK" w:hAnsi="方正仿宋_GBK" w:eastAsia="方正仿宋_GBK" w:cs="方正仿宋_GBK"/>
          <w:sz w:val="32"/>
          <w:szCs w:val="32"/>
        </w:rPr>
        <w:t>2023年度收入总计1463.32万元，支出总计1463.32万元。收支较上年决算数增加350.10万元，增长31.45%，主要原因是人员晋升，公积金社保基数调整，增加人员经费；因搬迁新政务大厅公用开支增加；2023年增加项目支出政务大厅物业管理费和食堂运行经费、疫情防控费用、设施尾款共计621.17万元，项目电子政务平台运维支出减少40万元，2022年有一次性项目购买疫情防控设施、五至十楼办公区域窗帘、工作人员工作服、软装类货物购置、弱电井空调购置、空气消毒机购置共计309.59万元</w:t>
      </w:r>
      <w:r>
        <w:rPr>
          <w:rFonts w:hint="eastAsia" w:ascii="方正仿宋_GBK" w:hAnsi="方正仿宋_GBK" w:eastAsia="方正仿宋_GBK" w:cs="方正仿宋_GBK"/>
          <w:sz w:val="32"/>
          <w:szCs w:val="32"/>
          <w:lang w:eastAsia="zh-CN"/>
        </w:rPr>
        <w:t>。</w:t>
      </w:r>
    </w:p>
    <w:p w14:paraId="0081088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1463.32万元，较上年决算数增加363.70万元，增长33.08%，主要原因是人员晋升，公积金社保基数调整，增加人员经费；因搬迁新政务大厅公用开支增加；2023年增加项目支出政务大厅物业管理费和食堂运行经费、疫情防控费用、设施尾款共计621.17万元，项目电子政务平台运维支出减少40万元，2022年有一次性项目购买疫情防控设施、五至十楼办公区域窗帘、工作人员工作服、软装类货物购置、弱电井空调购置、空气消毒机购置共计309.59万元，且2022年优化营商环境培训为存量资金再安排费用未纳入本年收入。其中：财政拨款收入1463.32万元，占100.00%；事业收入0.00万元，占0.00%；经营收入0.00万元，占0.00%；其他收入0.00万元，占0.00%。此外，使用非财政拨款结余和专用结余0.00万元，年初结转和结余0.00万元。</w:t>
      </w:r>
    </w:p>
    <w:p w14:paraId="0ADD6950">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1463.32万元，较上年决算数增加350.10万元，增长31.45%，主要原因是.人员晋升，公积金社保基数调整，增加人员经费；因搬迁新政务大厅公用开支增加；2023年增加项目支出政务大厅物业管理费和食堂运行经费、疫情防控费用、设施尾款共计621.17万元，项目电子政务平台运维支出减少40万元，2022年有一次性项目购买疫情防控设施、五至十楼办公区域窗帘、工作人员工作服、软装类货物购置、弱电井空调购置、空气消毒机购置共计309.59万元。其中：基本支出274.64万元，占18.77%；项目支出1188.68万元，占81.23%；经营支出0.00万元，占0.00%。此外，结余分配0.00万元。</w:t>
      </w:r>
    </w:p>
    <w:p w14:paraId="70AAF8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。2023年度年末结转和结余0.00万元，较上年决算数无增减。</w:t>
      </w:r>
    </w:p>
    <w:p w14:paraId="47A28F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（二）财政拨款收支总体情况</w:t>
      </w:r>
    </w:p>
    <w:p w14:paraId="5ACAF7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财政拨款收、支总计1463.32万元。与2022年相比，财政拨款收、支总计各增加350.10万元，增长31.45%。主要原因是人员晋升，公积金社保基数调整，增加人员经费；因搬迁新政务大厅公用开支增加；2023年增加项目支出政务大厅物业管理费和食堂运行经费、疫情防控费用、设施尾款共计621.17万元，项目电子政务平台运维支出减少40万元，2022年有一次性项目购买疫情防控设施、五至十楼办公区域窗帘、工作人员工作服、软装类货物购置、弱电井空调购置、空气消毒机购置共计309.59万元</w:t>
      </w:r>
      <w:r>
        <w:rPr>
          <w:rFonts w:hint="eastAsia" w:ascii="方正仿宋_GBK" w:hAnsi="方正仿宋_GBK" w:eastAsia="方正仿宋_GBK" w:cs="方正仿宋_GBK"/>
          <w:sz w:val="32"/>
          <w:szCs w:val="32"/>
          <w:lang w:eastAsia="zh-CN"/>
        </w:rPr>
        <w:t>。</w:t>
      </w:r>
    </w:p>
    <w:p w14:paraId="1193EB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（三）一般公共预算财政拨款收支总体情况</w:t>
      </w:r>
    </w:p>
    <w:p w14:paraId="620FA9B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1463.32万元，较上年决算数增加363.70万元，增长33.08%。主要原因是人员晋升，公积金社保基数调整，增加人员经费；因搬迁新政务大厅公用开支增加；2023年增加项目支出政务大厅物业管理费和食堂运行经费、疫情防控费用、设施尾款共计621.17万元，项目电子政务平台运维支出减少40万元，2022年有一次性项目购买疫情防控设施、五至十楼办公区域窗帘、工作人员工作服、软装类货物购置、弱电井空调购置、空气消毒机购置共计309.59万元，且2022年优化营商环境培训为存量资金再安排费用未纳入本年收入。较年初预算数增加78.02万元，增长5.63%。主要原因是年中追加项目支出政务大厅日常运转经费53万元、滨江商务大厦（新政务大厅）食堂运行经费30万元、滨江商务大厦（新政务大厅）物业管理费100万元，优化营商环境专题培训班费用14.99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追减部分项目经费。</w:t>
      </w:r>
      <w:r>
        <w:rPr>
          <w:rFonts w:hint="eastAsia" w:ascii="方正仿宋_GBK" w:hAnsi="方正仿宋_GBK" w:eastAsia="方正仿宋_GBK" w:cs="方正仿宋_GBK"/>
          <w:sz w:val="32"/>
          <w:szCs w:val="32"/>
        </w:rPr>
        <w:t>此外，年初财政拨款结转和结余0.00万元。</w:t>
      </w:r>
    </w:p>
    <w:p w14:paraId="4C7DD8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
          <w:bCs/>
          <w:sz w:val="32"/>
          <w:szCs w:val="32"/>
        </w:rPr>
        <w:t>支出情况</w:t>
      </w:r>
      <w:r>
        <w:rPr>
          <w:rFonts w:hint="eastAsia" w:ascii="方正仿宋_GBK" w:hAnsi="方正仿宋_GBK" w:eastAsia="方正仿宋_GBK" w:cs="方正仿宋_GBK"/>
          <w:sz w:val="32"/>
          <w:szCs w:val="32"/>
        </w:rPr>
        <w:t>。2023年度一般公共预算财政拨款支出1463.32万元，较上年决算数增加350.10万元，增长31.45%。主要原因是人员晋升，公积金社保基数调整，增加人员经费；因搬迁新政务大厅公用开支增加；2023年增加项目支出政务大厅物业管理费和食堂运行经费、疫情防控费用、设施尾款共计621.17万元，项目电子政务平台运维支出减少40万元，2022年有一次性项目购买疫情防控设施、五至十楼办公区域窗帘、工作人员工作服、软装类货物购置、弱电井空调购置、空气消毒机购置共计309.59万元。较年初预算数增加78.02万元，增长5.63%。主要原因是年中追加项目支出政务大厅日常运转经费53万元、滨江商务大厦（新政务大厅）食堂运行经费30万元、滨江商务大厦（新政务大厅）物业管理费100万元，优化营商环境专题培训班费用14.99万元，追减部分项目经费。</w:t>
      </w:r>
    </w:p>
    <w:p w14:paraId="53BDFA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。2023年度年末一般公共预算财政拨款结转和结余0.00万元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较上年决算数无增减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我办无年末结转结余资金</w:t>
      </w:r>
      <w:r>
        <w:rPr>
          <w:rFonts w:hint="eastAsia" w:ascii="方正仿宋_GBK" w:hAnsi="方正仿宋_GBK" w:eastAsia="方正仿宋_GBK" w:cs="方正仿宋_GBK"/>
          <w:sz w:val="32"/>
          <w:szCs w:val="32"/>
        </w:rPr>
        <w:t>。</w:t>
      </w:r>
    </w:p>
    <w:p w14:paraId="3DFCCB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b/>
          <w:bCs/>
          <w:sz w:val="32"/>
          <w:szCs w:val="32"/>
        </w:rPr>
        <w:t>比较情况</w:t>
      </w:r>
      <w:r>
        <w:rPr>
          <w:rFonts w:hint="eastAsia" w:ascii="方正仿宋_GBK" w:hAnsi="方正仿宋_GBK" w:eastAsia="方正仿宋_GBK" w:cs="方正仿宋_GBK"/>
          <w:sz w:val="32"/>
          <w:szCs w:val="32"/>
        </w:rPr>
        <w:t>。本部门2023年度一般公共预算财政拨款支出主要用于以下几个方面：</w:t>
      </w:r>
    </w:p>
    <w:p w14:paraId="63A9C2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1396.45万元，占95.43%，较年初预算数增加77.11万元，增长5.84%，主要原因是年中追加项目支出政务大厅日常运转经费53万元、滨江商务大厦（新政务大厅）食堂运行经费30万元、滨江商务大厦（新政务大厅）物业管理费100万元，优化营商环境专题培训班费用14.99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追减部分项目经费</w:t>
      </w:r>
      <w:r>
        <w:rPr>
          <w:rFonts w:hint="eastAsia" w:ascii="方正仿宋_GBK" w:hAnsi="方正仿宋_GBK" w:eastAsia="方正仿宋_GBK" w:cs="方正仿宋_GBK"/>
          <w:sz w:val="32"/>
          <w:szCs w:val="32"/>
        </w:rPr>
        <w:t>；人员晋升追加人员经费。</w:t>
      </w:r>
    </w:p>
    <w:p w14:paraId="54A85E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）教育支出1.28万元，占0.09%，较年初预算数无增减，主要原因是</w:t>
      </w:r>
      <w:r>
        <w:rPr>
          <w:rFonts w:hint="eastAsia" w:ascii="方正仿宋_GBK" w:hAnsi="方正仿宋_GBK" w:eastAsia="方正仿宋_GBK" w:cs="方正仿宋_GBK"/>
          <w:sz w:val="32"/>
          <w:szCs w:val="32"/>
          <w:lang w:val="en-US" w:eastAsia="zh-CN"/>
        </w:rPr>
        <w:t>与年初预算支出持平</w:t>
      </w:r>
      <w:r>
        <w:rPr>
          <w:rFonts w:hint="eastAsia" w:ascii="方正仿宋_GBK" w:hAnsi="方正仿宋_GBK" w:eastAsia="方正仿宋_GBK" w:cs="方正仿宋_GBK"/>
          <w:sz w:val="32"/>
          <w:szCs w:val="32"/>
        </w:rPr>
        <w:t>。</w:t>
      </w:r>
    </w:p>
    <w:p w14:paraId="40794F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）社会保障与就业支出35.51万元，占2.43%，较年初预算数增加0.91万元，增长2.63%，主要原因是</w:t>
      </w:r>
      <w:r>
        <w:rPr>
          <w:rFonts w:hint="eastAsia" w:ascii="方正仿宋_GBK" w:hAnsi="方正仿宋_GBK" w:eastAsia="方正仿宋_GBK" w:cs="方正仿宋_GBK"/>
          <w:sz w:val="32"/>
          <w:szCs w:val="32"/>
          <w:lang w:val="en-US" w:eastAsia="zh-CN"/>
        </w:rPr>
        <w:t>追加退休人员2021年健康休养费补发</w:t>
      </w:r>
      <w:r>
        <w:rPr>
          <w:rFonts w:hint="eastAsia" w:ascii="方正仿宋_GBK" w:hAnsi="方正仿宋_GBK" w:eastAsia="方正仿宋_GBK" w:cs="方正仿宋_GBK"/>
          <w:sz w:val="32"/>
          <w:szCs w:val="32"/>
        </w:rPr>
        <w:t>。</w:t>
      </w:r>
    </w:p>
    <w:p w14:paraId="21EA3E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）卫生健康支出11.93万元，占0.82%，较年初预算数无增减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主要原因是与年初预算支出持平</w:t>
      </w:r>
      <w:r>
        <w:rPr>
          <w:rFonts w:hint="eastAsia" w:ascii="方正仿宋_GBK" w:hAnsi="方正仿宋_GBK" w:eastAsia="方正仿宋_GBK" w:cs="方正仿宋_GBK"/>
          <w:sz w:val="32"/>
          <w:szCs w:val="32"/>
          <w:lang w:eastAsia="zh-CN"/>
        </w:rPr>
        <w:t>。</w:t>
      </w:r>
    </w:p>
    <w:p w14:paraId="74D0B1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）住房保障支出18.15万元，占1.24%，较年初预算数无增减，主要原因是</w:t>
      </w:r>
      <w:r>
        <w:rPr>
          <w:rFonts w:hint="eastAsia" w:ascii="方正仿宋_GBK" w:hAnsi="方正仿宋_GBK" w:eastAsia="方正仿宋_GBK" w:cs="方正仿宋_GBK"/>
          <w:sz w:val="32"/>
          <w:szCs w:val="32"/>
          <w:lang w:val="en-US" w:eastAsia="zh-CN"/>
        </w:rPr>
        <w:t>与年初预算支出持平</w:t>
      </w:r>
      <w:r>
        <w:rPr>
          <w:rFonts w:hint="eastAsia" w:ascii="方正仿宋_GBK" w:hAnsi="方正仿宋_GBK" w:eastAsia="方正仿宋_GBK" w:cs="方正仿宋_GBK"/>
          <w:sz w:val="32"/>
          <w:szCs w:val="32"/>
        </w:rPr>
        <w:t>。</w:t>
      </w:r>
    </w:p>
    <w:p w14:paraId="739E85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（四）一般公共预算财政拨款基本支出情况</w:t>
      </w:r>
    </w:p>
    <w:p w14:paraId="787898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274.64万元。其中：人员经费232.10万元，较上年决算数增加69.24万元，增长42.52%，主要原因是人员晋升，公积金社保基数调整，增加人员经费。人员经费用途主要包括基本工资、津贴补贴、奖金、机关事业单位基本养老保险缴费、职业年金缴费、社会保障缴费、住房公积金、其他工资福利支出等。公用经费42.54万元，较上年决算数增加12.05万元，增长39.52%，主要原因是因搬迁新政务大厅公用开支增加。公用经费用途主要包括办公费、水费、电费、邮电费、差旅费、维修费、培训费、公务接待费、劳务费、</w:t>
      </w:r>
      <w:r>
        <w:rPr>
          <w:rFonts w:hint="eastAsia" w:ascii="方正仿宋_GBK" w:hAnsi="方正仿宋_GBK" w:eastAsia="方正仿宋_GBK" w:cs="方正仿宋_GBK"/>
          <w:sz w:val="32"/>
          <w:szCs w:val="32"/>
          <w:lang w:val="en-US" w:eastAsia="zh-CN"/>
        </w:rPr>
        <w:t>福利费、</w:t>
      </w:r>
      <w:r>
        <w:rPr>
          <w:rFonts w:hint="eastAsia" w:ascii="方正仿宋_GBK" w:hAnsi="方正仿宋_GBK" w:eastAsia="方正仿宋_GBK" w:cs="方正仿宋_GBK"/>
          <w:sz w:val="32"/>
          <w:szCs w:val="32"/>
        </w:rPr>
        <w:t>工会经费、其他交通费用、其他商品和服务支出。</w:t>
      </w:r>
    </w:p>
    <w:p w14:paraId="782D3A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w:t>
      </w:r>
    </w:p>
    <w:p w14:paraId="4967D3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本部门2023年度无政府性基金预算财政拨款收支。</w:t>
      </w:r>
    </w:p>
    <w:p w14:paraId="484186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w:t>
      </w:r>
    </w:p>
    <w:p w14:paraId="16481A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本部门2023年度无国有资本经营预算财政拨款支出。</w:t>
      </w:r>
    </w:p>
    <w:p w14:paraId="0F11D4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w:t>
      </w:r>
    </w:p>
    <w:p w14:paraId="16A13A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w:t>
      </w:r>
    </w:p>
    <w:p w14:paraId="267047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2023年度“三公”经费支出共计0.44万元，较年初预算数减少0.56万元，下降56.00%，主要原因是一是认真贯彻落实中央八项规定精神，按照只减不增的要求从严控制“三公”经费，全年实际支出较预算有所下降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是强化公务接待支出管理，严格遵守公务接待开支范围和开支标准，严格控制陪餐人数，对应由接待对象承担的费用一律由接待对象自行支付。较上年支出数减少0.24万元，下降35.29%，主要原因是接待人数较2022年减少，相应费用减少。</w:t>
      </w:r>
    </w:p>
    <w:p w14:paraId="13C605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37477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因公出国（境）费用0.00万元，费用支出与年初预算数持平；与上年支出数持平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无因公出国（境）计划</w:t>
      </w:r>
      <w:r>
        <w:rPr>
          <w:rFonts w:hint="eastAsia" w:ascii="方正仿宋_GBK" w:hAnsi="方正仿宋_GBK" w:eastAsia="方正仿宋_GBK" w:cs="方正仿宋_GBK"/>
          <w:sz w:val="32"/>
          <w:szCs w:val="32"/>
        </w:rPr>
        <w:t>。</w:t>
      </w:r>
    </w:p>
    <w:p w14:paraId="1D7489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无公务车购置计划</w:t>
      </w:r>
      <w:r>
        <w:rPr>
          <w:rFonts w:hint="eastAsia" w:ascii="方正仿宋_GBK" w:hAnsi="方正仿宋_GBK" w:eastAsia="方正仿宋_GBK" w:cs="方正仿宋_GBK"/>
          <w:sz w:val="32"/>
          <w:szCs w:val="32"/>
        </w:rPr>
        <w:t>。</w:t>
      </w:r>
    </w:p>
    <w:p w14:paraId="6D58EB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公务车运行维护费0.00万元。费用支出较年初预算数无增减，较上年支出数无增减，主要原因是</w:t>
      </w:r>
      <w:r>
        <w:rPr>
          <w:rFonts w:hint="eastAsia" w:ascii="方正仿宋_GBK" w:hAnsi="方正仿宋_GBK" w:eastAsia="方正仿宋_GBK" w:cs="方正仿宋_GBK"/>
          <w:sz w:val="32"/>
          <w:szCs w:val="32"/>
          <w:lang w:val="en-US" w:eastAsia="zh-CN"/>
        </w:rPr>
        <w:t>政务服务办本级单位无公务车</w:t>
      </w:r>
      <w:r>
        <w:rPr>
          <w:rFonts w:hint="eastAsia" w:ascii="方正仿宋_GBK" w:hAnsi="方正仿宋_GBK" w:eastAsia="方正仿宋_GBK" w:cs="方正仿宋_GBK"/>
          <w:sz w:val="32"/>
          <w:szCs w:val="32"/>
        </w:rPr>
        <w:t>。</w:t>
      </w:r>
    </w:p>
    <w:p w14:paraId="68C4EB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0.44万元，主要用于接待重庆各区县到我单位考察学习工作发生的接待支出。费用支出较年初预算数减少0.86万元，下降66.15%，主要原因是强化公务接待支出管理，严格遵守公务接待开支范围和开支标准，严格控制陪餐人数，对应由接待对象承担的费用一律由接待对象自行支付。较上年支出数减少0.24万元，下降35.29%，主要原因是接待人数较2022年减少，相应费用减少。</w:t>
      </w:r>
    </w:p>
    <w:p w14:paraId="0282E4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3C87AD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部门因公出国（境）共计0个团组，0人；公务用车购置0辆，公务车保有量为0辆；国内公务接待3批次52人，其中：国内外事接待0批次，0人；国（境）外公务接待0批次，0人。2023年本部门人均接待费84.75元，车均购置费0万元，车均维护费0万元。</w:t>
      </w:r>
    </w:p>
    <w:p w14:paraId="35C5ED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173A4B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（一）机关运行经费情况</w:t>
      </w:r>
    </w:p>
    <w:p w14:paraId="4D886DB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2023年度本部门机关运行经费支出42.54万元，较上年支出数增加12.05万元，增长39.52%，主要原因是因搬迁新政务大厅公用开支增加。比年初预算数</w:t>
      </w:r>
      <w:r>
        <w:rPr>
          <w:rFonts w:hint="eastAsia" w:ascii="方正仿宋_GBK" w:hAnsi="方正仿宋_GBK" w:eastAsia="方正仿宋_GBK" w:cs="方正仿宋_GBK"/>
          <w:sz w:val="32"/>
          <w:szCs w:val="32"/>
          <w:lang w:val="en-US" w:eastAsia="zh-CN"/>
        </w:rPr>
        <w:t>减少4.71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下降9.97</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使用公用经费弥补人员经费</w:t>
      </w:r>
      <w:r>
        <w:rPr>
          <w:rFonts w:hint="eastAsia" w:ascii="方正仿宋_GBK" w:hAnsi="方正仿宋_GBK" w:eastAsia="方正仿宋_GBK" w:cs="方正仿宋_GBK"/>
          <w:sz w:val="32"/>
          <w:szCs w:val="32"/>
        </w:rPr>
        <w:t>。机关运行经费主要用于开支办公费、印刷费、水费、电费、邮电费、差旅费、维修费、培训费、公务接待费、劳务费、工会经费、福利费、其他交通费用、其他商品和服务支出。</w:t>
      </w:r>
    </w:p>
    <w:p w14:paraId="2939E20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本年度会议费支出0.84万元，较上年决算数减少1.54万元，下降64.71%，主要原因是相较2022年，2023年会议次数减少，相应减少会议费。</w:t>
      </w:r>
    </w:p>
    <w:p w14:paraId="1C02EBE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本年度培训费支出20.11万元，较上年决算数增加5.63万元，增长38.88%，主要原因是政务办2023年党支部开展到湖南培训学习，增加培训费</w:t>
      </w:r>
      <w:r>
        <w:rPr>
          <w:rFonts w:hint="eastAsia" w:ascii="方正仿宋_GBK" w:hAnsi="方正仿宋_GBK" w:eastAsia="方正仿宋_GBK" w:cs="方正仿宋_GBK"/>
          <w:sz w:val="32"/>
          <w:szCs w:val="32"/>
          <w:lang w:eastAsia="zh-CN"/>
        </w:rPr>
        <w:t>。</w:t>
      </w:r>
    </w:p>
    <w:p w14:paraId="139E43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）国有资产占用情况说明</w:t>
      </w:r>
    </w:p>
    <w:p w14:paraId="790FF7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14:paraId="70DFC6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）政府采购支出说明</w:t>
      </w:r>
    </w:p>
    <w:p w14:paraId="5BA608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部门政府采购支出总额1111.07万元，其中：政府采购货物支出0.00万元、政府采购工程支出0.00万元、政府采购服务支出1111.07万元。授予中小企业合同金额264.60万元，占政府采购支出总额的23.81%，其中：授予小微企业合同金额122.00万元，占政府采购支出总额的10.98 %。主要用于采购</w:t>
      </w:r>
      <w:r>
        <w:rPr>
          <w:rFonts w:hint="eastAsia" w:ascii="方正仿宋_GBK" w:hAnsi="方正仿宋_GBK" w:eastAsia="方正仿宋_GBK" w:cs="方正仿宋_GBK"/>
          <w:sz w:val="32"/>
          <w:szCs w:val="32"/>
          <w:lang w:val="en-US" w:eastAsia="zh-CN"/>
        </w:rPr>
        <w:t>江津区政务服务中心物业服务，供配电、弱电及给排水维护保养服务，江津区政府网站运维和优化服务</w:t>
      </w:r>
      <w:r>
        <w:rPr>
          <w:rFonts w:hint="eastAsia" w:ascii="方正仿宋_GBK" w:hAnsi="方正仿宋_GBK" w:eastAsia="方正仿宋_GBK" w:cs="方正仿宋_GBK"/>
          <w:sz w:val="32"/>
          <w:szCs w:val="32"/>
        </w:rPr>
        <w:t>。</w:t>
      </w:r>
    </w:p>
    <w:p w14:paraId="3FB2CA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w:t>
      </w:r>
    </w:p>
    <w:p w14:paraId="0EC4511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（一）预算绩效管理工作开展情况</w:t>
      </w:r>
    </w:p>
    <w:p w14:paraId="65BAA9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根据预算绩效管理要求，我</w:t>
      </w:r>
      <w:r>
        <w:rPr>
          <w:rFonts w:hint="eastAsia" w:ascii="方正仿宋_GBK" w:hAnsi="方正仿宋_GBK" w:eastAsia="方正仿宋_GBK" w:cs="方正仿宋_GBK"/>
          <w:sz w:val="32"/>
          <w:szCs w:val="32"/>
          <w:lang w:val="en-US" w:eastAsia="zh-CN"/>
        </w:rPr>
        <w:t>办对13</w:t>
      </w:r>
      <w:r>
        <w:rPr>
          <w:rFonts w:hint="eastAsia" w:ascii="方正仿宋_GBK" w:hAnsi="方正仿宋_GBK" w:eastAsia="方正仿宋_GBK" w:cs="方正仿宋_GBK"/>
          <w:sz w:val="32"/>
          <w:szCs w:val="32"/>
        </w:rPr>
        <w:t>个项目开展了绩效自评，其中，以填报目标自评表形式开展自评</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sz w:val="32"/>
          <w:szCs w:val="32"/>
          <w:lang w:val="en-US" w:eastAsia="zh-CN"/>
        </w:rPr>
        <w:t>1188.68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13DCCE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（二）绩效自评结果</w:t>
      </w:r>
    </w:p>
    <w:p w14:paraId="3706E9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 xml:space="preserve"> 绩效目标自评表</w:t>
      </w:r>
    </w:p>
    <w:p w14:paraId="19F10D5D">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2023年度项目绩效自评表</w:t>
      </w:r>
    </w:p>
    <w:tbl>
      <w:tblPr>
        <w:tblStyle w:val="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1F6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317FE2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06BCF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14:paraId="5ACCB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滨江商务大厦（新政务大厅）物业管理费</w:t>
            </w:r>
            <w:r>
              <w:rPr>
                <w:rFonts w:hint="eastAsia" w:ascii="宋体" w:hAnsi="宋体" w:eastAsia="方正仿宋_GBK" w:cs="方正仿宋_GBK"/>
                <w:color w:val="000000"/>
                <w:kern w:val="0"/>
                <w:sz w:val="24"/>
                <w:szCs w:val="24"/>
              </w:rPr>
              <w:tab/>
            </w:r>
          </w:p>
        </w:tc>
        <w:tc>
          <w:tcPr>
            <w:tcW w:w="1236" w:type="dxa"/>
            <w:gridSpan w:val="2"/>
            <w:tcBorders>
              <w:tl2br w:val="nil"/>
              <w:tr2bl w:val="nil"/>
            </w:tcBorders>
            <w:noWrap w:val="0"/>
            <w:vAlign w:val="center"/>
          </w:tcPr>
          <w:p w14:paraId="76DDB7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53649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6B79E0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14:paraId="117DBB0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r>
              <w:rPr>
                <w:rFonts w:hint="eastAsia" w:ascii="宋体" w:hAnsi="宋体" w:eastAsia="方正仿宋_GBK" w:cs="方正仿宋_GBK"/>
                <w:color w:val="000000"/>
                <w:kern w:val="0"/>
                <w:sz w:val="24"/>
                <w:szCs w:val="24"/>
              </w:rPr>
              <w:tab/>
            </w:r>
          </w:p>
        </w:tc>
      </w:tr>
      <w:tr w14:paraId="4026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2A30E2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766932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3D805F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r>
              <w:rPr>
                <w:rFonts w:hint="eastAsia" w:ascii="宋体" w:hAnsi="宋体" w:eastAsia="方正仿宋_GBK" w:cs="方正仿宋_GBK"/>
                <w:color w:val="000000"/>
                <w:kern w:val="0"/>
                <w:sz w:val="24"/>
                <w:szCs w:val="24"/>
              </w:rPr>
              <w:tab/>
            </w:r>
          </w:p>
        </w:tc>
        <w:tc>
          <w:tcPr>
            <w:tcW w:w="1075" w:type="dxa"/>
            <w:gridSpan w:val="2"/>
            <w:tcBorders>
              <w:tl2br w:val="nil"/>
              <w:tr2bl w:val="nil"/>
            </w:tcBorders>
            <w:noWrap w:val="0"/>
            <w:vAlign w:val="center"/>
          </w:tcPr>
          <w:p w14:paraId="155A0C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14:paraId="65109C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r>
              <w:rPr>
                <w:rFonts w:hint="eastAsia" w:ascii="宋体" w:hAnsi="宋体" w:eastAsia="方正仿宋_GBK" w:cs="方正仿宋_GBK"/>
                <w:color w:val="000000"/>
                <w:kern w:val="0"/>
                <w:sz w:val="24"/>
                <w:szCs w:val="24"/>
              </w:rPr>
              <w:tab/>
            </w:r>
          </w:p>
        </w:tc>
        <w:tc>
          <w:tcPr>
            <w:tcW w:w="1236" w:type="dxa"/>
            <w:gridSpan w:val="2"/>
            <w:tcBorders>
              <w:tl2br w:val="nil"/>
              <w:tr2bl w:val="nil"/>
            </w:tcBorders>
            <w:noWrap w:val="0"/>
            <w:vAlign w:val="center"/>
          </w:tcPr>
          <w:p w14:paraId="734A38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E59A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14:paraId="1C43B4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李伟</w:t>
            </w:r>
            <w:r>
              <w:rPr>
                <w:rFonts w:hint="eastAsia" w:ascii="宋体" w:hAnsi="宋体" w:eastAsia="方正仿宋_GBK" w:cs="方正仿宋_GBK"/>
                <w:color w:val="000000"/>
                <w:kern w:val="0"/>
                <w:sz w:val="24"/>
                <w:szCs w:val="24"/>
              </w:rPr>
              <w:tab/>
            </w:r>
          </w:p>
        </w:tc>
        <w:tc>
          <w:tcPr>
            <w:tcW w:w="1092" w:type="dxa"/>
            <w:tcBorders>
              <w:tl2br w:val="nil"/>
              <w:tr2bl w:val="nil"/>
            </w:tcBorders>
            <w:noWrap w:val="0"/>
            <w:vAlign w:val="center"/>
          </w:tcPr>
          <w:p w14:paraId="4F64C2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14:paraId="5694F2A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18100866815</w:t>
            </w:r>
          </w:p>
        </w:tc>
      </w:tr>
      <w:tr w14:paraId="4CBE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1301AF0E">
            <w:pPr>
              <w:keepNext w:val="0"/>
              <w:keepLines w:val="0"/>
              <w:pageBreakBefore w:val="0"/>
              <w:widowControl/>
              <w:kinsoku/>
              <w:wordWrap/>
              <w:overflowPunct/>
              <w:topLinePunct w:val="0"/>
              <w:autoSpaceDE/>
              <w:autoSpaceDN/>
              <w:bidi w:val="0"/>
              <w:adjustRightInd/>
              <w:snapToGrid/>
              <w:spacing w:line="360"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55638A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75D22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3BD1B4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14:paraId="2C462E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14:paraId="6FF9CB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14:paraId="207EBF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BB8FB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14:paraId="07DD8A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30C6E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14:paraId="4B06CC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63D5D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4AD78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22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636D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30D0C1E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7E35E7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192.8</w:t>
            </w:r>
          </w:p>
        </w:tc>
        <w:tc>
          <w:tcPr>
            <w:tcW w:w="1162" w:type="dxa"/>
            <w:gridSpan w:val="2"/>
            <w:tcBorders>
              <w:tl2br w:val="nil"/>
              <w:tr2bl w:val="nil"/>
            </w:tcBorders>
            <w:noWrap w:val="0"/>
            <w:vAlign w:val="center"/>
          </w:tcPr>
          <w:p w14:paraId="5B532B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2316" w:type="dxa"/>
            <w:gridSpan w:val="3"/>
            <w:tcBorders>
              <w:tl2br w:val="nil"/>
              <w:tr2bl w:val="nil"/>
            </w:tcBorders>
            <w:noWrap w:val="0"/>
            <w:vAlign w:val="center"/>
          </w:tcPr>
          <w:p w14:paraId="097723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1092" w:type="dxa"/>
            <w:tcBorders>
              <w:tl2br w:val="nil"/>
              <w:tr2bl w:val="nil"/>
            </w:tcBorders>
            <w:noWrap w:val="0"/>
            <w:vAlign w:val="center"/>
          </w:tcPr>
          <w:p w14:paraId="10362D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c>
          <w:tcPr>
            <w:tcW w:w="938" w:type="dxa"/>
            <w:tcBorders>
              <w:tl2br w:val="nil"/>
              <w:tr2bl w:val="nil"/>
            </w:tcBorders>
            <w:noWrap w:val="0"/>
            <w:vAlign w:val="center"/>
          </w:tcPr>
          <w:p w14:paraId="1C51A8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kern w:val="0"/>
                <w:sz w:val="24"/>
                <w:szCs w:val="24"/>
                <w:lang w:val="en-US" w:eastAsia="zh-CN"/>
              </w:rPr>
            </w:pPr>
          </w:p>
        </w:tc>
        <w:tc>
          <w:tcPr>
            <w:tcW w:w="1238" w:type="dxa"/>
            <w:gridSpan w:val="2"/>
            <w:tcBorders>
              <w:tl2br w:val="nil"/>
              <w:tr2bl w:val="nil"/>
            </w:tcBorders>
            <w:noWrap w:val="0"/>
            <w:vAlign w:val="center"/>
          </w:tcPr>
          <w:p w14:paraId="215FE2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r>
      <w:tr w14:paraId="1E7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28B3A4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622506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2384A39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50F96A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192.8</w:t>
            </w:r>
          </w:p>
        </w:tc>
        <w:tc>
          <w:tcPr>
            <w:tcW w:w="1162" w:type="dxa"/>
            <w:gridSpan w:val="2"/>
            <w:tcBorders>
              <w:tl2br w:val="nil"/>
              <w:tr2bl w:val="nil"/>
            </w:tcBorders>
            <w:noWrap w:val="0"/>
            <w:vAlign w:val="center"/>
          </w:tcPr>
          <w:p w14:paraId="7E883E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2316" w:type="dxa"/>
            <w:gridSpan w:val="3"/>
            <w:tcBorders>
              <w:tl2br w:val="nil"/>
              <w:tr2bl w:val="nil"/>
            </w:tcBorders>
            <w:noWrap w:val="0"/>
            <w:vAlign w:val="center"/>
          </w:tcPr>
          <w:p w14:paraId="1E3E97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292.8</w:t>
            </w:r>
          </w:p>
        </w:tc>
        <w:tc>
          <w:tcPr>
            <w:tcW w:w="1092" w:type="dxa"/>
            <w:tcBorders>
              <w:tl2br w:val="nil"/>
              <w:tr2bl w:val="nil"/>
            </w:tcBorders>
            <w:noWrap w:val="0"/>
            <w:vAlign w:val="center"/>
          </w:tcPr>
          <w:p w14:paraId="015B2E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tcBorders>
              <w:tl2br w:val="nil"/>
              <w:tr2bl w:val="nil"/>
            </w:tcBorders>
            <w:noWrap w:val="0"/>
            <w:vAlign w:val="center"/>
          </w:tcPr>
          <w:p w14:paraId="161AD2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14:paraId="263A1F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7CB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3E550E7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14:paraId="38A5CC7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14:paraId="102BE5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14:paraId="6E6E060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322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47" w:type="dxa"/>
            <w:vMerge w:val="continue"/>
            <w:tcBorders>
              <w:tl2br w:val="nil"/>
              <w:tr2bl w:val="nil"/>
            </w:tcBorders>
            <w:noWrap w:val="0"/>
            <w:vAlign w:val="center"/>
          </w:tcPr>
          <w:p w14:paraId="6D21802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14:paraId="4224D7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保障政务大厅日常运转</w:t>
            </w:r>
            <w:r>
              <w:rPr>
                <w:rFonts w:hint="eastAsia" w:ascii="宋体" w:hAnsi="宋体" w:eastAsia="方正仿宋_GBK" w:cs="方正仿宋_GBK"/>
                <w:color w:val="000000"/>
                <w:kern w:val="0"/>
                <w:sz w:val="24"/>
                <w:szCs w:val="24"/>
              </w:rPr>
              <w:tab/>
            </w:r>
            <w:r>
              <w:rPr>
                <w:rFonts w:hint="eastAsia" w:ascii="宋体" w:hAnsi="宋体" w:eastAsia="方正仿宋_GBK" w:cs="方正仿宋_GBK"/>
                <w:color w:val="000000"/>
                <w:kern w:val="0"/>
                <w:sz w:val="24"/>
                <w:szCs w:val="24"/>
              </w:rPr>
              <w:tab/>
            </w:r>
            <w:r>
              <w:rPr>
                <w:rFonts w:hint="eastAsia" w:ascii="宋体" w:hAnsi="宋体" w:eastAsia="方正仿宋_GBK" w:cs="方正仿宋_GBK"/>
                <w:color w:val="000000"/>
                <w:kern w:val="0"/>
                <w:sz w:val="24"/>
                <w:szCs w:val="24"/>
              </w:rPr>
              <w:tab/>
            </w:r>
          </w:p>
        </w:tc>
        <w:tc>
          <w:tcPr>
            <w:tcW w:w="3000" w:type="dxa"/>
            <w:gridSpan w:val="4"/>
            <w:tcBorders>
              <w:tl2br w:val="nil"/>
              <w:tr2bl w:val="nil"/>
            </w:tcBorders>
            <w:noWrap w:val="0"/>
            <w:vAlign w:val="center"/>
          </w:tcPr>
          <w:p w14:paraId="33A937F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268" w:type="dxa"/>
            <w:gridSpan w:val="4"/>
            <w:tcBorders>
              <w:tl2br w:val="nil"/>
              <w:tr2bl w:val="nil"/>
            </w:tcBorders>
            <w:noWrap w:val="0"/>
            <w:vAlign w:val="center"/>
          </w:tcPr>
          <w:p w14:paraId="1C62C45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做好政务服务中心空调维保、电梯维保、供配电给排水维护、垃圾清运、绿化维护等工作，保障政务大厅日常运转</w:t>
            </w:r>
            <w:r>
              <w:rPr>
                <w:rFonts w:hint="eastAsia" w:ascii="宋体" w:hAnsi="宋体" w:eastAsia="方正仿宋_GBK" w:cs="方正仿宋_GBK"/>
                <w:color w:val="000000"/>
                <w:kern w:val="0"/>
                <w:sz w:val="24"/>
                <w:szCs w:val="24"/>
              </w:rPr>
              <w:tab/>
            </w:r>
          </w:p>
        </w:tc>
      </w:tr>
      <w:tr w14:paraId="432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A633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63A0EA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E8B0C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57AB5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4E0326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656992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3553B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14:paraId="56167B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B0395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14:paraId="302268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2C5D1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14:paraId="51D155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14:paraId="7323D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12B63A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7B065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14:paraId="3017CA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6EBFA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18A3D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14:paraId="069CC3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44E3AC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42AC48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01A6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6A276C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19CEEFE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服务质量达标率</w:t>
            </w:r>
          </w:p>
        </w:tc>
        <w:tc>
          <w:tcPr>
            <w:tcW w:w="708" w:type="dxa"/>
            <w:tcBorders>
              <w:tl2br w:val="nil"/>
              <w:tr2bl w:val="nil"/>
            </w:tcBorders>
            <w:noWrap w:val="0"/>
            <w:vAlign w:val="center"/>
          </w:tcPr>
          <w:p w14:paraId="5638B92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77560F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0D8B2D3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95</w:t>
            </w:r>
          </w:p>
        </w:tc>
        <w:tc>
          <w:tcPr>
            <w:tcW w:w="972" w:type="dxa"/>
            <w:gridSpan w:val="2"/>
            <w:tcBorders>
              <w:tl2br w:val="nil"/>
              <w:tr2bl w:val="nil"/>
            </w:tcBorders>
            <w:noWrap w:val="0"/>
            <w:vAlign w:val="center"/>
          </w:tcPr>
          <w:p w14:paraId="507ECAC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4EAFA54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13B3AEB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7F0D5D4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1284" w:type="dxa"/>
            <w:gridSpan w:val="2"/>
            <w:tcBorders>
              <w:tl2br w:val="nil"/>
              <w:tr2bl w:val="nil"/>
            </w:tcBorders>
            <w:noWrap w:val="0"/>
            <w:vAlign w:val="center"/>
          </w:tcPr>
          <w:p w14:paraId="64CACD2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892" w:type="dxa"/>
            <w:tcBorders>
              <w:tl2br w:val="nil"/>
              <w:tr2bl w:val="nil"/>
            </w:tcBorders>
            <w:noWrap w:val="0"/>
            <w:vAlign w:val="center"/>
          </w:tcPr>
          <w:p w14:paraId="3245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645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781CFB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417246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物业管理事故率</w:t>
            </w:r>
          </w:p>
        </w:tc>
        <w:tc>
          <w:tcPr>
            <w:tcW w:w="708" w:type="dxa"/>
            <w:tcBorders>
              <w:tl2br w:val="nil"/>
              <w:tr2bl w:val="nil"/>
            </w:tcBorders>
            <w:noWrap w:val="0"/>
            <w:vAlign w:val="center"/>
          </w:tcPr>
          <w:p w14:paraId="798E218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6C7ABA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529F481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972" w:type="dxa"/>
            <w:gridSpan w:val="2"/>
            <w:tcBorders>
              <w:tl2br w:val="nil"/>
              <w:tr2bl w:val="nil"/>
            </w:tcBorders>
            <w:noWrap w:val="0"/>
            <w:vAlign w:val="center"/>
          </w:tcPr>
          <w:p w14:paraId="1791501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w:t>
            </w:r>
          </w:p>
        </w:tc>
        <w:tc>
          <w:tcPr>
            <w:tcW w:w="948" w:type="dxa"/>
            <w:tcBorders>
              <w:tl2br w:val="nil"/>
              <w:tr2bl w:val="nil"/>
            </w:tcBorders>
            <w:noWrap w:val="0"/>
            <w:vAlign w:val="center"/>
          </w:tcPr>
          <w:p w14:paraId="2B6C51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080" w:type="dxa"/>
            <w:tcBorders>
              <w:tl2br w:val="nil"/>
              <w:tr2bl w:val="nil"/>
            </w:tcBorders>
            <w:noWrap w:val="0"/>
            <w:vAlign w:val="center"/>
          </w:tcPr>
          <w:p w14:paraId="264B437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2590F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1284" w:type="dxa"/>
            <w:gridSpan w:val="2"/>
            <w:tcBorders>
              <w:tl2br w:val="nil"/>
              <w:tr2bl w:val="nil"/>
            </w:tcBorders>
            <w:noWrap w:val="0"/>
            <w:vAlign w:val="center"/>
          </w:tcPr>
          <w:p w14:paraId="1D9FE3E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892" w:type="dxa"/>
            <w:tcBorders>
              <w:tl2br w:val="nil"/>
              <w:tr2bl w:val="nil"/>
            </w:tcBorders>
            <w:noWrap w:val="0"/>
            <w:vAlign w:val="center"/>
          </w:tcPr>
          <w:p w14:paraId="625A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44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C86A8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949829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保障正常办公率</w:t>
            </w:r>
          </w:p>
        </w:tc>
        <w:tc>
          <w:tcPr>
            <w:tcW w:w="708" w:type="dxa"/>
            <w:tcBorders>
              <w:tl2br w:val="nil"/>
              <w:tr2bl w:val="nil"/>
            </w:tcBorders>
            <w:noWrap w:val="0"/>
            <w:vAlign w:val="center"/>
          </w:tcPr>
          <w:p w14:paraId="2B446F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264CAB9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1382E1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5525CD2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1D6F5ED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5.56</w:t>
            </w:r>
          </w:p>
        </w:tc>
        <w:tc>
          <w:tcPr>
            <w:tcW w:w="1080" w:type="dxa"/>
            <w:tcBorders>
              <w:tl2br w:val="nil"/>
              <w:tr2bl w:val="nil"/>
            </w:tcBorders>
            <w:noWrap w:val="0"/>
            <w:vAlign w:val="center"/>
          </w:tcPr>
          <w:p w14:paraId="65594C7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1C114F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3404894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504613B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7C2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8FC15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E7DF77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服务对象满意度</w:t>
            </w:r>
          </w:p>
        </w:tc>
        <w:tc>
          <w:tcPr>
            <w:tcW w:w="708" w:type="dxa"/>
            <w:tcBorders>
              <w:tl2br w:val="nil"/>
              <w:tr2bl w:val="nil"/>
            </w:tcBorders>
            <w:noWrap w:val="0"/>
            <w:vAlign w:val="center"/>
          </w:tcPr>
          <w:p w14:paraId="2DCA70E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787D3F3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7B3AB19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7816B3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48" w:type="dxa"/>
            <w:tcBorders>
              <w:tl2br w:val="nil"/>
              <w:tr2bl w:val="nil"/>
            </w:tcBorders>
            <w:noWrap w:val="0"/>
            <w:vAlign w:val="center"/>
          </w:tcPr>
          <w:p w14:paraId="079FE9A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5E59F0F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3EED5D8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01C7D65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7F9AFA7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731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E3780F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2467B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购买服务单价</w:t>
            </w:r>
          </w:p>
        </w:tc>
        <w:tc>
          <w:tcPr>
            <w:tcW w:w="708" w:type="dxa"/>
            <w:tcBorders>
              <w:tl2br w:val="nil"/>
              <w:tr2bl w:val="nil"/>
            </w:tcBorders>
            <w:noWrap w:val="0"/>
            <w:vAlign w:val="center"/>
          </w:tcPr>
          <w:p w14:paraId="5E7BF3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万元/年</w:t>
            </w:r>
          </w:p>
        </w:tc>
        <w:tc>
          <w:tcPr>
            <w:tcW w:w="709" w:type="dxa"/>
            <w:tcBorders>
              <w:tl2br w:val="nil"/>
              <w:tr2bl w:val="nil"/>
            </w:tcBorders>
            <w:noWrap w:val="0"/>
            <w:vAlign w:val="center"/>
          </w:tcPr>
          <w:p w14:paraId="7DF724E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4757AE2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700</w:t>
            </w:r>
          </w:p>
        </w:tc>
        <w:tc>
          <w:tcPr>
            <w:tcW w:w="972" w:type="dxa"/>
            <w:gridSpan w:val="2"/>
            <w:tcBorders>
              <w:tl2br w:val="nil"/>
              <w:tr2bl w:val="nil"/>
            </w:tcBorders>
            <w:noWrap w:val="0"/>
            <w:vAlign w:val="center"/>
          </w:tcPr>
          <w:p w14:paraId="705EC02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589.17</w:t>
            </w:r>
          </w:p>
        </w:tc>
        <w:tc>
          <w:tcPr>
            <w:tcW w:w="948" w:type="dxa"/>
            <w:tcBorders>
              <w:tl2br w:val="nil"/>
              <w:tr2bl w:val="nil"/>
            </w:tcBorders>
            <w:noWrap w:val="0"/>
            <w:vAlign w:val="center"/>
          </w:tcPr>
          <w:p w14:paraId="089B7B1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15.83</w:t>
            </w:r>
          </w:p>
        </w:tc>
        <w:tc>
          <w:tcPr>
            <w:tcW w:w="1080" w:type="dxa"/>
            <w:tcBorders>
              <w:tl2br w:val="nil"/>
              <w:tr2bl w:val="nil"/>
            </w:tcBorders>
            <w:noWrap w:val="0"/>
            <w:vAlign w:val="center"/>
          </w:tcPr>
          <w:p w14:paraId="2627A8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081ADD7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1C23DAE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23D4F1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bl>
    <w:p w14:paraId="198CC8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14:paraId="2DEDC6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本单位无此事项。</w:t>
      </w:r>
    </w:p>
    <w:p w14:paraId="744C6B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关于绩效自评结果的说明</w:t>
      </w:r>
    </w:p>
    <w:p w14:paraId="5DA929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无</w:t>
      </w:r>
      <w:r>
        <w:rPr>
          <w:rFonts w:hint="eastAsia" w:ascii="方正黑体_GBK" w:hAnsi="方正黑体_GBK" w:eastAsia="方正黑体_GBK" w:cs="方正黑体_GBK"/>
          <w:sz w:val="32"/>
          <w:szCs w:val="32"/>
          <w:lang w:val="en-US" w:eastAsia="zh-CN"/>
        </w:rPr>
        <w:t>。</w:t>
      </w:r>
    </w:p>
    <w:p w14:paraId="53AB740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重点绩效评价结果</w:t>
      </w:r>
    </w:p>
    <w:p w14:paraId="556D93E9">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本单位无此事项。</w:t>
      </w:r>
    </w:p>
    <w:p w14:paraId="277945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64E0C6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2BEB8A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0CFB31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14:paraId="458486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0815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081945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14:paraId="12F40B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4666EF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14:paraId="7ABC8C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6E1A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（十）项目支出：指在基本支出之外为完成特定行政任务和事业发展目标所发生的支出。</w:t>
      </w:r>
    </w:p>
    <w:p w14:paraId="6F8AF8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（十一）经营支出：指事业单位在专业业务活动及其辅助活动之外开展非独立核算经营活动发生的支出。</w:t>
      </w:r>
    </w:p>
    <w:p w14:paraId="12230E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07C9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9149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215057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7CDAF9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14:paraId="2AA452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5586F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七、决算公开联系方式及信息反馈渠道</w:t>
      </w:r>
    </w:p>
    <w:p w14:paraId="6EB6C9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14:paraId="29AC98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苏杨</w:t>
      </w:r>
      <w:r>
        <w:rPr>
          <w:rFonts w:hint="eastAsia" w:ascii="方正仿宋_GBK" w:hAnsi="方正仿宋_GBK" w:eastAsia="方正仿宋_GBK" w:cs="方正仿宋_GBK"/>
          <w:sz w:val="32"/>
          <w:szCs w:val="32"/>
        </w:rPr>
        <w:t xml:space="preserve">    联系电话：023-</w:t>
      </w:r>
      <w:r>
        <w:rPr>
          <w:rFonts w:hint="eastAsia" w:ascii="方正仿宋_GBK" w:hAnsi="方正仿宋_GBK" w:eastAsia="方正仿宋_GBK" w:cs="方正仿宋_GBK"/>
          <w:sz w:val="32"/>
          <w:szCs w:val="32"/>
          <w:lang w:val="en-US" w:eastAsia="zh-CN"/>
        </w:rPr>
        <w:t>81222208。</w:t>
      </w:r>
    </w:p>
    <w:p w14:paraId="4B785C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573E9"/>
    <w:multiLevelType w:val="singleLevel"/>
    <w:tmpl w:val="FCF573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mMyNjk4Y2U3MzA1MTFkYTM5MTliYTE2MzRiOTEifQ=="/>
  </w:docVars>
  <w:rsids>
    <w:rsidRoot w:val="4A533FB1"/>
    <w:rsid w:val="00CA45B9"/>
    <w:rsid w:val="0932487E"/>
    <w:rsid w:val="18C63B73"/>
    <w:rsid w:val="1C420E24"/>
    <w:rsid w:val="1FFE1506"/>
    <w:rsid w:val="21BF4C05"/>
    <w:rsid w:val="22860C3B"/>
    <w:rsid w:val="23BD57F0"/>
    <w:rsid w:val="25BA561F"/>
    <w:rsid w:val="2A0E0081"/>
    <w:rsid w:val="2B3350AB"/>
    <w:rsid w:val="2C245E51"/>
    <w:rsid w:val="2C8B5ED0"/>
    <w:rsid w:val="2CA27252"/>
    <w:rsid w:val="2F9D4F14"/>
    <w:rsid w:val="3D3103CE"/>
    <w:rsid w:val="4061546E"/>
    <w:rsid w:val="47FA432A"/>
    <w:rsid w:val="48C645F5"/>
    <w:rsid w:val="4A533FB1"/>
    <w:rsid w:val="4CF324BE"/>
    <w:rsid w:val="4E4A7CCA"/>
    <w:rsid w:val="54245941"/>
    <w:rsid w:val="54393172"/>
    <w:rsid w:val="57034731"/>
    <w:rsid w:val="59151684"/>
    <w:rsid w:val="5B7976B8"/>
    <w:rsid w:val="604069F6"/>
    <w:rsid w:val="635959A6"/>
    <w:rsid w:val="63A454EE"/>
    <w:rsid w:val="64DB71EF"/>
    <w:rsid w:val="652266CA"/>
    <w:rsid w:val="67A04834"/>
    <w:rsid w:val="68114A39"/>
    <w:rsid w:val="685A3318"/>
    <w:rsid w:val="699D73E1"/>
    <w:rsid w:val="6B32518D"/>
    <w:rsid w:val="6BA974EE"/>
    <w:rsid w:val="74942A15"/>
    <w:rsid w:val="74BD4012"/>
    <w:rsid w:val="771D13E7"/>
    <w:rsid w:val="774D6A77"/>
    <w:rsid w:val="7A72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7551</Words>
  <Characters>8423</Characters>
  <Lines>0</Lines>
  <Paragraphs>0</Paragraphs>
  <TotalTime>6</TotalTime>
  <ScaleCrop>false</ScaleCrop>
  <LinksUpToDate>false</LinksUpToDate>
  <CharactersWithSpaces>8456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2024-08-19T07:27:00Z</dcterms:created>
  <dc:creator>zsq123</dc:creator>
  <cp:lastModifiedBy>zsq123</cp:lastModifiedBy>
  <dcterms:modified xsi:type="dcterms:W3CDTF">2024-08-20T02:22:06Z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3CA5D31AF8F7458485DC495483636A18_13</vt:lpwstr>
  </property>
</Properties>
</file>