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41B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重庆市江津区</w:t>
      </w:r>
      <w:r>
        <w:rPr>
          <w:rFonts w:hint="eastAsia" w:ascii="方正小标宋_GBK" w:hAnsi="方正小标宋_GBK" w:eastAsia="方正小标宋_GBK" w:cs="方正小标宋_GBK"/>
          <w:sz w:val="44"/>
          <w:szCs w:val="44"/>
          <w:lang w:val="en-US" w:eastAsia="zh-CN"/>
        </w:rPr>
        <w:t>行政服务中心</w:t>
      </w:r>
    </w:p>
    <w:p w14:paraId="2F46E08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val="en-US" w:eastAsia="zh-CN"/>
        </w:rPr>
        <w:t>单位</w:t>
      </w:r>
      <w:r>
        <w:rPr>
          <w:rFonts w:hint="eastAsia" w:ascii="方正小标宋_GBK" w:hAnsi="方正小标宋_GBK" w:eastAsia="方正小标宋_GBK" w:cs="方正小标宋_GBK"/>
          <w:sz w:val="44"/>
          <w:szCs w:val="44"/>
        </w:rPr>
        <w:t>决算公开说明</w:t>
      </w:r>
    </w:p>
    <w:p w14:paraId="0E7714F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p>
    <w:p w14:paraId="019E17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单位</w:t>
      </w:r>
      <w:r>
        <w:rPr>
          <w:rFonts w:hint="eastAsia" w:ascii="方正黑体_GBK" w:hAnsi="方正黑体_GBK" w:eastAsia="方正黑体_GBK" w:cs="方正黑体_GBK"/>
          <w:sz w:val="32"/>
          <w:szCs w:val="32"/>
        </w:rPr>
        <w:t>基本情况</w:t>
      </w:r>
    </w:p>
    <w:p w14:paraId="3FED75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F8782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行政服务中心的职能职责：1.负责具体落实行政审批制度改革各项工作任务，协调健全行政审批工作机制，精简事项、压缩时限、优化流程、提升服务。2.负责行政权力事项的清理、减少、下放、调整等相关工作，建立行政权力事项清单并依法公布，开展动态管理。3.负责落实“三集中、三到位”，推动审批服务事项进驻大厅集中办理。4.负责开展行政审批服务标准化工作，建立工作制度和服务制度，落实各项标准。5.负责落实行政审批服务便民化，推行“马上办、网上办、就近办、一次办”。6.负责一体化政务服务平台建设，做好系统运行保障工作，开展网上审批服务，及时公开事项办理情况。7.负责受理企事业法人单位或其他组织、公民递交的需行政审批的申请，组织、协调和指导各部门行政审批和政务服务事项的办理，并为服务对象提供相关政策咨询。8.负责全区服务群众工作系统事项的研判、分析和运行管理。9.负责指导区级分中心、镇（街道）公共服务中心、村（社区）便民服务中心标准化建设和人员培训等工作。10.负责窗口工作人员的管理培训、行为规范和服务保障工作，受理窗口人员违规违纪行为的投诉。11.负责市长公开电话系统的事项交办、回复等日常运行工作。12.承办行政主管部门交办的其他任务。</w:t>
      </w:r>
    </w:p>
    <w:p w14:paraId="5C5C72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单位构成</w:t>
      </w:r>
    </w:p>
    <w:p w14:paraId="6CE844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行政服务中心为重庆市江津区政务服务管理办公室所属正处级全额拨款参公事业单位，设13个内设机构：信息调研科、审批协调推进科、公共服务科、政务督导一科、政务督导二科、电子监察一科、电子监察二科、电子监察三科、服务群众工作一科、服务群众工作二科、委托代办一科、委托代办二科、委托代办三科。</w:t>
      </w:r>
    </w:p>
    <w:p w14:paraId="686F45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w:t>
      </w:r>
    </w:p>
    <w:p w14:paraId="2083E2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（一）部门收支总体情况</w:t>
      </w:r>
    </w:p>
    <w:p w14:paraId="487FAF8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rPr>
        <w:t>1.收入支出总体情况。</w:t>
      </w:r>
      <w:r>
        <w:rPr>
          <w:rFonts w:hint="eastAsia" w:ascii="方正仿宋_GBK" w:hAnsi="方正仿宋_GBK" w:eastAsia="方正仿宋_GBK" w:cs="方正仿宋_GBK"/>
          <w:b w:val="0"/>
          <w:bCs w:val="0"/>
          <w:sz w:val="32"/>
          <w:szCs w:val="32"/>
        </w:rPr>
        <w:t>2023年度收入总计1036.62万元，支出总计1036.62万元。收支较上年决算数增加146.74万元，增长16.49%，主要原因是2023年新增政务服务能力提升费用项目，常年性项目临聘人员劳务派遣费和三级服务体系运维经费均有所增加；人员增加，人员晋升，社保公积金基数调整，增加相应基本支出</w:t>
      </w:r>
      <w:r>
        <w:rPr>
          <w:rFonts w:hint="eastAsia" w:ascii="方正仿宋_GBK" w:hAnsi="方正仿宋_GBK" w:eastAsia="方正仿宋_GBK" w:cs="方正仿宋_GBK"/>
          <w:b w:val="0"/>
          <w:bCs w:val="0"/>
          <w:sz w:val="32"/>
          <w:szCs w:val="32"/>
          <w:lang w:eastAsia="zh-CN"/>
        </w:rPr>
        <w:t>。</w:t>
      </w:r>
    </w:p>
    <w:p w14:paraId="1D744EF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1036.62万元，较上年决算数增加146.74万元，增长16.49%，主要原因是2023年新增政务服务能力提升费用项目，常年性项目临聘人员劳务派遣费和三级服务体系运维经费均有所增加；人员增加，人员晋升，社保公积金基数调整，增加相应基本支出。其中：财政拨款收入1036.62万元，占100.00%；事业收入0.00万元，占0.00%；经营收入0.00万元，占0.00%；其他收入0.00万元，占0.00%。此外，使用非财政拨款结余和专用结余0.00万元，年初结转和结余0.00万元。</w:t>
      </w:r>
    </w:p>
    <w:p w14:paraId="0ADD6950">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1036.62万元，较上年决算数增加146.74万元，增长16.49%，主要原因是2023年新增政务服务能力提升费用项目，常年性项目临聘人员劳务派遣费和三级服务体系运维经费均有所增加；人员增加，人员晋升，社保公积金基数调整，增加相应基本支出。其中：基本支出672.73万元，占64.90%；项目支出363.89万元，占35.10%；经营支出0.00万元，占0.00%。此外，结余分配0.00万元。</w:t>
      </w:r>
    </w:p>
    <w:p w14:paraId="70AAF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。2023年度年末结转和结余0.00万元，较上年决算数无增减。</w:t>
      </w:r>
    </w:p>
    <w:p w14:paraId="47A28F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（二）财政拨款收支总体情况</w:t>
      </w:r>
    </w:p>
    <w:p w14:paraId="7E3E40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财政拨款收、支总计1036.62万元。与2022年相比，财政拨款收、支总计各增加146.74万元，增长16.49%。主要原因是2023年新增政务服务能力提升费用项目，常年性项目临聘人员劳务派遣费和三级服务体系运维经费均有所增加；人员增加，人员晋升，社保公积金基数调整，增加相应基本支出</w:t>
      </w:r>
      <w:r>
        <w:rPr>
          <w:rFonts w:hint="eastAsia" w:ascii="方正仿宋_GBK" w:hAnsi="方正仿宋_GBK" w:eastAsia="方正仿宋_GBK" w:cs="方正仿宋_GBK"/>
          <w:sz w:val="32"/>
          <w:szCs w:val="32"/>
          <w:lang w:eastAsia="zh-CN"/>
        </w:rPr>
        <w:t>。</w:t>
      </w:r>
    </w:p>
    <w:p w14:paraId="1193EB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（三）一般公共预算财政拨款收支总体情况</w:t>
      </w:r>
    </w:p>
    <w:p w14:paraId="4CDDB4B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b w:val="0"/>
          <w:bCs w:val="0"/>
          <w:sz w:val="32"/>
          <w:szCs w:val="32"/>
        </w:rPr>
        <w:t>2023年度一般公共预算财政拨款收入1036.62万元，较上年决算数增加146.74万元，增长16.49%。主要原因是2023年新增政务服务能力提升费用项目，常年性项目临聘人员劳务派遣费和三级服务体系运维经费均有所增加；人员增加，人员晋升，社保公积金基数调整，增加相应基本支出。较年初预算数增加73.40万元，增长7.62%。主要原因是</w:t>
      </w:r>
      <w:r>
        <w:rPr>
          <w:rFonts w:hint="eastAsia" w:ascii="方正仿宋_GBK" w:hAnsi="方正仿宋_GBK" w:eastAsia="方正仿宋_GBK" w:cs="方正仿宋_GBK"/>
          <w:b w:val="0"/>
          <w:bCs w:val="0"/>
          <w:sz w:val="32"/>
          <w:szCs w:val="32"/>
          <w:lang w:val="en-US" w:eastAsia="zh-CN"/>
        </w:rPr>
        <w:t>年中</w:t>
      </w:r>
      <w:r>
        <w:rPr>
          <w:rFonts w:hint="eastAsia" w:ascii="方正仿宋_GBK" w:hAnsi="方正仿宋_GBK" w:eastAsia="方正仿宋_GBK" w:cs="方正仿宋_GBK"/>
          <w:b w:val="0"/>
          <w:bCs w:val="0"/>
          <w:sz w:val="32"/>
          <w:szCs w:val="32"/>
        </w:rPr>
        <w:t>追加三级服务体系运维经费10万元，临聘人员劳务费50万元，</w:t>
      </w:r>
      <w:r>
        <w:rPr>
          <w:rFonts w:hint="eastAsia" w:ascii="方正仿宋_GBK" w:hAnsi="方正仿宋_GBK" w:eastAsia="方正仿宋_GBK" w:cs="方正仿宋_GBK"/>
          <w:b w:val="0"/>
          <w:bCs w:val="0"/>
          <w:sz w:val="32"/>
          <w:szCs w:val="32"/>
          <w:lang w:val="en-US" w:eastAsia="zh-CN"/>
        </w:rPr>
        <w:t>人员晋升</w:t>
      </w:r>
      <w:r>
        <w:rPr>
          <w:rFonts w:hint="eastAsia" w:ascii="方正仿宋_GBK" w:hAnsi="方正仿宋_GBK" w:eastAsia="方正仿宋_GBK" w:cs="方正仿宋_GBK"/>
          <w:b w:val="0"/>
          <w:bCs w:val="0"/>
          <w:sz w:val="32"/>
          <w:szCs w:val="32"/>
        </w:rPr>
        <w:t>追加人员经费</w:t>
      </w:r>
      <w:r>
        <w:rPr>
          <w:rFonts w:hint="eastAsia" w:ascii="方正仿宋_GBK" w:hAnsi="方正仿宋_GBK" w:eastAsia="方正仿宋_GBK" w:cs="方正仿宋_GBK"/>
          <w:b w:val="0"/>
          <w:bCs w:val="0"/>
          <w:sz w:val="32"/>
          <w:szCs w:val="32"/>
          <w:lang w:val="en-US" w:eastAsia="zh-CN"/>
        </w:rPr>
        <w:t>和</w:t>
      </w:r>
      <w:r>
        <w:rPr>
          <w:rFonts w:hint="eastAsia" w:ascii="方正仿宋_GBK" w:hAnsi="方正仿宋_GBK" w:eastAsia="方正仿宋_GBK" w:cs="方正仿宋_GBK"/>
          <w:b w:val="0"/>
          <w:bCs w:val="0"/>
          <w:sz w:val="32"/>
          <w:szCs w:val="32"/>
        </w:rPr>
        <w:t>工伤保险。此外，年初财政拨款结转和结余0.00万元</w:t>
      </w:r>
      <w:r>
        <w:rPr>
          <w:rFonts w:hint="eastAsia" w:ascii="方正仿宋_GBK" w:hAnsi="方正仿宋_GBK" w:eastAsia="方正仿宋_GBK" w:cs="方正仿宋_GBK"/>
          <w:b w:val="0"/>
          <w:bCs w:val="0"/>
          <w:sz w:val="32"/>
          <w:szCs w:val="32"/>
          <w:lang w:eastAsia="zh-CN"/>
        </w:rPr>
        <w:t>。</w:t>
      </w:r>
      <w:bookmarkStart w:id="0" w:name="_GoBack"/>
      <w:bookmarkEnd w:id="0"/>
    </w:p>
    <w:p w14:paraId="2A8735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
          <w:bCs/>
          <w:sz w:val="32"/>
          <w:szCs w:val="32"/>
        </w:rPr>
        <w:t>支出情况</w:t>
      </w:r>
      <w:r>
        <w:rPr>
          <w:rFonts w:hint="eastAsia" w:ascii="方正仿宋_GBK" w:hAnsi="方正仿宋_GBK" w:eastAsia="方正仿宋_GBK" w:cs="方正仿宋_GBK"/>
          <w:sz w:val="32"/>
          <w:szCs w:val="32"/>
        </w:rPr>
        <w:t>。2023年度一般公共预算财政拨款支出1036.62万元，较上年决算数增加146.74万元，增长16.49%。主要原因是2023年新增政务服务能力提升费用项目，常年性项目临聘人员劳务派遣费和三级服务体系运维经费均有所增加；人员增加，人员晋升，社保公积金基数调整，增加相应基本支出。较年初预算数增加73.40万元，增长7.62%。主要原因是年中追加三级服务体系运维经费10万元，临聘人员劳务费50万元，人员晋升追加人员经费和工伤保险。</w:t>
      </w:r>
    </w:p>
    <w:p w14:paraId="53BDFA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
          <w:bCs/>
          <w:sz w:val="32"/>
          <w:szCs w:val="32"/>
        </w:rPr>
        <w:t>结转结余情况</w:t>
      </w:r>
      <w:r>
        <w:rPr>
          <w:rFonts w:hint="eastAsia" w:ascii="方正仿宋_GBK" w:hAnsi="方正仿宋_GBK" w:eastAsia="方正仿宋_GBK" w:cs="方正仿宋_GBK"/>
          <w:sz w:val="32"/>
          <w:szCs w:val="32"/>
        </w:rPr>
        <w:t>。2023年度年末一般公共预算财政拨款结转和结余0.00万元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较上年决算数无增减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中心无年末结转结余资金</w:t>
      </w:r>
      <w:r>
        <w:rPr>
          <w:rFonts w:hint="eastAsia" w:ascii="方正仿宋_GBK" w:hAnsi="方正仿宋_GBK" w:eastAsia="方正仿宋_GBK" w:cs="方正仿宋_GBK"/>
          <w:sz w:val="32"/>
          <w:szCs w:val="32"/>
        </w:rPr>
        <w:t>。</w:t>
      </w:r>
    </w:p>
    <w:p w14:paraId="3DFCCB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b/>
          <w:bCs/>
          <w:sz w:val="32"/>
          <w:szCs w:val="32"/>
        </w:rPr>
        <w:t>比较情况</w:t>
      </w:r>
      <w:r>
        <w:rPr>
          <w:rFonts w:hint="eastAsia" w:ascii="方正仿宋_GBK" w:hAnsi="方正仿宋_GBK" w:eastAsia="方正仿宋_GBK" w:cs="方正仿宋_GBK"/>
          <w:sz w:val="32"/>
          <w:szCs w:val="32"/>
        </w:rPr>
        <w:t>。本部门2023年度一般公共预算财政拨款支出主要用于以下几个方面：</w:t>
      </w:r>
    </w:p>
    <w:p w14:paraId="402FF2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（1）一般公共服务支出887.09万元，占85.58%，较年初预算数增加79.12万元，增长9.79%，主要原因是年中追加三级服务体系运维经费10万元，临聘人员劳务费50万元，人员晋升追加人员经费</w:t>
      </w:r>
      <w:r>
        <w:rPr>
          <w:rFonts w:hint="eastAsia" w:ascii="方正仿宋_GBK" w:hAnsi="方正仿宋_GBK" w:eastAsia="方正仿宋_GBK" w:cs="方正仿宋_GBK"/>
          <w:sz w:val="32"/>
          <w:szCs w:val="32"/>
          <w:lang w:eastAsia="zh-CN"/>
        </w:rPr>
        <w:t>。</w:t>
      </w:r>
    </w:p>
    <w:p w14:paraId="54A85E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）教育支出3.14万元，占0.30%，较年初预算数无增减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与年初预算支出持平</w:t>
      </w:r>
      <w:r>
        <w:rPr>
          <w:rFonts w:hint="eastAsia" w:ascii="方正仿宋_GBK" w:hAnsi="方正仿宋_GBK" w:eastAsia="方正仿宋_GBK" w:cs="方正仿宋_GBK"/>
          <w:sz w:val="32"/>
          <w:szCs w:val="32"/>
        </w:rPr>
        <w:t>。</w:t>
      </w:r>
    </w:p>
    <w:p w14:paraId="40794F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）社会保障与就业支出76.35万元，占7.37%，较年初预算数减少1.38万元，下降1.78%，主要原因是</w:t>
      </w:r>
      <w:r>
        <w:rPr>
          <w:rFonts w:hint="eastAsia" w:ascii="方正仿宋_GBK" w:hAnsi="方正仿宋_GBK" w:eastAsia="方正仿宋_GBK" w:cs="方正仿宋_GBK"/>
          <w:sz w:val="32"/>
          <w:szCs w:val="32"/>
          <w:lang w:val="en-US" w:eastAsia="zh-CN"/>
        </w:rPr>
        <w:t>人员调出减少养老保险和职业年金</w:t>
      </w:r>
      <w:r>
        <w:rPr>
          <w:rFonts w:hint="eastAsia" w:ascii="方正仿宋_GBK" w:hAnsi="方正仿宋_GBK" w:eastAsia="方正仿宋_GBK" w:cs="方正仿宋_GBK"/>
          <w:sz w:val="32"/>
          <w:szCs w:val="32"/>
        </w:rPr>
        <w:t>。</w:t>
      </w:r>
    </w:p>
    <w:p w14:paraId="21EA3E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）卫生健康支出28.93万元，占2.79%，较年初预算数减少0.31万元，下降1.06%，主要原因是</w:t>
      </w:r>
      <w:r>
        <w:rPr>
          <w:rFonts w:hint="eastAsia" w:ascii="方正仿宋_GBK" w:hAnsi="方正仿宋_GBK" w:eastAsia="方正仿宋_GBK" w:cs="方正仿宋_GBK"/>
          <w:sz w:val="32"/>
          <w:szCs w:val="32"/>
          <w:lang w:val="en-US" w:eastAsia="zh-CN"/>
        </w:rPr>
        <w:t>人员调出减少公务员医疗补助。</w:t>
      </w:r>
    </w:p>
    <w:p w14:paraId="74D0B1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）住房保障支出41.10万元，占3.96%，较年初预算数减少4.05万元，下降8.97%，主要原因是公务员工资津补贴清算，清退公积金，所以公积金减少。</w:t>
      </w:r>
    </w:p>
    <w:p w14:paraId="739E85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（四）一般公共预算财政拨款基本支出情况</w:t>
      </w:r>
    </w:p>
    <w:p w14:paraId="3DC781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672.73万元。其中：人员经费557.78万元，较上年决算数增加29.72万元，增长5.63%，主要原因是人员增加，增加人员经费开支，人员晋升，社保公积金基数调整，增加人员经费。人员经费用途主要包括基本工资、津贴补贴、奖金、机关事业单位基本养老保险缴费、职业年金缴费、社会保障缴费、住房公积金、其他工资福利支出等。公用经费114.95万元，较上年决算数增加12.60万元，增长12.31%，主要原因是人员增加，增加公用经费开支。公用经费用途主要包括办公费、水费、电费、邮电费、差旅费、维修费、</w:t>
      </w:r>
      <w:r>
        <w:rPr>
          <w:rFonts w:hint="eastAsia" w:ascii="方正仿宋_GBK" w:hAnsi="方正仿宋_GBK" w:eastAsia="方正仿宋_GBK" w:cs="方正仿宋_GBK"/>
          <w:sz w:val="32"/>
          <w:szCs w:val="32"/>
          <w:lang w:val="en-US" w:eastAsia="zh-CN"/>
        </w:rPr>
        <w:t>租赁费、会议费、</w:t>
      </w:r>
      <w:r>
        <w:rPr>
          <w:rFonts w:hint="eastAsia" w:ascii="方正仿宋_GBK" w:hAnsi="方正仿宋_GBK" w:eastAsia="方正仿宋_GBK" w:cs="方正仿宋_GBK"/>
          <w:sz w:val="32"/>
          <w:szCs w:val="32"/>
        </w:rPr>
        <w:t>培训费、劳务费、</w:t>
      </w:r>
      <w:r>
        <w:rPr>
          <w:rFonts w:hint="eastAsia" w:ascii="方正仿宋_GBK" w:hAnsi="方正仿宋_GBK" w:eastAsia="方正仿宋_GBK" w:cs="方正仿宋_GBK"/>
          <w:sz w:val="32"/>
          <w:szCs w:val="32"/>
          <w:lang w:val="en-US" w:eastAsia="zh-CN"/>
        </w:rPr>
        <w:t>委托业务费、</w:t>
      </w:r>
      <w:r>
        <w:rPr>
          <w:rFonts w:hint="eastAsia" w:ascii="方正仿宋_GBK" w:hAnsi="方正仿宋_GBK" w:eastAsia="方正仿宋_GBK" w:cs="方正仿宋_GBK"/>
          <w:sz w:val="32"/>
          <w:szCs w:val="32"/>
        </w:rPr>
        <w:t>福利费、工会经费、</w:t>
      </w:r>
      <w:r>
        <w:rPr>
          <w:rFonts w:hint="eastAsia" w:ascii="方正仿宋_GBK" w:hAnsi="方正仿宋_GBK" w:eastAsia="方正仿宋_GBK" w:cs="方正仿宋_GBK"/>
          <w:sz w:val="32"/>
          <w:szCs w:val="32"/>
          <w:lang w:val="en-US" w:eastAsia="zh-CN"/>
        </w:rPr>
        <w:t>公务用车运行维护费、</w:t>
      </w:r>
      <w:r>
        <w:rPr>
          <w:rFonts w:hint="eastAsia" w:ascii="方正仿宋_GBK" w:hAnsi="方正仿宋_GBK" w:eastAsia="方正仿宋_GBK" w:cs="方正仿宋_GBK"/>
          <w:sz w:val="32"/>
          <w:szCs w:val="32"/>
        </w:rPr>
        <w:t>其他交通费用、其他商品和服务支出。</w:t>
      </w:r>
    </w:p>
    <w:p w14:paraId="782D3A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w:t>
      </w:r>
    </w:p>
    <w:p w14:paraId="4967D3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2023年度无政府性基金预算财政拨款收支。</w:t>
      </w:r>
    </w:p>
    <w:p w14:paraId="484186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w:t>
      </w:r>
    </w:p>
    <w:p w14:paraId="16481A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2023年度无国有资本经营预算财政拨款支出。</w:t>
      </w:r>
    </w:p>
    <w:p w14:paraId="0F11D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w:t>
      </w:r>
    </w:p>
    <w:p w14:paraId="16A13A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w:t>
      </w:r>
    </w:p>
    <w:p w14:paraId="6C247C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2.42万元，较年初预算数减少2.88万元，下降54.34%，主要原因是认真贯彻落实中央八项规定精神，按照只减不增的要求从严控制“三公”经费。较上年支出数增加1.01万元，增长71.63%，主要原因是2023年比2022年加油费用增加，2023年进行公务车维修，增加维修费。</w:t>
      </w:r>
    </w:p>
    <w:p w14:paraId="13C605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37477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因公出国（境）费用0.00万元，费用支出与年初预算数持平；与上年支出数持平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无因公出国（境）计划</w:t>
      </w:r>
      <w:r>
        <w:rPr>
          <w:rFonts w:hint="eastAsia" w:ascii="方正仿宋_GBK" w:hAnsi="方正仿宋_GBK" w:eastAsia="方正仿宋_GBK" w:cs="方正仿宋_GBK"/>
          <w:sz w:val="32"/>
          <w:szCs w:val="32"/>
        </w:rPr>
        <w:t>。</w:t>
      </w:r>
    </w:p>
    <w:p w14:paraId="1D7489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公务车购置费0.00万元，费用支出与年初预算数持平；与上年支出数持平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无公务车购置计划</w:t>
      </w:r>
      <w:r>
        <w:rPr>
          <w:rFonts w:hint="eastAsia" w:ascii="方正仿宋_GBK" w:hAnsi="方正仿宋_GBK" w:eastAsia="方正仿宋_GBK" w:cs="方正仿宋_GBK"/>
          <w:sz w:val="32"/>
          <w:szCs w:val="32"/>
        </w:rPr>
        <w:t>。</w:t>
      </w:r>
    </w:p>
    <w:p w14:paraId="6D58EB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2.42万元，主要用于机要文件交换、市内因公出行、业务检查等工作所需车辆的加油费、停车费、维修费、过桥过路费、保险费等。费用支出较年初预算数减少2.58万元，下降51.60%，主要原因是认真贯彻落实中央八项规定精神，按照只减不增的要求从严控制“三公”经费。较上年支出数增加1.01万元，增长71.63%，主要原因是2023年比2022年加油费用增加，2023年进行公务车维修，增加维修费。</w:t>
      </w:r>
    </w:p>
    <w:p w14:paraId="39C313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公务接待费0.00万元。费用支出较年初预算数减少0.30万元，下降100.00%，主要原因是</w:t>
      </w:r>
      <w:r>
        <w:rPr>
          <w:rFonts w:hint="eastAsia" w:ascii="方正仿宋_GBK" w:hAnsi="方正仿宋_GBK" w:eastAsia="方正仿宋_GBK" w:cs="方正仿宋_GBK"/>
          <w:sz w:val="32"/>
          <w:szCs w:val="32"/>
          <w:lang w:val="en-US" w:eastAsia="zh-CN"/>
        </w:rPr>
        <w:t>由主管部门政务服务办负责接待</w:t>
      </w:r>
      <w:r>
        <w:rPr>
          <w:rFonts w:hint="eastAsia" w:ascii="方正仿宋_GBK" w:hAnsi="方正仿宋_GBK" w:eastAsia="方正仿宋_GBK" w:cs="方正仿宋_GBK"/>
          <w:sz w:val="32"/>
          <w:szCs w:val="32"/>
        </w:rPr>
        <w:t>。较上年支出数无增减，主要原因是由主管部门政务服务办负责接待。</w:t>
      </w:r>
    </w:p>
    <w:p w14:paraId="0282E4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3C87A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部门因公出国（境）共计0个团组，0人；公务用车购置0辆，公务车保有量为1辆；国内公务接待0批次0人，其中：国内外事接待0批次，0人；国（境）外公务接待0批次，0人。2023年本部门人均接待费0元，车均购置费0万元，车均维护费2.42万元。</w:t>
      </w:r>
    </w:p>
    <w:p w14:paraId="35C5ED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73A4B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（一）机关运行经费情况</w:t>
      </w:r>
    </w:p>
    <w:p w14:paraId="42B31C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2023年度本部门机关运行经费支出114.95万元，较上年支出数增加12.60万元，增长12.31%，主要原因是2023年公用经费弥补人员经费较2022年少，且搬迁新政务大厅，公用经费增加</w:t>
      </w:r>
      <w:r>
        <w:rPr>
          <w:rFonts w:hint="eastAsia" w:ascii="方正仿宋_GBK" w:hAnsi="方正仿宋_GBK" w:eastAsia="方正仿宋_GBK" w:cs="方正仿宋_GBK"/>
          <w:sz w:val="32"/>
          <w:szCs w:val="32"/>
          <w:lang w:eastAsia="zh-CN"/>
        </w:rPr>
        <w:t>；比年初预算数减少</w:t>
      </w:r>
      <w:r>
        <w:rPr>
          <w:rFonts w:hint="eastAsia" w:ascii="方正仿宋_GBK" w:hAnsi="方正仿宋_GBK" w:eastAsia="方正仿宋_GBK" w:cs="方正仿宋_GBK"/>
          <w:sz w:val="32"/>
          <w:szCs w:val="32"/>
          <w:lang w:val="en-US" w:eastAsia="zh-CN"/>
        </w:rPr>
        <w:t>14.35</w:t>
      </w:r>
      <w:r>
        <w:rPr>
          <w:rFonts w:hint="eastAsia" w:ascii="方正仿宋_GBK" w:hAnsi="方正仿宋_GBK" w:eastAsia="方正仿宋_GBK" w:cs="方正仿宋_GBK"/>
          <w:sz w:val="32"/>
          <w:szCs w:val="32"/>
          <w:lang w:eastAsia="zh-CN"/>
        </w:rPr>
        <w:t>万元，下降</w:t>
      </w:r>
      <w:r>
        <w:rPr>
          <w:rFonts w:hint="eastAsia" w:ascii="方正仿宋_GBK" w:hAnsi="方正仿宋_GBK" w:eastAsia="方正仿宋_GBK" w:cs="方正仿宋_GBK"/>
          <w:sz w:val="32"/>
          <w:szCs w:val="32"/>
          <w:lang w:val="en-US" w:eastAsia="zh-CN"/>
        </w:rPr>
        <w:t>11.10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使用公用经费弥补人员经费</w:t>
      </w:r>
      <w:r>
        <w:rPr>
          <w:rFonts w:hint="eastAsia" w:ascii="方正仿宋_GBK" w:hAnsi="方正仿宋_GBK" w:eastAsia="方正仿宋_GBK" w:cs="方正仿宋_GBK"/>
          <w:sz w:val="32"/>
          <w:szCs w:val="32"/>
        </w:rPr>
        <w:t>。机关运行经费主要用于开支办公费、水费、电费、邮电费、差旅费、维修费、租赁费、会议费、培训费、劳务费、委托业务费、福利费、工会经费、公务用车运行维护费、其他交通费用、其他商品和服务支出。</w:t>
      </w:r>
    </w:p>
    <w:p w14:paraId="1C02EBE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年度会议费支出0.09万元，较上年决算数减少0.26万元，下降74.29%，主要原因是2023年会议次数减少。本年度培训费支出7.46万元，较上年决算数减少2.34万元，下降23.88%，主要原因是2023年开展窗口培训人员数量比2022年窗口培训人员数量减少，相应培训费减少。</w:t>
      </w:r>
    </w:p>
    <w:p w14:paraId="139E43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）国有资产占用情况说明</w:t>
      </w:r>
    </w:p>
    <w:p w14:paraId="5745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70DFC6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）政府采购支出说明</w:t>
      </w:r>
    </w:p>
    <w:p w14:paraId="5BA608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14:paraId="3FB2CA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w:t>
      </w:r>
    </w:p>
    <w:p w14:paraId="0EC451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（一）预算绩效管理工作开展情况</w:t>
      </w:r>
    </w:p>
    <w:p w14:paraId="65BAA9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根据预算绩效管理要求，我</w:t>
      </w:r>
      <w:r>
        <w:rPr>
          <w:rFonts w:hint="eastAsia" w:ascii="方正仿宋_GBK" w:hAnsi="方正仿宋_GBK" w:eastAsia="方正仿宋_GBK" w:cs="方正仿宋_GBK"/>
          <w:sz w:val="32"/>
          <w:szCs w:val="32"/>
          <w:lang w:val="en-US" w:eastAsia="zh-CN"/>
        </w:rPr>
        <w:t>办对4</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sz w:val="32"/>
          <w:szCs w:val="32"/>
          <w:lang w:val="en-US" w:eastAsia="zh-CN"/>
        </w:rPr>
        <w:t>363.89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3DCCE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（二）绩效自评结果</w:t>
      </w:r>
    </w:p>
    <w:p w14:paraId="3706E9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 xml:space="preserve"> 绩效目标自评表</w:t>
      </w:r>
    </w:p>
    <w:p w14:paraId="19F10D5D">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2023年度项目绩效自评表</w:t>
      </w:r>
    </w:p>
    <w:tbl>
      <w:tblPr>
        <w:tblStyle w:val="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1F6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317FE2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06BC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5ACCB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三级服务体系运维经费</w:t>
            </w:r>
          </w:p>
        </w:tc>
        <w:tc>
          <w:tcPr>
            <w:tcW w:w="1236" w:type="dxa"/>
            <w:gridSpan w:val="2"/>
            <w:tcBorders>
              <w:tl2br w:val="nil"/>
              <w:tr2bl w:val="nil"/>
            </w:tcBorders>
            <w:noWrap w:val="0"/>
            <w:vAlign w:val="center"/>
          </w:tcPr>
          <w:p w14:paraId="76DDB7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53649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6B79E0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14:paraId="117DBB0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r>
              <w:rPr>
                <w:rFonts w:hint="eastAsia" w:ascii="宋体" w:hAnsi="宋体" w:eastAsia="方正仿宋_GBK" w:cs="方正仿宋_GBK"/>
                <w:color w:val="000000"/>
                <w:kern w:val="0"/>
                <w:sz w:val="24"/>
                <w:szCs w:val="24"/>
              </w:rPr>
              <w:tab/>
            </w:r>
          </w:p>
        </w:tc>
      </w:tr>
      <w:tr w14:paraId="4026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2A30E2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76693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3D805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r>
              <w:rPr>
                <w:rFonts w:hint="eastAsia" w:ascii="宋体" w:hAnsi="宋体" w:eastAsia="方正仿宋_GBK" w:cs="方正仿宋_GBK"/>
                <w:color w:val="000000"/>
                <w:kern w:val="0"/>
                <w:sz w:val="24"/>
                <w:szCs w:val="24"/>
              </w:rPr>
              <w:tab/>
            </w:r>
          </w:p>
        </w:tc>
        <w:tc>
          <w:tcPr>
            <w:tcW w:w="1075" w:type="dxa"/>
            <w:gridSpan w:val="2"/>
            <w:tcBorders>
              <w:tl2br w:val="nil"/>
              <w:tr2bl w:val="nil"/>
            </w:tcBorders>
            <w:noWrap w:val="0"/>
            <w:vAlign w:val="center"/>
          </w:tcPr>
          <w:p w14:paraId="155A0C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65109C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r>
              <w:rPr>
                <w:rFonts w:hint="eastAsia" w:ascii="宋体" w:hAnsi="宋体" w:eastAsia="方正仿宋_GBK" w:cs="方正仿宋_GBK"/>
                <w:color w:val="000000"/>
                <w:kern w:val="0"/>
                <w:sz w:val="24"/>
                <w:szCs w:val="24"/>
              </w:rPr>
              <w:tab/>
            </w:r>
          </w:p>
        </w:tc>
        <w:tc>
          <w:tcPr>
            <w:tcW w:w="1236" w:type="dxa"/>
            <w:gridSpan w:val="2"/>
            <w:tcBorders>
              <w:tl2br w:val="nil"/>
              <w:tr2bl w:val="nil"/>
            </w:tcBorders>
            <w:noWrap w:val="0"/>
            <w:vAlign w:val="center"/>
          </w:tcPr>
          <w:p w14:paraId="734A38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E59A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14:paraId="1C43B4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周旭</w:t>
            </w:r>
            <w:r>
              <w:rPr>
                <w:rFonts w:hint="eastAsia" w:ascii="宋体" w:hAnsi="宋体" w:eastAsia="方正仿宋_GBK" w:cs="方正仿宋_GBK"/>
                <w:color w:val="000000"/>
                <w:kern w:val="0"/>
                <w:sz w:val="24"/>
                <w:szCs w:val="24"/>
              </w:rPr>
              <w:tab/>
            </w:r>
          </w:p>
        </w:tc>
        <w:tc>
          <w:tcPr>
            <w:tcW w:w="1092" w:type="dxa"/>
            <w:tcBorders>
              <w:tl2br w:val="nil"/>
              <w:tr2bl w:val="nil"/>
            </w:tcBorders>
            <w:noWrap w:val="0"/>
            <w:vAlign w:val="center"/>
          </w:tcPr>
          <w:p w14:paraId="4F64C2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14:paraId="5694F2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13752977440</w:t>
            </w:r>
          </w:p>
        </w:tc>
      </w:tr>
      <w:tr w14:paraId="4CB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301AF0E">
            <w:pPr>
              <w:keepNext w:val="0"/>
              <w:keepLines w:val="0"/>
              <w:pageBreakBefore w:val="0"/>
              <w:widowControl/>
              <w:kinsoku/>
              <w:wordWrap/>
              <w:overflowPunct/>
              <w:topLinePunct w:val="0"/>
              <w:autoSpaceDE/>
              <w:autoSpaceDN/>
              <w:bidi w:val="0"/>
              <w:adjustRightInd/>
              <w:snapToGrid/>
              <w:spacing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55638A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75D22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BD1B4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2C462E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6FF9CB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14:paraId="207EBF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BB8FB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14:paraId="07DD8A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30C6E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4B06C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63D5D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4AD78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22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636D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30D0C1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7E35E7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40.15</w:t>
            </w:r>
          </w:p>
        </w:tc>
        <w:tc>
          <w:tcPr>
            <w:tcW w:w="1162" w:type="dxa"/>
            <w:gridSpan w:val="2"/>
            <w:tcBorders>
              <w:tl2br w:val="nil"/>
              <w:tr2bl w:val="nil"/>
            </w:tcBorders>
            <w:noWrap w:val="0"/>
            <w:vAlign w:val="center"/>
          </w:tcPr>
          <w:p w14:paraId="5B532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50.15</w:t>
            </w:r>
          </w:p>
        </w:tc>
        <w:tc>
          <w:tcPr>
            <w:tcW w:w="2316" w:type="dxa"/>
            <w:gridSpan w:val="3"/>
            <w:tcBorders>
              <w:tl2br w:val="nil"/>
              <w:tr2bl w:val="nil"/>
            </w:tcBorders>
            <w:noWrap w:val="0"/>
            <w:vAlign w:val="center"/>
          </w:tcPr>
          <w:p w14:paraId="097723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50.15</w:t>
            </w:r>
          </w:p>
        </w:tc>
        <w:tc>
          <w:tcPr>
            <w:tcW w:w="1092" w:type="dxa"/>
            <w:tcBorders>
              <w:tl2br w:val="nil"/>
              <w:tr2bl w:val="nil"/>
            </w:tcBorders>
            <w:noWrap w:val="0"/>
            <w:vAlign w:val="center"/>
          </w:tcPr>
          <w:p w14:paraId="10362D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c>
          <w:tcPr>
            <w:tcW w:w="938" w:type="dxa"/>
            <w:tcBorders>
              <w:tl2br w:val="nil"/>
              <w:tr2bl w:val="nil"/>
            </w:tcBorders>
            <w:noWrap w:val="0"/>
            <w:vAlign w:val="center"/>
          </w:tcPr>
          <w:p w14:paraId="1C51A8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kern w:val="0"/>
                <w:sz w:val="24"/>
                <w:szCs w:val="24"/>
                <w:lang w:val="en-US" w:eastAsia="zh-CN"/>
              </w:rPr>
            </w:pPr>
          </w:p>
        </w:tc>
        <w:tc>
          <w:tcPr>
            <w:tcW w:w="1238" w:type="dxa"/>
            <w:gridSpan w:val="2"/>
            <w:tcBorders>
              <w:tl2br w:val="nil"/>
              <w:tr2bl w:val="nil"/>
            </w:tcBorders>
            <w:noWrap w:val="0"/>
            <w:vAlign w:val="center"/>
          </w:tcPr>
          <w:p w14:paraId="215FE2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p>
        </w:tc>
      </w:tr>
      <w:tr w14:paraId="1E7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28B3A4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622506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2384A39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50F96A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40.15</w:t>
            </w:r>
          </w:p>
        </w:tc>
        <w:tc>
          <w:tcPr>
            <w:tcW w:w="1162" w:type="dxa"/>
            <w:gridSpan w:val="2"/>
            <w:tcBorders>
              <w:tl2br w:val="nil"/>
              <w:tr2bl w:val="nil"/>
            </w:tcBorders>
            <w:noWrap w:val="0"/>
            <w:vAlign w:val="center"/>
          </w:tcPr>
          <w:p w14:paraId="7E883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50.15</w:t>
            </w:r>
          </w:p>
        </w:tc>
        <w:tc>
          <w:tcPr>
            <w:tcW w:w="2316" w:type="dxa"/>
            <w:gridSpan w:val="3"/>
            <w:tcBorders>
              <w:tl2br w:val="nil"/>
              <w:tr2bl w:val="nil"/>
            </w:tcBorders>
            <w:noWrap w:val="0"/>
            <w:vAlign w:val="center"/>
          </w:tcPr>
          <w:p w14:paraId="1E3E97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50.15</w:t>
            </w:r>
          </w:p>
        </w:tc>
        <w:tc>
          <w:tcPr>
            <w:tcW w:w="1092" w:type="dxa"/>
            <w:tcBorders>
              <w:tl2br w:val="nil"/>
              <w:tr2bl w:val="nil"/>
            </w:tcBorders>
            <w:noWrap w:val="0"/>
            <w:vAlign w:val="center"/>
          </w:tcPr>
          <w:p w14:paraId="015B2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161AD2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14:paraId="263A1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7CB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3E550E7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38A5CC7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102BE5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14:paraId="6E6E060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322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7" w:type="dxa"/>
            <w:vMerge w:val="continue"/>
            <w:tcBorders>
              <w:tl2br w:val="nil"/>
              <w:tr2bl w:val="nil"/>
            </w:tcBorders>
            <w:noWrap w:val="0"/>
            <w:vAlign w:val="center"/>
          </w:tcPr>
          <w:p w14:paraId="6D21802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4224D7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对全区各镇街、各社区以及各分中心视频监控系统进行维护，升级改造江津区三级服务体系视频监控系统，确保系统运行更加顺畅、功能更加完善，保障全区各镇街、各社区以及各分中心互联网光纤接入和正常使用。</w:t>
            </w:r>
            <w:r>
              <w:rPr>
                <w:rFonts w:hint="eastAsia" w:ascii="宋体" w:hAnsi="宋体" w:eastAsia="方正仿宋_GBK" w:cs="方正仿宋_GBK"/>
                <w:color w:val="000000"/>
                <w:kern w:val="0"/>
                <w:sz w:val="24"/>
                <w:szCs w:val="24"/>
              </w:rPr>
              <w:tab/>
            </w:r>
            <w:r>
              <w:rPr>
                <w:rFonts w:hint="eastAsia" w:ascii="宋体" w:hAnsi="宋体" w:eastAsia="方正仿宋_GBK" w:cs="方正仿宋_GBK"/>
                <w:color w:val="000000"/>
                <w:kern w:val="0"/>
                <w:sz w:val="24"/>
                <w:szCs w:val="24"/>
              </w:rPr>
              <w:tab/>
            </w:r>
          </w:p>
        </w:tc>
        <w:tc>
          <w:tcPr>
            <w:tcW w:w="3000" w:type="dxa"/>
            <w:gridSpan w:val="4"/>
            <w:tcBorders>
              <w:tl2br w:val="nil"/>
              <w:tr2bl w:val="nil"/>
            </w:tcBorders>
            <w:noWrap w:val="0"/>
            <w:vAlign w:val="center"/>
          </w:tcPr>
          <w:p w14:paraId="33A937F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14:paraId="1C62C4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对全区各镇街、各社区以及各分中心视频监控系统进行维护，保障全区各镇街、各社区以及各分中心互联网光纤接入和正常使用</w:t>
            </w:r>
            <w:r>
              <w:rPr>
                <w:rFonts w:hint="eastAsia" w:ascii="宋体" w:hAnsi="宋体" w:eastAsia="方正仿宋_GBK" w:cs="方正仿宋_GBK"/>
                <w:color w:val="000000"/>
                <w:kern w:val="0"/>
                <w:sz w:val="24"/>
                <w:szCs w:val="24"/>
              </w:rPr>
              <w:tab/>
            </w:r>
          </w:p>
        </w:tc>
      </w:tr>
      <w:tr w14:paraId="432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A633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63A0E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E8B0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57AB5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4E0326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656992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3553B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56167B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B039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302268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2C5D1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14:paraId="51D155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14:paraId="7323D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2B63A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B065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14:paraId="3017CA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6EBFA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18A3D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069CC3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4E3A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42AC4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1A6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6A276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19CEEFE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视频监控运维摄像头数量</w:t>
            </w:r>
          </w:p>
        </w:tc>
        <w:tc>
          <w:tcPr>
            <w:tcW w:w="708" w:type="dxa"/>
            <w:tcBorders>
              <w:tl2br w:val="nil"/>
              <w:tr2bl w:val="nil"/>
            </w:tcBorders>
            <w:noWrap w:val="0"/>
            <w:vAlign w:val="center"/>
          </w:tcPr>
          <w:p w14:paraId="5638B92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个</w:t>
            </w:r>
          </w:p>
        </w:tc>
        <w:tc>
          <w:tcPr>
            <w:tcW w:w="709" w:type="dxa"/>
            <w:tcBorders>
              <w:tl2br w:val="nil"/>
              <w:tr2bl w:val="nil"/>
            </w:tcBorders>
            <w:noWrap w:val="0"/>
            <w:vAlign w:val="center"/>
          </w:tcPr>
          <w:p w14:paraId="77560F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0D8B2D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340</w:t>
            </w:r>
          </w:p>
        </w:tc>
        <w:tc>
          <w:tcPr>
            <w:tcW w:w="972" w:type="dxa"/>
            <w:gridSpan w:val="2"/>
            <w:tcBorders>
              <w:tl2br w:val="nil"/>
              <w:tr2bl w:val="nil"/>
            </w:tcBorders>
            <w:noWrap w:val="0"/>
            <w:vAlign w:val="center"/>
          </w:tcPr>
          <w:p w14:paraId="507ECAC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355</w:t>
            </w:r>
          </w:p>
        </w:tc>
        <w:tc>
          <w:tcPr>
            <w:tcW w:w="948" w:type="dxa"/>
            <w:tcBorders>
              <w:tl2br w:val="nil"/>
              <w:tr2bl w:val="nil"/>
            </w:tcBorders>
            <w:noWrap w:val="0"/>
            <w:vAlign w:val="center"/>
          </w:tcPr>
          <w:p w14:paraId="4EAFA5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4.41</w:t>
            </w:r>
          </w:p>
        </w:tc>
        <w:tc>
          <w:tcPr>
            <w:tcW w:w="1080" w:type="dxa"/>
            <w:tcBorders>
              <w:tl2br w:val="nil"/>
              <w:tr2bl w:val="nil"/>
            </w:tcBorders>
            <w:noWrap w:val="0"/>
            <w:vAlign w:val="center"/>
          </w:tcPr>
          <w:p w14:paraId="13B3AEB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7F0D5D4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64CACD2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3245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45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781CFB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417246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服务质量达标率</w:t>
            </w:r>
          </w:p>
        </w:tc>
        <w:tc>
          <w:tcPr>
            <w:tcW w:w="708" w:type="dxa"/>
            <w:tcBorders>
              <w:tl2br w:val="nil"/>
              <w:tr2bl w:val="nil"/>
            </w:tcBorders>
            <w:noWrap w:val="0"/>
            <w:vAlign w:val="center"/>
          </w:tcPr>
          <w:p w14:paraId="798E218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6C7ABA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529F481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72" w:type="dxa"/>
            <w:gridSpan w:val="2"/>
            <w:tcBorders>
              <w:tl2br w:val="nil"/>
              <w:tr2bl w:val="nil"/>
            </w:tcBorders>
            <w:noWrap w:val="0"/>
            <w:vAlign w:val="center"/>
          </w:tcPr>
          <w:p w14:paraId="1791501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2B6C51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264B437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2590F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1D9FE3E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625A7B0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44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C86A8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949829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故障排除及时率</w:t>
            </w:r>
          </w:p>
        </w:tc>
        <w:tc>
          <w:tcPr>
            <w:tcW w:w="708" w:type="dxa"/>
            <w:tcBorders>
              <w:tl2br w:val="nil"/>
              <w:tr2bl w:val="nil"/>
            </w:tcBorders>
            <w:noWrap w:val="0"/>
            <w:vAlign w:val="center"/>
          </w:tcPr>
          <w:p w14:paraId="2B446F3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264CAB9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1382E1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98</w:t>
            </w:r>
          </w:p>
        </w:tc>
        <w:tc>
          <w:tcPr>
            <w:tcW w:w="972" w:type="dxa"/>
            <w:gridSpan w:val="2"/>
            <w:tcBorders>
              <w:tl2br w:val="nil"/>
              <w:tr2bl w:val="nil"/>
            </w:tcBorders>
            <w:noWrap w:val="0"/>
            <w:vAlign w:val="center"/>
          </w:tcPr>
          <w:p w14:paraId="5525CD2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48" w:type="dxa"/>
            <w:tcBorders>
              <w:tl2br w:val="nil"/>
              <w:tr2bl w:val="nil"/>
            </w:tcBorders>
            <w:noWrap w:val="0"/>
            <w:vAlign w:val="center"/>
          </w:tcPr>
          <w:p w14:paraId="1D6F5E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2.04</w:t>
            </w:r>
          </w:p>
        </w:tc>
        <w:tc>
          <w:tcPr>
            <w:tcW w:w="1080" w:type="dxa"/>
            <w:tcBorders>
              <w:tl2br w:val="nil"/>
              <w:tr2bl w:val="nil"/>
            </w:tcBorders>
            <w:noWrap w:val="0"/>
            <w:vAlign w:val="center"/>
          </w:tcPr>
          <w:p w14:paraId="65594C7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1C114F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3404894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504613B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7C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FC15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E7DF77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三级服务中心规范率</w:t>
            </w:r>
          </w:p>
        </w:tc>
        <w:tc>
          <w:tcPr>
            <w:tcW w:w="708" w:type="dxa"/>
            <w:tcBorders>
              <w:tl2br w:val="nil"/>
              <w:tr2bl w:val="nil"/>
            </w:tcBorders>
            <w:noWrap w:val="0"/>
            <w:vAlign w:val="center"/>
          </w:tcPr>
          <w:p w14:paraId="2DCA70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14:paraId="787D3F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7B3AB19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14:paraId="7816B3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948" w:type="dxa"/>
            <w:tcBorders>
              <w:tl2br w:val="nil"/>
              <w:tr2bl w:val="nil"/>
            </w:tcBorders>
            <w:noWrap w:val="0"/>
            <w:vAlign w:val="center"/>
          </w:tcPr>
          <w:p w14:paraId="079FE9A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5.56</w:t>
            </w:r>
          </w:p>
        </w:tc>
        <w:tc>
          <w:tcPr>
            <w:tcW w:w="1080" w:type="dxa"/>
            <w:tcBorders>
              <w:tl2br w:val="nil"/>
              <w:tr2bl w:val="nil"/>
            </w:tcBorders>
            <w:noWrap w:val="0"/>
            <w:vAlign w:val="center"/>
          </w:tcPr>
          <w:p w14:paraId="5E59F0F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3EED5D8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01C7D65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7F9AFA7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731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3780F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2467B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服务对象满意度</w:t>
            </w:r>
          </w:p>
        </w:tc>
        <w:tc>
          <w:tcPr>
            <w:tcW w:w="708" w:type="dxa"/>
            <w:tcBorders>
              <w:tl2br w:val="nil"/>
              <w:tr2bl w:val="nil"/>
            </w:tcBorders>
            <w:noWrap w:val="0"/>
            <w:vAlign w:val="center"/>
          </w:tcPr>
          <w:p w14:paraId="5E7BF3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14:paraId="7DF724E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14:paraId="4757AE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72" w:type="dxa"/>
            <w:gridSpan w:val="2"/>
            <w:tcBorders>
              <w:tl2br w:val="nil"/>
              <w:tr2bl w:val="nil"/>
            </w:tcBorders>
            <w:noWrap w:val="0"/>
            <w:vAlign w:val="center"/>
          </w:tcPr>
          <w:p w14:paraId="705EC02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48" w:type="dxa"/>
            <w:tcBorders>
              <w:tl2br w:val="nil"/>
              <w:tr2bl w:val="nil"/>
            </w:tcBorders>
            <w:noWrap w:val="0"/>
            <w:vAlign w:val="center"/>
          </w:tcPr>
          <w:p w14:paraId="089B7B1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14:paraId="2627A8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14:paraId="081ADD7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14:paraId="1C23DAE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23D4F1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bl>
    <w:p w14:paraId="198CC8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14:paraId="2DEDC6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本单位无此事项。</w:t>
      </w:r>
    </w:p>
    <w:p w14:paraId="744C6B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关于绩效自评结果的说明</w:t>
      </w:r>
    </w:p>
    <w:p w14:paraId="5DA929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无</w:t>
      </w:r>
      <w:r>
        <w:rPr>
          <w:rFonts w:hint="eastAsia" w:ascii="方正黑体_GBK" w:hAnsi="方正黑体_GBK" w:eastAsia="方正黑体_GBK" w:cs="方正黑体_GBK"/>
          <w:sz w:val="32"/>
          <w:szCs w:val="32"/>
          <w:lang w:val="en-US" w:eastAsia="zh-CN"/>
        </w:rPr>
        <w:t>。</w:t>
      </w:r>
    </w:p>
    <w:p w14:paraId="53AB740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重点绩效评价结果</w:t>
      </w:r>
    </w:p>
    <w:p w14:paraId="556D93E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本单位无此事项。</w:t>
      </w:r>
    </w:p>
    <w:p w14:paraId="277945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64E0C6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2BEB8A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CFB31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458486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0815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081945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12F40B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4666E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7ABC8C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6E1A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F8AF8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2230E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07C9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9149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215057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7CDAF9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2AA452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5586F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14:paraId="6EB6C9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14:paraId="29AC98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苏杨</w:t>
      </w:r>
      <w:r>
        <w:rPr>
          <w:rFonts w:hint="eastAsia" w:ascii="方正仿宋_GBK" w:hAnsi="方正仿宋_GBK" w:eastAsia="方正仿宋_GBK" w:cs="方正仿宋_GBK"/>
          <w:sz w:val="32"/>
          <w:szCs w:val="32"/>
        </w:rPr>
        <w:t xml:space="preserve">    联系电话：023-</w:t>
      </w:r>
      <w:r>
        <w:rPr>
          <w:rFonts w:hint="eastAsia" w:ascii="方正仿宋_GBK" w:hAnsi="方正仿宋_GBK" w:eastAsia="方正仿宋_GBK" w:cs="方正仿宋_GBK"/>
          <w:sz w:val="32"/>
          <w:szCs w:val="32"/>
          <w:lang w:val="en-US" w:eastAsia="zh-CN"/>
        </w:rPr>
        <w:t>81222208。</w:t>
      </w:r>
    </w:p>
    <w:p w14:paraId="4B785C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573E9"/>
    <w:multiLevelType w:val="singleLevel"/>
    <w:tmpl w:val="FCF57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mMyNjk4Y2U3MzA1MTFkYTM5MTliYTE2MzRiOTEifQ=="/>
  </w:docVars>
  <w:rsids>
    <w:rsidRoot w:val="4A533FB1"/>
    <w:rsid w:val="00CA45B9"/>
    <w:rsid w:val="00CE24D1"/>
    <w:rsid w:val="012F2D10"/>
    <w:rsid w:val="0932487E"/>
    <w:rsid w:val="121D1E44"/>
    <w:rsid w:val="151C4CC9"/>
    <w:rsid w:val="18C63B73"/>
    <w:rsid w:val="1C420E24"/>
    <w:rsid w:val="1FFE1506"/>
    <w:rsid w:val="21BF4C05"/>
    <w:rsid w:val="22860C3B"/>
    <w:rsid w:val="23BD57F0"/>
    <w:rsid w:val="23C27922"/>
    <w:rsid w:val="245726B3"/>
    <w:rsid w:val="25253091"/>
    <w:rsid w:val="25BA561F"/>
    <w:rsid w:val="2A0E0081"/>
    <w:rsid w:val="2A9A77ED"/>
    <w:rsid w:val="2B3350AB"/>
    <w:rsid w:val="2C245E51"/>
    <w:rsid w:val="2C8B5ED0"/>
    <w:rsid w:val="2CA27252"/>
    <w:rsid w:val="2F4A3E20"/>
    <w:rsid w:val="2F9D4F14"/>
    <w:rsid w:val="2FDB0F1C"/>
    <w:rsid w:val="3D3103CE"/>
    <w:rsid w:val="3F9B6078"/>
    <w:rsid w:val="3FDE4900"/>
    <w:rsid w:val="405A102B"/>
    <w:rsid w:val="4061546E"/>
    <w:rsid w:val="414E75FF"/>
    <w:rsid w:val="426E70EC"/>
    <w:rsid w:val="47FA432A"/>
    <w:rsid w:val="48C645F5"/>
    <w:rsid w:val="4A533FB1"/>
    <w:rsid w:val="4B5300A9"/>
    <w:rsid w:val="4C09086B"/>
    <w:rsid w:val="4CF324BE"/>
    <w:rsid w:val="4DBE3EFF"/>
    <w:rsid w:val="4E4A7CCA"/>
    <w:rsid w:val="54245941"/>
    <w:rsid w:val="54393172"/>
    <w:rsid w:val="57034731"/>
    <w:rsid w:val="59151684"/>
    <w:rsid w:val="5B7976B8"/>
    <w:rsid w:val="604069F6"/>
    <w:rsid w:val="63003879"/>
    <w:rsid w:val="635959A6"/>
    <w:rsid w:val="635E1D70"/>
    <w:rsid w:val="63A454EE"/>
    <w:rsid w:val="64DB71EF"/>
    <w:rsid w:val="652266CA"/>
    <w:rsid w:val="67A04834"/>
    <w:rsid w:val="68114A39"/>
    <w:rsid w:val="685A3318"/>
    <w:rsid w:val="699D73E1"/>
    <w:rsid w:val="6B32518D"/>
    <w:rsid w:val="6BA974EE"/>
    <w:rsid w:val="74942A15"/>
    <w:rsid w:val="74BD4012"/>
    <w:rsid w:val="771D13E7"/>
    <w:rsid w:val="774D6A77"/>
    <w:rsid w:val="7A72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5864</Words>
  <Characters>6544</Characters>
  <Lines>0</Lines>
  <Paragraphs>0</Paragraphs>
  <TotalTime>5</TotalTime>
  <ScaleCrop>false</ScaleCrop>
  <LinksUpToDate>false</LinksUpToDate>
  <CharactersWithSpaces>6574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2024-08-19T07:27:00Z</dcterms:created>
  <dc:creator>zsq123</dc:creator>
  <cp:lastModifiedBy>zsq123</cp:lastModifiedBy>
  <dcterms:modified xsi:type="dcterms:W3CDTF">2024-08-20T03:02:04Z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59FF7C8C2D9241E1B2BFD4D0D2577FF3_13</vt:lpwstr>
  </property>
</Properties>
</file>