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41B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重庆市江津区政务服务管理办公室</w:t>
      </w:r>
    </w:p>
    <w:p w14:paraId="2F46E08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2023年度部门决算公开说明</w:t>
      </w:r>
    </w:p>
    <w:p w14:paraId="0E7714F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p>
    <w:p w14:paraId="019E17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3FED75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F8782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的职能职责：1.贯彻落实党中央国务院、市委市政府、区委区政府转变政府职能和“放管服”改革有关方针政策，制定转变政府职能、优化政务服务、改善营商环境相应制度、办法、措施并组织实施，承担重庆市江津区人民政府推进政府职能转变和“放管服”改革协调小组办公室日常工作。2.负责牵头推进全区简政放权、放管结合、优化服务工作，完善政务服务管理体制，牵头推进营商环境建设。3.承担行政审批制度改革的组织、执行和指导职责。对区级各部门办理行政审批和公共服务事项的工作实施统一管理。承担重庆市江津区行政审批制度改革办公室日常工作。4.承担区级行政权力事项和公共服务事项清单管理工作，指导镇级行政权力事项和公共服务事项清单管理工作，牵头负责市级行政审批事项的承接、取消、调整工作；牵头负责对区级平台和各镇（街道）放权的审查、指导及运行情况评估工作；牵头建立事中事后监管机制。5.负责区、镇（街道）、村（社区）三级服务体系建设管理，统筹指导、督促区行政服务中心及分中心行政审批服务便民化工作，组织开展业务培训。牵头推进实体大厅规范化建设和网上大厅融合发展。6.负责开展政务服务标准化建设，指导、督促三级服务中心、政府职能部门落实政务服务事项、流程、服务、场所、监督检查评价标准。7.负责推进、指导、协调、监督全区的政府信息公开工作。8.负责全区政府系统电子政务发展和政务信息资源的规划、协调和指导，负责统筹全区电子政务外网网络、全区政务共享应用平台、区政府信息公开平台的建设管理，负责全区政府系统政务机房集约化的建设管理，统筹、指导各镇（街道）、政府各部门电子政务建设。9.负责推进“互联网+政务服务”，开展一体化政务服务平台建设，开展网上审批服务，对全区政务服务效能开展电子监察。10.负责全区服务群众工作中民生事项的研判、分析，统筹服务群众工作系统的运行管理。11.负责规范、健全全区政务服务、电子政务、政务公开的工作机制，开展日常监管和考核工作。受理有关政务服务、电子政务和政务公开的咨询、投诉、建议工作。12.完成区委、区政府交办的其他任务。</w:t>
      </w:r>
    </w:p>
    <w:p w14:paraId="5C5C72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方正楷体_GBK" w:eastAsia="方正楷体_GBK" w:cs="方正楷体_GBK"/>
          <w:sz w:val="32"/>
          <w:szCs w:val="32"/>
          <w:lang w:val="en-US" w:eastAsia="zh-CN"/>
        </w:rPr>
      </w:pPr>
      <w:bookmarkStart w:id="0" w:name="_GoBack"/>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单位</w:t>
      </w:r>
      <w:bookmarkEnd w:id="0"/>
      <w:r>
        <w:rPr>
          <w:rFonts w:hint="eastAsia" w:ascii="方正楷体_GBK" w:hAnsi="方正楷体_GBK" w:eastAsia="方正楷体_GBK" w:cs="方正楷体_GBK"/>
          <w:sz w:val="32"/>
          <w:szCs w:val="32"/>
          <w:lang w:val="en-US" w:eastAsia="zh-CN"/>
        </w:rPr>
        <w:t>构成</w:t>
      </w:r>
    </w:p>
    <w:p w14:paraId="0CD3AF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重庆市江津区政务服务管理办公室下属事业单位2个：重庆市江津区行政服务中心、重庆市江津区电子政务服务中心。</w:t>
      </w:r>
    </w:p>
    <w:p w14:paraId="5AC9FB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重庆市江津区政务服务管理办公室设3个内设机构：综合科、政务服务管理科（重庆市江津区行政审批制度改革办公室）、效能监察科。</w:t>
      </w:r>
    </w:p>
    <w:p w14:paraId="686F45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w:t>
      </w:r>
    </w:p>
    <w:p w14:paraId="2083E2A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（一）部门收支总体情况</w:t>
      </w:r>
    </w:p>
    <w:p w14:paraId="17BC17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收入支出总体情况。</w:t>
      </w:r>
      <w:r>
        <w:rPr>
          <w:rFonts w:hint="eastAsia" w:ascii="方正仿宋_GBK" w:hAnsi="方正仿宋_GBK" w:eastAsia="方正仿宋_GBK" w:cs="方正仿宋_GBK"/>
          <w:sz w:val="32"/>
          <w:szCs w:val="32"/>
        </w:rPr>
        <w:t>2023年度收入总计2791.16万元，支出总计2791.16万元。收支较上年决算数增加371.18万元，增长15.34%，主要原因是人员晋升，公积金社保基数调整，增加人员经费；因搬迁新政务大厅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公用开支；2023年新增政务大厅物业管理费和食堂运行经费、疫情防控费用、设施尾款、政务服务能力提升费用项目，常年性项目临聘人员劳务派遣费和三级服务体系运维经费均有所增加</w:t>
      </w:r>
      <w:r>
        <w:rPr>
          <w:rFonts w:hint="eastAsia" w:ascii="方正仿宋_GBK" w:hAnsi="方正仿宋_GBK" w:eastAsia="方正仿宋_GBK" w:cs="方正仿宋_GBK"/>
          <w:sz w:val="32"/>
          <w:szCs w:val="32"/>
          <w:lang w:eastAsia="zh-CN"/>
        </w:rPr>
        <w:t>。</w:t>
      </w:r>
    </w:p>
    <w:p w14:paraId="1B9CD8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
          <w:bCs/>
          <w:sz w:val="32"/>
          <w:szCs w:val="32"/>
        </w:rPr>
        <w:t>收入情况。</w:t>
      </w:r>
      <w:r>
        <w:rPr>
          <w:rFonts w:hint="eastAsia" w:ascii="方正仿宋_GBK" w:hAnsi="方正仿宋_GBK" w:eastAsia="方正仿宋_GBK" w:cs="方正仿宋_GBK"/>
          <w:sz w:val="32"/>
          <w:szCs w:val="32"/>
        </w:rPr>
        <w:t>2023年度收入合计2791.16万元，较上年决算数增加384.78万元，增长15.99%，主要原因是人员晋升，公积金社保基数调整，增加人员经费；因搬迁新政务大厅，增加公用开支；2023年新增政务大厅物业管理费和食堂运行经费、疫情防控费用、设施尾款、政务服务能力提升费用项目，常年性项目临聘人员劳务派遣费和三级服务体系运维经费均有所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2022年优化营商环境培训为存量资金再安排费用未纳入本年收入。其中：财政拨款收入2791.16万元，占100.00%；事业收入0.00万元，占0.00%；经营收入0.00万元，占0.00%；其他收入0.00万元，占0.00%。此外，使用非财政拨款结余和专用结余0.00万元，年初结转和结余0.00万元。</w:t>
      </w:r>
    </w:p>
    <w:p w14:paraId="0ADD695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sz w:val="32"/>
          <w:szCs w:val="32"/>
        </w:rPr>
        <w:t>2023年度支出合计2791.16万元，较上年决算数增加371.18万元，增长15.34%，主要原因是人员晋升，公积金社保基数调整，增加人员经费；因搬迁新政务大厅，增加公用开支；2023年新增政务大厅物业管理费和食堂运行经费、疫情防控费用、设施尾款、政务服务能力提升费用项目，常年性项目临聘人员劳务派遣费和三级服务体系运维经费均有所增加。其中：基本支出1181.87万元，占42.34%；项目支出1609.29万元，占57.66%；经营支出0.00万元，占0.00%。此外，结余分配0.00万元。</w:t>
      </w:r>
    </w:p>
    <w:p w14:paraId="70AAF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2023年度年末结转和结余0.00万元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较上年决算数增加0.00万元，增长0%。</w:t>
      </w:r>
    </w:p>
    <w:p w14:paraId="47A28F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（二）财政拨款收支总体情况</w:t>
      </w:r>
    </w:p>
    <w:p w14:paraId="5ACAF7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2791.16万元。与2022年相比，财政拨款收、支总计各增加371.18万元，增长15.34%。主要原因是人员晋升，公积金社保基数调整，增加人员经费；因搬迁新政务大厅，增加公用开支；2023年新增政务大厅物业管理费和食堂运行经费、疫情防控费用、设施尾款、政务服务能力提升费用项目，常年性项目临聘人员劳务派遣费和三级服务体系运维经费均有所增加。</w:t>
      </w:r>
    </w:p>
    <w:p w14:paraId="1193EB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（三）一般公共预算财政拨款收支总体情况</w:t>
      </w:r>
    </w:p>
    <w:p w14:paraId="3D4245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收入情况</w:t>
      </w:r>
      <w:r>
        <w:rPr>
          <w:rFonts w:hint="eastAsia" w:ascii="方正仿宋_GBK" w:hAnsi="方正仿宋_GBK" w:eastAsia="方正仿宋_GBK" w:cs="方正仿宋_GBK"/>
          <w:sz w:val="32"/>
          <w:szCs w:val="32"/>
        </w:rPr>
        <w:t>。2023年度一般公共预算财政拨款收入2791.16万元，较上年决算数增加384.78万元，增长15.99%。主要原因是人员晋升，公积金社保基数调整，增加人员经费；因搬迁新政务大厅，增加公用开支；2023年新增政务大厅物业管理费和食堂运行经费、疫情防控费用、设施尾款、政务服务能力提升费用项目，常年性项目临聘人员劳务派遣费和三级服务体系运维经费均有所增加，2022年优化营商环境培训为存量资金再安排费用未纳入本年收入。较年初预算数增加152.23万元，增长5.77%。主要原因是</w:t>
      </w:r>
      <w:r>
        <w:rPr>
          <w:rFonts w:hint="eastAsia" w:ascii="方正仿宋_GBK" w:hAnsi="方正仿宋_GBK" w:eastAsia="方正仿宋_GBK" w:cs="方正仿宋_GBK"/>
          <w:sz w:val="32"/>
          <w:szCs w:val="32"/>
          <w:lang w:val="en-US" w:eastAsia="zh-CN"/>
        </w:rPr>
        <w:t>年中追加项目支出政务大厅日常运转经费53万元、滨江商务大厦（新政务大厅）食堂运行经费30万元、滨江商务大厦（新政务大厅）物业管理费100万元，三级服务体系运维经费10万元，临聘人员劳务费50万元，优化营商环境专题培训班费用14.99万元；人员晋升追加人员经费</w:t>
      </w:r>
      <w:r>
        <w:rPr>
          <w:rFonts w:hint="eastAsia" w:ascii="方正仿宋_GBK" w:hAnsi="方正仿宋_GBK" w:eastAsia="方正仿宋_GBK" w:cs="方正仿宋_GBK"/>
          <w:sz w:val="32"/>
          <w:szCs w:val="32"/>
        </w:rPr>
        <w:t>。此外，年初财政拨款结转和结余0.00万元。</w:t>
      </w:r>
    </w:p>
    <w:p w14:paraId="142D7F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sz w:val="32"/>
          <w:szCs w:val="32"/>
        </w:rPr>
        <w:t>。2023年度一般公共预算财政拨款支出2791.16万元，较上年决算数增加371.18万元，增长15.34%。主要原因是人员晋升，公积金社保基数调整，增加人员经费；因搬迁新政务大厅，增加公用开支；2023年新增政务大厅物业管理费和食堂运行经费、疫情防控费用、设施尾款、政务服务能力提升费用项目，常年性项目临聘人员劳务派遣费和三级服务体系运维经费均有所增加。较年初预算数增加152.23万元，增长5.77%。主要原因是年中追加项目支出政务大厅日常运转经费53万元、滨江商务大厦（新政务大厅）食堂运行经费30万元、滨江商务大厦（新政务大厅）物业管理费100万元，三级服务体系运维经费10万元，临聘人员劳务费50万元，优化营商环境专题培训班费用14.99万元；人员晋升追加人员经费。</w:t>
      </w:r>
    </w:p>
    <w:p w14:paraId="53BDFA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。2023年度年末一般公共预算财政拨款结转和结余0.00万元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较上年决算数增加0.00万元，增长0%。主要原因是</w:t>
      </w:r>
      <w:r>
        <w:rPr>
          <w:rFonts w:hint="eastAsia" w:ascii="方正仿宋_GBK" w:hAnsi="方正仿宋_GBK" w:eastAsia="方正仿宋_GBK" w:cs="方正仿宋_GBK"/>
          <w:sz w:val="32"/>
          <w:szCs w:val="32"/>
          <w:lang w:val="en-US" w:eastAsia="zh-CN"/>
        </w:rPr>
        <w:t>我办无年末结转结余资金</w:t>
      </w:r>
      <w:r>
        <w:rPr>
          <w:rFonts w:hint="eastAsia" w:ascii="方正仿宋_GBK" w:hAnsi="方正仿宋_GBK" w:eastAsia="方正仿宋_GBK" w:cs="方正仿宋_GBK"/>
          <w:sz w:val="32"/>
          <w:szCs w:val="32"/>
        </w:rPr>
        <w:t>。</w:t>
      </w:r>
    </w:p>
    <w:p w14:paraId="3DFCCB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b/>
          <w:bCs/>
          <w:sz w:val="32"/>
          <w:szCs w:val="32"/>
        </w:rPr>
        <w:t>比较情况</w:t>
      </w:r>
      <w:r>
        <w:rPr>
          <w:rFonts w:hint="eastAsia" w:ascii="方正仿宋_GBK" w:hAnsi="方正仿宋_GBK" w:eastAsia="方正仿宋_GBK" w:cs="方正仿宋_GBK"/>
          <w:sz w:val="32"/>
          <w:szCs w:val="32"/>
        </w:rPr>
        <w:t>。本部门2023年度一般公共预算财政拨款支出主要用于以下几个方面：</w:t>
      </w:r>
    </w:p>
    <w:p w14:paraId="63A9C2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2533.12万元，占90.76%，较年初预算数增加157.05万元，增长6.61%，主要原因是年中追加项目支出政务大厅日常运转经费53万元、滨江商务大厦（新政务大厅）食堂运行经费30万元、滨江商务大厦（新政务大厅）物业管理费100万元，三级服务体系运维经费10万元，临聘人员劳务费50万元，优化营商环境专题培训班费用14.99万元；人员晋升追加人员经费。</w:t>
      </w:r>
    </w:p>
    <w:p w14:paraId="54A85E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）教育支出5.62万元，占0.20%，较年初预算数无增减，主要原因是</w:t>
      </w:r>
      <w:r>
        <w:rPr>
          <w:rFonts w:hint="eastAsia" w:ascii="方正仿宋_GBK" w:hAnsi="方正仿宋_GBK" w:eastAsia="方正仿宋_GBK" w:cs="方正仿宋_GBK"/>
          <w:sz w:val="32"/>
          <w:szCs w:val="32"/>
          <w:lang w:val="en-US" w:eastAsia="zh-CN"/>
        </w:rPr>
        <w:t>与年初预算支出持平</w:t>
      </w:r>
      <w:r>
        <w:rPr>
          <w:rFonts w:hint="eastAsia" w:ascii="方正仿宋_GBK" w:hAnsi="方正仿宋_GBK" w:eastAsia="方正仿宋_GBK" w:cs="方正仿宋_GBK"/>
          <w:sz w:val="32"/>
          <w:szCs w:val="32"/>
        </w:rPr>
        <w:t>。</w:t>
      </w:r>
    </w:p>
    <w:p w14:paraId="40794F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）社会保障与就业支出131.03万元，占4.69%，较年初预算数减少0.48万元，下降0.36%，主要原因是</w:t>
      </w:r>
      <w:r>
        <w:rPr>
          <w:rFonts w:hint="eastAsia" w:ascii="方正仿宋_GBK" w:hAnsi="方正仿宋_GBK" w:eastAsia="方正仿宋_GBK" w:cs="方正仿宋_GBK"/>
          <w:sz w:val="32"/>
          <w:szCs w:val="32"/>
          <w:lang w:val="en-US" w:eastAsia="zh-CN"/>
        </w:rPr>
        <w:t>追加退休人员2021年健康休养费补发，但在职人员养老保险和职业年金基数调整，费用减少</w:t>
      </w:r>
      <w:r>
        <w:rPr>
          <w:rFonts w:hint="eastAsia" w:ascii="方正仿宋_GBK" w:hAnsi="方正仿宋_GBK" w:eastAsia="方正仿宋_GBK" w:cs="方正仿宋_GBK"/>
          <w:sz w:val="32"/>
          <w:szCs w:val="32"/>
        </w:rPr>
        <w:t>。</w:t>
      </w:r>
    </w:p>
    <w:p w14:paraId="21EA3E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）卫生健康支出52.55万元，占1.88%，较年初预算数减少0.30万元，下降0.57%，主要原因是</w:t>
      </w:r>
      <w:r>
        <w:rPr>
          <w:rFonts w:hint="eastAsia" w:ascii="方正仿宋_GBK" w:hAnsi="方正仿宋_GBK" w:eastAsia="方正仿宋_GBK" w:cs="方正仿宋_GBK"/>
          <w:sz w:val="32"/>
          <w:szCs w:val="32"/>
          <w:lang w:val="en-US" w:eastAsia="zh-CN"/>
        </w:rPr>
        <w:t>2023年调出1人，减少公务员医疗补助费用</w:t>
      </w:r>
      <w:r>
        <w:rPr>
          <w:rFonts w:hint="eastAsia" w:ascii="方正仿宋_GBK" w:hAnsi="方正仿宋_GBK" w:eastAsia="方正仿宋_GBK" w:cs="方正仿宋_GBK"/>
          <w:sz w:val="32"/>
          <w:szCs w:val="32"/>
        </w:rPr>
        <w:t>。</w:t>
      </w:r>
    </w:p>
    <w:p w14:paraId="74D0B1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）住房保障支出68.84万元，占2.47%，较年初预算数减少4.05万元，下降5.56%，主要原因是</w:t>
      </w:r>
      <w:r>
        <w:rPr>
          <w:rFonts w:hint="eastAsia" w:ascii="方正仿宋_GBK" w:hAnsi="方正仿宋_GBK" w:eastAsia="方正仿宋_GBK" w:cs="方正仿宋_GBK"/>
          <w:sz w:val="32"/>
          <w:szCs w:val="32"/>
          <w:lang w:val="en-US" w:eastAsia="zh-CN"/>
        </w:rPr>
        <w:t>公务员工资津补贴清算，清退公积金，所以公积金减少</w:t>
      </w:r>
      <w:r>
        <w:rPr>
          <w:rFonts w:hint="eastAsia" w:ascii="方正仿宋_GBK" w:hAnsi="方正仿宋_GBK" w:eastAsia="方正仿宋_GBK" w:cs="方正仿宋_GBK"/>
          <w:sz w:val="32"/>
          <w:szCs w:val="32"/>
        </w:rPr>
        <w:t>。</w:t>
      </w:r>
    </w:p>
    <w:p w14:paraId="739E85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（四）一般公共预算财政拨款基本支出情况</w:t>
      </w:r>
    </w:p>
    <w:p w14:paraId="787898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1181.87万元。其中：人员经费990.65万元，较上年决算数增加121.61万元，增长13.99%，主要原因是人员晋升，公积金社保基数调整，增加人员经费。人员经费用途主要包括基本工资、津贴补贴、奖金、机关事业单位基本养老保险缴费、职业年金缴费、社会保障缴费、住房公积金、其他工资福利支出等。公用经费191.22万元，较上年决算数增加22.81万元，增长13.54%，主要原因是因搬迁新政务大厅公用开支增加。公用经费用途主要包括办公费、水费、电费、邮电费、差旅费、维修费、租赁费、会议费、培训费、公务接待费、劳务费、委托业务费、工会经费、公务用车维护费、其他交通费用、其他商品和服务支出、办公设备购置。</w:t>
      </w:r>
    </w:p>
    <w:p w14:paraId="782D3A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w:t>
      </w:r>
    </w:p>
    <w:p w14:paraId="4967D3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本部门2023年度无政府性基金预算财政拨款收支。</w:t>
      </w:r>
    </w:p>
    <w:p w14:paraId="484186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w:t>
      </w:r>
    </w:p>
    <w:p w14:paraId="16481A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本部门2023年度无国有资本经营预算财政拨款支出。</w:t>
      </w:r>
    </w:p>
    <w:p w14:paraId="0F11D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w:t>
      </w:r>
    </w:p>
    <w:p w14:paraId="16A13A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w:t>
      </w:r>
    </w:p>
    <w:p w14:paraId="7FB6A7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2023年度“三公”经费支出共计2.86万元，较年初预算数减少3.44万元，下降54.60%，主要原因是一是认真贯彻落实中央八项规定精神，按照只减不增的要求从严控制“三公”经费，全年实际支出较预算有所下降。</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是强化公务接待支出管理，严格遵守公务接待开支范围和开支标准，严格控制陪餐人数，对应由接待对象承担的费用一律由接待对象自行支付。较上年支出数增加0.77万元，增长36.84%，主要原因</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2023年比2022年加油费用增加，2023年进行公务车维修，增加维修费；接待人数较2022年减少，相应费用减少，相比之下维修增加较大。</w:t>
      </w:r>
    </w:p>
    <w:p w14:paraId="13C605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37477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因公出国（境）费用0.00万元，费用支出与年初预算数持平；与上年支出数持平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无因公出国（境）计划</w:t>
      </w:r>
      <w:r>
        <w:rPr>
          <w:rFonts w:hint="eastAsia" w:ascii="方正仿宋_GBK" w:hAnsi="方正仿宋_GBK" w:eastAsia="方正仿宋_GBK" w:cs="方正仿宋_GBK"/>
          <w:sz w:val="32"/>
          <w:szCs w:val="32"/>
        </w:rPr>
        <w:t>。</w:t>
      </w:r>
    </w:p>
    <w:p w14:paraId="1D7489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无公务车购置计划</w:t>
      </w:r>
      <w:r>
        <w:rPr>
          <w:rFonts w:hint="eastAsia" w:ascii="方正仿宋_GBK" w:hAnsi="方正仿宋_GBK" w:eastAsia="方正仿宋_GBK" w:cs="方正仿宋_GBK"/>
          <w:sz w:val="32"/>
          <w:szCs w:val="32"/>
        </w:rPr>
        <w:t>。</w:t>
      </w:r>
    </w:p>
    <w:p w14:paraId="284745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2.42万元，主要用于机要文件交换、市内因公出行、业务检查等工作所需车辆的加油费、停车费、维修费、过桥过路费、保险费等。费用支出较年初预算数减少2.58万元，下降51.60%，主要原因是严格落实公车使用规定，严禁公车私用，减少公务用车外出数量，公车运行维护成本大幅下降。较上年支出数增加1.01万元，增长71.63%，主要原因是2023年比2022年加油费用增加，2023年进行公务车维修，增加维修费。</w:t>
      </w:r>
    </w:p>
    <w:p w14:paraId="68C4EB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0.44万元，主要用于接待重庆各区县到我单位考察学习工作发生的接待支出。费用支出较年初预算数减少0.86万元，下降66.15%，主要原因是强化公务接待支出管理，严格遵守公务接待开支范围和开支标准，严格控制陪餐人数，对应由接待对象承担的费用一律由接待对象自行支付。较上年支出数减少0.24万元，下降35.29%，主要原因是接待人数较2022年减少，相应费用减少。</w:t>
      </w:r>
    </w:p>
    <w:p w14:paraId="0282E4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3C87A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部门因公出国（境）共计0个团组，0人；公务用车购置0辆，公务车保有量为1辆；国内公务接待3批次52人，其中：国内外事接待0批次，0人；国（境）外公务接待0批次，0人。2023年本部门人均接待费84.75元，车均购置费0万元，车均维护费2.42万元。</w:t>
      </w:r>
    </w:p>
    <w:p w14:paraId="35C5ED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73A4B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（一）机关运行经费情况</w:t>
      </w:r>
    </w:p>
    <w:p w14:paraId="5F53453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2023年度本部门机关运行经费支出157.49万元，较上年支出数增加24.66万元，增长18.57%，主要原因是因搬迁新政务大厅公用开支增加。比年初预算数</w:t>
      </w:r>
      <w:r>
        <w:rPr>
          <w:rFonts w:hint="eastAsia" w:ascii="方正仿宋_GBK" w:hAnsi="方正仿宋_GBK" w:eastAsia="方正仿宋_GBK" w:cs="方正仿宋_GBK"/>
          <w:sz w:val="32"/>
          <w:szCs w:val="32"/>
          <w:lang w:val="en-US" w:eastAsia="zh-CN"/>
        </w:rPr>
        <w:t>减少59.61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下降27.46</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使用公用经费弥补人员经费</w:t>
      </w:r>
      <w:r>
        <w:rPr>
          <w:rFonts w:hint="eastAsia" w:ascii="方正仿宋_GBK" w:hAnsi="方正仿宋_GBK" w:eastAsia="方正仿宋_GBK" w:cs="方正仿宋_GBK"/>
          <w:sz w:val="32"/>
          <w:szCs w:val="32"/>
        </w:rPr>
        <w:t>。机关运行经费主要用于开支办公费、印刷费、水费、电费、邮电费、差旅费、维修费、租赁费、会议费、培训费、公务接待费、劳务费、委托业务费、工会经费、福利费、公务用车运行维护费、其他交通费用、其他商品和服务支出、办公设备购置。</w:t>
      </w:r>
    </w:p>
    <w:p w14:paraId="53607B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本年度会议费支出0.93万元，较上年决算数减少1.80万元，下降65.93%，主要原因是相较2022年，2023年会议次数减少，相应减少会议费</w:t>
      </w:r>
      <w:r>
        <w:rPr>
          <w:rFonts w:hint="eastAsia" w:ascii="方正仿宋_GBK" w:hAnsi="方正仿宋_GBK" w:eastAsia="方正仿宋_GBK" w:cs="方正仿宋_GBK"/>
          <w:sz w:val="32"/>
          <w:szCs w:val="32"/>
          <w:lang w:eastAsia="zh-CN"/>
        </w:rPr>
        <w:t>。</w:t>
      </w:r>
    </w:p>
    <w:p w14:paraId="1DCA0E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本年度培训费支出28.88万元，较上年决算数增加3.71万元，增长14.74%，主要原因是2023年党支部到湖南开展党员培训活动，2022年未到市外开展培训，培训费有所增加。</w:t>
      </w:r>
    </w:p>
    <w:p w14:paraId="139E43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）国有资产占用情况说明</w:t>
      </w:r>
    </w:p>
    <w:p w14:paraId="4D4D0C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70DFC6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）政府采购支出说明</w:t>
      </w:r>
    </w:p>
    <w:p w14:paraId="5BA608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政府采购支出总额1111.07万元，其中：政府采购货物支出0.00万元、政府采购工程支出0.00万元、政府采购服务支出1111.07万元。授予中小企业合同金额264.60万元，占政府采购支出总额的23.81%，其中：授予小微企业合同金额122.00万元，占政府采购支出总额的10.98 %。主要用于采购</w:t>
      </w:r>
      <w:r>
        <w:rPr>
          <w:rFonts w:hint="eastAsia" w:ascii="方正仿宋_GBK" w:hAnsi="方正仿宋_GBK" w:eastAsia="方正仿宋_GBK" w:cs="方正仿宋_GBK"/>
          <w:sz w:val="32"/>
          <w:szCs w:val="32"/>
          <w:lang w:val="en-US" w:eastAsia="zh-CN"/>
        </w:rPr>
        <w:t>江津区政务服务中心物业服务，供配电、弱电及给排水维护保养服务，江津区政府网站运维和优化服务</w:t>
      </w:r>
      <w:r>
        <w:rPr>
          <w:rFonts w:hint="eastAsia" w:ascii="方正仿宋_GBK" w:hAnsi="方正仿宋_GBK" w:eastAsia="方正仿宋_GBK" w:cs="方正仿宋_GBK"/>
          <w:sz w:val="32"/>
          <w:szCs w:val="32"/>
        </w:rPr>
        <w:t>。</w:t>
      </w:r>
    </w:p>
    <w:p w14:paraId="3FB2CA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w:t>
      </w:r>
    </w:p>
    <w:p w14:paraId="0EC451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（一）预算绩效管理工作开展情况</w:t>
      </w:r>
    </w:p>
    <w:p w14:paraId="65BAA9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根据预算绩效管理要求，我</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对部门整体和</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1609.29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3DCCE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p w14:paraId="3706E9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 xml:space="preserve"> 绩效目标自评表</w:t>
      </w:r>
    </w:p>
    <w:p w14:paraId="1FC9B4B2">
      <w:pPr>
        <w:keepNext w:val="0"/>
        <w:keepLines w:val="0"/>
        <w:pageBreakBefore w:val="0"/>
        <w:widowControl w:val="0"/>
        <w:kinsoku/>
        <w:wordWrap/>
        <w:overflowPunct/>
        <w:topLinePunct w:val="0"/>
        <w:autoSpaceDE/>
        <w:autoSpaceDN/>
        <w:bidi w:val="0"/>
        <w:adjustRightInd/>
        <w:snapToGrid/>
        <w:spacing w:line="579" w:lineRule="exact"/>
        <w:ind w:firstLine="1928" w:firstLineChars="6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2023年度部门整体绩效自评表</w:t>
      </w:r>
    </w:p>
    <w:tbl>
      <w:tblPr>
        <w:tblStyle w:val="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510"/>
        <w:gridCol w:w="940"/>
        <w:gridCol w:w="976"/>
        <w:gridCol w:w="1040"/>
        <w:gridCol w:w="1208"/>
        <w:gridCol w:w="1236"/>
        <w:gridCol w:w="836"/>
      </w:tblGrid>
      <w:tr w14:paraId="32D8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7" w:type="dxa"/>
            <w:tcBorders>
              <w:tl2br w:val="nil"/>
              <w:tr2bl w:val="nil"/>
            </w:tcBorders>
            <w:noWrap w:val="0"/>
            <w:vAlign w:val="center"/>
          </w:tcPr>
          <w:p w14:paraId="7298A7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4C77FF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989" w:type="dxa"/>
            <w:gridSpan w:val="6"/>
            <w:tcBorders>
              <w:tl2br w:val="nil"/>
              <w:tr2bl w:val="nil"/>
            </w:tcBorders>
            <w:noWrap w:val="0"/>
            <w:vAlign w:val="center"/>
          </w:tcPr>
          <w:p w14:paraId="42CD20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重庆市江津区政务服务管理办公室整体监控</w:t>
            </w:r>
          </w:p>
        </w:tc>
        <w:tc>
          <w:tcPr>
            <w:tcW w:w="976" w:type="dxa"/>
            <w:tcBorders>
              <w:tl2br w:val="nil"/>
              <w:tr2bl w:val="nil"/>
            </w:tcBorders>
            <w:noWrap w:val="0"/>
            <w:vAlign w:val="center"/>
          </w:tcPr>
          <w:p w14:paraId="0CB2D5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14:paraId="7477E3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20" w:type="dxa"/>
            <w:gridSpan w:val="4"/>
            <w:tcBorders>
              <w:tl2br w:val="nil"/>
              <w:tr2bl w:val="nil"/>
            </w:tcBorders>
            <w:noWrap w:val="0"/>
            <w:vAlign w:val="center"/>
          </w:tcPr>
          <w:p w14:paraId="1303AA7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p>
        </w:tc>
      </w:tr>
      <w:tr w14:paraId="79C4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47" w:type="dxa"/>
            <w:tcBorders>
              <w:tl2br w:val="nil"/>
              <w:tr2bl w:val="nil"/>
            </w:tcBorders>
            <w:noWrap w:val="0"/>
            <w:vAlign w:val="center"/>
          </w:tcPr>
          <w:p w14:paraId="722647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04BEF9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1AF7BD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p>
        </w:tc>
        <w:tc>
          <w:tcPr>
            <w:tcW w:w="1075" w:type="dxa"/>
            <w:gridSpan w:val="2"/>
            <w:tcBorders>
              <w:tl2br w:val="nil"/>
              <w:tr2bl w:val="nil"/>
            </w:tcBorders>
            <w:noWrap w:val="0"/>
            <w:vAlign w:val="center"/>
          </w:tcPr>
          <w:p w14:paraId="30A310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450" w:type="dxa"/>
            <w:gridSpan w:val="2"/>
            <w:tcBorders>
              <w:tl2br w:val="nil"/>
              <w:tr2bl w:val="nil"/>
            </w:tcBorders>
            <w:noWrap w:val="0"/>
            <w:vAlign w:val="center"/>
          </w:tcPr>
          <w:p w14:paraId="25AE33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976" w:type="dxa"/>
            <w:tcBorders>
              <w:tl2br w:val="nil"/>
              <w:tr2bl w:val="nil"/>
            </w:tcBorders>
            <w:noWrap w:val="0"/>
            <w:vAlign w:val="center"/>
          </w:tcPr>
          <w:p w14:paraId="54F99B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w:t>
            </w:r>
          </w:p>
          <w:p w14:paraId="205CE3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40" w:type="dxa"/>
            <w:tcBorders>
              <w:tl2br w:val="nil"/>
              <w:tr2bl w:val="nil"/>
            </w:tcBorders>
            <w:noWrap w:val="0"/>
            <w:vAlign w:val="center"/>
          </w:tcPr>
          <w:p w14:paraId="2B5E85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苏杨</w:t>
            </w:r>
          </w:p>
        </w:tc>
        <w:tc>
          <w:tcPr>
            <w:tcW w:w="1208" w:type="dxa"/>
            <w:tcBorders>
              <w:tl2br w:val="nil"/>
              <w:tr2bl w:val="nil"/>
            </w:tcBorders>
            <w:noWrap w:val="0"/>
            <w:vAlign w:val="center"/>
          </w:tcPr>
          <w:p w14:paraId="149FB7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2"/>
            <w:tcBorders>
              <w:tl2br w:val="nil"/>
              <w:tr2bl w:val="nil"/>
            </w:tcBorders>
            <w:noWrap w:val="0"/>
            <w:vAlign w:val="center"/>
          </w:tcPr>
          <w:p w14:paraId="7D3AAD7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81222208</w:t>
            </w:r>
          </w:p>
        </w:tc>
      </w:tr>
      <w:tr w14:paraId="54B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47" w:type="dxa"/>
            <w:vMerge w:val="restart"/>
            <w:tcBorders>
              <w:tl2br w:val="nil"/>
              <w:tr2bl w:val="nil"/>
            </w:tcBorders>
            <w:noWrap w:val="0"/>
            <w:textDirection w:val="tbRlV"/>
            <w:vAlign w:val="center"/>
          </w:tcPr>
          <w:p w14:paraId="51C481C5">
            <w:pPr>
              <w:keepNext w:val="0"/>
              <w:keepLines w:val="0"/>
              <w:pageBreakBefore w:val="0"/>
              <w:widowControl/>
              <w:kinsoku/>
              <w:wordWrap/>
              <w:overflowPunct/>
              <w:topLinePunct w:val="0"/>
              <w:autoSpaceDE/>
              <w:autoSpaceDN/>
              <w:bidi w:val="0"/>
              <w:adjustRightInd/>
              <w:snapToGrid/>
              <w:spacing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11AE905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089B75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4846B9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50" w:type="dxa"/>
            <w:gridSpan w:val="2"/>
            <w:tcBorders>
              <w:tl2br w:val="nil"/>
              <w:tr2bl w:val="nil"/>
            </w:tcBorders>
            <w:noWrap w:val="0"/>
            <w:vAlign w:val="center"/>
          </w:tcPr>
          <w:p w14:paraId="53EBF5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016" w:type="dxa"/>
            <w:gridSpan w:val="2"/>
            <w:tcBorders>
              <w:tl2br w:val="nil"/>
              <w:tr2bl w:val="nil"/>
            </w:tcBorders>
            <w:noWrap w:val="0"/>
            <w:vAlign w:val="center"/>
          </w:tcPr>
          <w:p w14:paraId="6B47CD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208" w:type="dxa"/>
            <w:tcBorders>
              <w:tl2br w:val="nil"/>
              <w:tr2bl w:val="nil"/>
            </w:tcBorders>
            <w:noWrap w:val="0"/>
            <w:vAlign w:val="center"/>
          </w:tcPr>
          <w:p w14:paraId="192213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012F5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6" w:type="dxa"/>
            <w:tcBorders>
              <w:tl2br w:val="nil"/>
              <w:tr2bl w:val="nil"/>
            </w:tcBorders>
            <w:noWrap w:val="0"/>
            <w:vAlign w:val="center"/>
          </w:tcPr>
          <w:p w14:paraId="04635E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8174B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36" w:type="dxa"/>
            <w:tcBorders>
              <w:tl2br w:val="nil"/>
              <w:tr2bl w:val="nil"/>
            </w:tcBorders>
            <w:noWrap w:val="0"/>
            <w:vAlign w:val="center"/>
          </w:tcPr>
          <w:p w14:paraId="4EB456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26A0A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E433F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011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15FB136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6792E8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2ABF58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2638.93</w:t>
            </w:r>
          </w:p>
        </w:tc>
        <w:tc>
          <w:tcPr>
            <w:tcW w:w="1450" w:type="dxa"/>
            <w:gridSpan w:val="2"/>
            <w:tcBorders>
              <w:tl2br w:val="nil"/>
              <w:tr2bl w:val="nil"/>
            </w:tcBorders>
            <w:noWrap w:val="0"/>
            <w:vAlign w:val="center"/>
          </w:tcPr>
          <w:p w14:paraId="3A6E23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2791.16</w:t>
            </w:r>
          </w:p>
        </w:tc>
        <w:tc>
          <w:tcPr>
            <w:tcW w:w="2016" w:type="dxa"/>
            <w:gridSpan w:val="2"/>
            <w:tcBorders>
              <w:tl2br w:val="nil"/>
              <w:tr2bl w:val="nil"/>
            </w:tcBorders>
            <w:noWrap w:val="0"/>
            <w:vAlign w:val="center"/>
          </w:tcPr>
          <w:p w14:paraId="292F0F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2791.16</w:t>
            </w:r>
          </w:p>
        </w:tc>
        <w:tc>
          <w:tcPr>
            <w:tcW w:w="1208" w:type="dxa"/>
            <w:tcBorders>
              <w:tl2br w:val="nil"/>
              <w:tr2bl w:val="nil"/>
            </w:tcBorders>
            <w:noWrap w:val="0"/>
            <w:vAlign w:val="center"/>
          </w:tcPr>
          <w:p w14:paraId="681AC8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236" w:type="dxa"/>
            <w:tcBorders>
              <w:tl2br w:val="nil"/>
              <w:tr2bl w:val="nil"/>
            </w:tcBorders>
            <w:noWrap w:val="0"/>
            <w:vAlign w:val="center"/>
          </w:tcPr>
          <w:p w14:paraId="0100C6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0"/>
                <w:sz w:val="24"/>
                <w:szCs w:val="24"/>
              </w:rPr>
            </w:pPr>
          </w:p>
        </w:tc>
        <w:tc>
          <w:tcPr>
            <w:tcW w:w="836" w:type="dxa"/>
            <w:tcBorders>
              <w:tl2br w:val="nil"/>
              <w:tr2bl w:val="nil"/>
            </w:tcBorders>
            <w:noWrap w:val="0"/>
            <w:vAlign w:val="center"/>
          </w:tcPr>
          <w:p w14:paraId="79D647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r>
      <w:tr w14:paraId="3509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4F0EC53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3F5F25B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71AE891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233F97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2638.93</w:t>
            </w:r>
          </w:p>
        </w:tc>
        <w:tc>
          <w:tcPr>
            <w:tcW w:w="1450" w:type="dxa"/>
            <w:gridSpan w:val="2"/>
            <w:tcBorders>
              <w:tl2br w:val="nil"/>
              <w:tr2bl w:val="nil"/>
            </w:tcBorders>
            <w:noWrap w:val="0"/>
            <w:vAlign w:val="center"/>
          </w:tcPr>
          <w:p w14:paraId="06E99D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2791.16</w:t>
            </w:r>
          </w:p>
        </w:tc>
        <w:tc>
          <w:tcPr>
            <w:tcW w:w="2016" w:type="dxa"/>
            <w:gridSpan w:val="2"/>
            <w:tcBorders>
              <w:tl2br w:val="nil"/>
              <w:tr2bl w:val="nil"/>
            </w:tcBorders>
            <w:noWrap w:val="0"/>
            <w:vAlign w:val="center"/>
          </w:tcPr>
          <w:p w14:paraId="600882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2791.16</w:t>
            </w:r>
          </w:p>
        </w:tc>
        <w:tc>
          <w:tcPr>
            <w:tcW w:w="1208" w:type="dxa"/>
            <w:tcBorders>
              <w:tl2br w:val="nil"/>
              <w:tr2bl w:val="nil"/>
            </w:tcBorders>
            <w:noWrap w:val="0"/>
            <w:vAlign w:val="center"/>
          </w:tcPr>
          <w:p w14:paraId="2B1A5B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36" w:type="dxa"/>
            <w:tcBorders>
              <w:tl2br w:val="nil"/>
              <w:tr2bl w:val="nil"/>
            </w:tcBorders>
            <w:noWrap w:val="0"/>
            <w:vAlign w:val="center"/>
          </w:tcPr>
          <w:p w14:paraId="0BDF25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018BD8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66E3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2906AA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49" w:type="dxa"/>
            <w:gridSpan w:val="5"/>
            <w:tcBorders>
              <w:tl2br w:val="nil"/>
              <w:tr2bl w:val="nil"/>
            </w:tcBorders>
            <w:noWrap w:val="0"/>
            <w:vAlign w:val="center"/>
          </w:tcPr>
          <w:p w14:paraId="3093E5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956" w:type="dxa"/>
            <w:gridSpan w:val="3"/>
            <w:tcBorders>
              <w:tl2br w:val="nil"/>
              <w:tr2bl w:val="nil"/>
            </w:tcBorders>
            <w:noWrap w:val="0"/>
            <w:vAlign w:val="center"/>
          </w:tcPr>
          <w:p w14:paraId="6C0663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80" w:type="dxa"/>
            <w:gridSpan w:val="3"/>
            <w:tcBorders>
              <w:tl2br w:val="nil"/>
              <w:tr2bl w:val="nil"/>
            </w:tcBorders>
            <w:noWrap w:val="0"/>
            <w:vAlign w:val="center"/>
          </w:tcPr>
          <w:p w14:paraId="73EDC7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51F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14:paraId="4E8EBD7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049" w:type="dxa"/>
            <w:gridSpan w:val="5"/>
            <w:tcBorders>
              <w:tl2br w:val="nil"/>
              <w:tr2bl w:val="nil"/>
            </w:tcBorders>
            <w:noWrap w:val="0"/>
            <w:vAlign w:val="center"/>
          </w:tcPr>
          <w:p w14:paraId="7297391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贯彻落实党中央国务院、市委市政府、区委区政府转变政府职能和“放管服”改革有关方针政策，制定转变政府职能、优化政务服务、改善营商环境相应制度、办法、措施并组织实施。做好推进营商环境建设、行政审批制度改革、三级服务体系建设、政府信息公开、全区政府系统电子政务发展、服务群众等工作。</w:t>
            </w:r>
          </w:p>
        </w:tc>
        <w:tc>
          <w:tcPr>
            <w:tcW w:w="2956" w:type="dxa"/>
            <w:gridSpan w:val="3"/>
            <w:tcBorders>
              <w:tl2br w:val="nil"/>
              <w:tr2bl w:val="nil"/>
            </w:tcBorders>
            <w:noWrap w:val="0"/>
            <w:vAlign w:val="center"/>
          </w:tcPr>
          <w:p w14:paraId="2CE21B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280" w:type="dxa"/>
            <w:gridSpan w:val="3"/>
            <w:tcBorders>
              <w:tl2br w:val="nil"/>
              <w:tr2bl w:val="nil"/>
            </w:tcBorders>
            <w:noWrap w:val="0"/>
            <w:vAlign w:val="center"/>
          </w:tcPr>
          <w:p w14:paraId="2D1B05D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贯彻落实党中央国务院、市委市政府、区委区政府转变政府职能和“放管服”改革有关方针政策，制定转变政府职能、优化政务服务、改善营商环境相应制度、办法、措施并组织实施。做好推进营商环境建设、行政审批制度改革、三级服务体系建设、政府信息公开、全区政府系统电子政务发展、服务群众等工作。</w:t>
            </w:r>
          </w:p>
        </w:tc>
      </w:tr>
      <w:tr w14:paraId="7ECE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BEE0C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636296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A906C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300BDE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66D1FA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2B3983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A6781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76" w:type="dxa"/>
            <w:gridSpan w:val="2"/>
            <w:tcBorders>
              <w:tl2br w:val="nil"/>
              <w:tr2bl w:val="nil"/>
            </w:tcBorders>
            <w:noWrap w:val="0"/>
            <w:vAlign w:val="center"/>
          </w:tcPr>
          <w:p w14:paraId="599FAA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02D44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40" w:type="dxa"/>
            <w:tcBorders>
              <w:tl2br w:val="nil"/>
              <w:tr2bl w:val="nil"/>
            </w:tcBorders>
            <w:noWrap w:val="0"/>
            <w:vAlign w:val="center"/>
          </w:tcPr>
          <w:p w14:paraId="64EF95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39864C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76" w:type="dxa"/>
            <w:tcBorders>
              <w:tl2br w:val="nil"/>
              <w:tr2bl w:val="nil"/>
            </w:tcBorders>
            <w:noWrap w:val="0"/>
            <w:vAlign w:val="center"/>
          </w:tcPr>
          <w:p w14:paraId="57D0AF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40" w:type="dxa"/>
            <w:tcBorders>
              <w:tl2br w:val="nil"/>
              <w:tr2bl w:val="nil"/>
            </w:tcBorders>
            <w:noWrap w:val="0"/>
            <w:vAlign w:val="center"/>
          </w:tcPr>
          <w:p w14:paraId="1BAAA4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4E5AAA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6116ED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08" w:type="dxa"/>
            <w:tcBorders>
              <w:tl2br w:val="nil"/>
              <w:tr2bl w:val="nil"/>
            </w:tcBorders>
            <w:noWrap w:val="0"/>
            <w:vAlign w:val="center"/>
          </w:tcPr>
          <w:p w14:paraId="62C2B7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w:t>
            </w:r>
          </w:p>
          <w:p w14:paraId="28AF1B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36" w:type="dxa"/>
            <w:tcBorders>
              <w:tl2br w:val="nil"/>
              <w:tr2bl w:val="nil"/>
            </w:tcBorders>
            <w:noWrap w:val="0"/>
            <w:vAlign w:val="center"/>
          </w:tcPr>
          <w:p w14:paraId="6BDD33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37865B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6" w:type="dxa"/>
            <w:tcBorders>
              <w:tl2br w:val="nil"/>
              <w:tr2bl w:val="nil"/>
            </w:tcBorders>
            <w:noWrap w:val="0"/>
            <w:vAlign w:val="center"/>
          </w:tcPr>
          <w:p w14:paraId="63F26C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74B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FE445F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8C7CCC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临聘人员数量</w:t>
            </w:r>
          </w:p>
        </w:tc>
        <w:tc>
          <w:tcPr>
            <w:tcW w:w="708" w:type="dxa"/>
            <w:tcBorders>
              <w:tl2br w:val="nil"/>
              <w:tr2bl w:val="nil"/>
            </w:tcBorders>
            <w:noWrap w:val="0"/>
            <w:vAlign w:val="center"/>
          </w:tcPr>
          <w:p w14:paraId="6F4165A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w:t>
            </w:r>
          </w:p>
        </w:tc>
        <w:tc>
          <w:tcPr>
            <w:tcW w:w="709" w:type="dxa"/>
            <w:tcBorders>
              <w:tl2br w:val="nil"/>
              <w:tr2bl w:val="nil"/>
            </w:tcBorders>
            <w:noWrap w:val="0"/>
            <w:vAlign w:val="center"/>
          </w:tcPr>
          <w:p w14:paraId="1B48D94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3832736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56</w:t>
            </w:r>
          </w:p>
        </w:tc>
        <w:tc>
          <w:tcPr>
            <w:tcW w:w="940" w:type="dxa"/>
            <w:tcBorders>
              <w:tl2br w:val="nil"/>
              <w:tr2bl w:val="nil"/>
            </w:tcBorders>
            <w:noWrap w:val="0"/>
            <w:vAlign w:val="center"/>
          </w:tcPr>
          <w:p w14:paraId="7790EF7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56</w:t>
            </w:r>
          </w:p>
        </w:tc>
        <w:tc>
          <w:tcPr>
            <w:tcW w:w="976" w:type="dxa"/>
            <w:tcBorders>
              <w:tl2br w:val="nil"/>
              <w:tr2bl w:val="nil"/>
            </w:tcBorders>
            <w:noWrap w:val="0"/>
            <w:vAlign w:val="center"/>
          </w:tcPr>
          <w:p w14:paraId="6ED89A1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1040" w:type="dxa"/>
            <w:tcBorders>
              <w:tl2br w:val="nil"/>
              <w:tr2bl w:val="nil"/>
            </w:tcBorders>
            <w:noWrap w:val="0"/>
            <w:vAlign w:val="center"/>
          </w:tcPr>
          <w:p w14:paraId="58B6D0A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208" w:type="dxa"/>
            <w:tcBorders>
              <w:tl2br w:val="nil"/>
              <w:tr2bl w:val="nil"/>
            </w:tcBorders>
            <w:noWrap w:val="0"/>
            <w:vAlign w:val="center"/>
          </w:tcPr>
          <w:p w14:paraId="240B179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1236" w:type="dxa"/>
            <w:tcBorders>
              <w:tl2br w:val="nil"/>
              <w:tr2bl w:val="nil"/>
            </w:tcBorders>
            <w:noWrap w:val="0"/>
            <w:vAlign w:val="center"/>
          </w:tcPr>
          <w:p w14:paraId="53301DF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836" w:type="dxa"/>
            <w:tcBorders>
              <w:tl2br w:val="nil"/>
              <w:tr2bl w:val="nil"/>
            </w:tcBorders>
            <w:noWrap w:val="0"/>
            <w:vAlign w:val="center"/>
          </w:tcPr>
          <w:p w14:paraId="2E8B1E9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2B6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EA66B6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10F5D15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设备故障率</w:t>
            </w:r>
            <w:r>
              <w:rPr>
                <w:rFonts w:hint="eastAsia" w:ascii="宋体" w:hAnsi="宋体" w:eastAsia="方正仿宋_GBK" w:cs="方正仿宋_GBK"/>
                <w:color w:val="000000"/>
                <w:kern w:val="0"/>
                <w:sz w:val="24"/>
                <w:szCs w:val="24"/>
              </w:rPr>
              <w:tab/>
            </w:r>
          </w:p>
        </w:tc>
        <w:tc>
          <w:tcPr>
            <w:tcW w:w="708" w:type="dxa"/>
            <w:tcBorders>
              <w:tl2br w:val="nil"/>
              <w:tr2bl w:val="nil"/>
            </w:tcBorders>
            <w:noWrap w:val="0"/>
            <w:vAlign w:val="center"/>
          </w:tcPr>
          <w:p w14:paraId="4A343CB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00B93AB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247ED52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940" w:type="dxa"/>
            <w:tcBorders>
              <w:tl2br w:val="nil"/>
              <w:tr2bl w:val="nil"/>
            </w:tcBorders>
            <w:noWrap w:val="0"/>
            <w:vAlign w:val="center"/>
          </w:tcPr>
          <w:p w14:paraId="79CCCF4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w:t>
            </w:r>
          </w:p>
        </w:tc>
        <w:tc>
          <w:tcPr>
            <w:tcW w:w="976" w:type="dxa"/>
            <w:tcBorders>
              <w:tl2br w:val="nil"/>
              <w:tr2bl w:val="nil"/>
            </w:tcBorders>
            <w:noWrap w:val="0"/>
            <w:vAlign w:val="center"/>
          </w:tcPr>
          <w:p w14:paraId="761567F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1040" w:type="dxa"/>
            <w:tcBorders>
              <w:tl2br w:val="nil"/>
              <w:tr2bl w:val="nil"/>
            </w:tcBorders>
            <w:noWrap w:val="0"/>
            <w:vAlign w:val="center"/>
          </w:tcPr>
          <w:p w14:paraId="16E0546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208" w:type="dxa"/>
            <w:tcBorders>
              <w:tl2br w:val="nil"/>
              <w:tr2bl w:val="nil"/>
            </w:tcBorders>
            <w:noWrap w:val="0"/>
            <w:vAlign w:val="center"/>
          </w:tcPr>
          <w:p w14:paraId="18E8C0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noWrap w:val="0"/>
            <w:vAlign w:val="center"/>
          </w:tcPr>
          <w:p w14:paraId="7703222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798F9DC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303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C6346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8EBA2C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运维服务质量达标率</w:t>
            </w:r>
          </w:p>
        </w:tc>
        <w:tc>
          <w:tcPr>
            <w:tcW w:w="708" w:type="dxa"/>
            <w:tcBorders>
              <w:tl2br w:val="nil"/>
              <w:tr2bl w:val="nil"/>
            </w:tcBorders>
            <w:noWrap w:val="0"/>
            <w:vAlign w:val="center"/>
          </w:tcPr>
          <w:p w14:paraId="3492D36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1BB1CA1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1DFA5B4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95</w:t>
            </w:r>
          </w:p>
        </w:tc>
        <w:tc>
          <w:tcPr>
            <w:tcW w:w="940" w:type="dxa"/>
            <w:tcBorders>
              <w:tl2br w:val="nil"/>
              <w:tr2bl w:val="nil"/>
            </w:tcBorders>
            <w:noWrap w:val="0"/>
            <w:vAlign w:val="center"/>
          </w:tcPr>
          <w:p w14:paraId="2DF23AE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95</w:t>
            </w:r>
            <w:r>
              <w:rPr>
                <w:rFonts w:hint="eastAsia" w:ascii="宋体" w:hAnsi="宋体" w:eastAsia="方正仿宋_GBK" w:cs="方正仿宋_GBK"/>
                <w:color w:val="000000"/>
                <w:kern w:val="0"/>
                <w:sz w:val="24"/>
                <w:szCs w:val="24"/>
              </w:rPr>
              <w:tab/>
            </w:r>
          </w:p>
        </w:tc>
        <w:tc>
          <w:tcPr>
            <w:tcW w:w="976" w:type="dxa"/>
            <w:tcBorders>
              <w:tl2br w:val="nil"/>
              <w:tr2bl w:val="nil"/>
            </w:tcBorders>
            <w:noWrap w:val="0"/>
            <w:vAlign w:val="center"/>
          </w:tcPr>
          <w:p w14:paraId="2FB3698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1040" w:type="dxa"/>
            <w:tcBorders>
              <w:tl2br w:val="nil"/>
              <w:tr2bl w:val="nil"/>
            </w:tcBorders>
            <w:noWrap w:val="0"/>
            <w:vAlign w:val="center"/>
          </w:tcPr>
          <w:p w14:paraId="01A6DFC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1CC1FE3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36" w:type="dxa"/>
            <w:tcBorders>
              <w:tl2br w:val="nil"/>
              <w:tr2bl w:val="nil"/>
            </w:tcBorders>
            <w:noWrap w:val="0"/>
            <w:vAlign w:val="center"/>
          </w:tcPr>
          <w:p w14:paraId="47D8FF2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36" w:type="dxa"/>
            <w:tcBorders>
              <w:tl2br w:val="nil"/>
              <w:tr2bl w:val="nil"/>
            </w:tcBorders>
            <w:noWrap w:val="0"/>
            <w:vAlign w:val="center"/>
          </w:tcPr>
          <w:p w14:paraId="5897FCD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8D3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204E97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72497F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设备租赁年限</w:t>
            </w:r>
          </w:p>
        </w:tc>
        <w:tc>
          <w:tcPr>
            <w:tcW w:w="708" w:type="dxa"/>
            <w:tcBorders>
              <w:tl2br w:val="nil"/>
              <w:tr2bl w:val="nil"/>
            </w:tcBorders>
            <w:noWrap w:val="0"/>
            <w:vAlign w:val="center"/>
          </w:tcPr>
          <w:p w14:paraId="443DFBD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w:t>
            </w:r>
          </w:p>
        </w:tc>
        <w:tc>
          <w:tcPr>
            <w:tcW w:w="709" w:type="dxa"/>
            <w:tcBorders>
              <w:tl2br w:val="nil"/>
              <w:tr2bl w:val="nil"/>
            </w:tcBorders>
            <w:noWrap w:val="0"/>
            <w:vAlign w:val="center"/>
          </w:tcPr>
          <w:p w14:paraId="0272526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32BF01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940" w:type="dxa"/>
            <w:tcBorders>
              <w:tl2br w:val="nil"/>
              <w:tr2bl w:val="nil"/>
            </w:tcBorders>
            <w:noWrap w:val="0"/>
            <w:vAlign w:val="center"/>
          </w:tcPr>
          <w:p w14:paraId="79241E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976" w:type="dxa"/>
            <w:tcBorders>
              <w:tl2br w:val="nil"/>
              <w:tr2bl w:val="nil"/>
            </w:tcBorders>
            <w:noWrap w:val="0"/>
            <w:vAlign w:val="center"/>
          </w:tcPr>
          <w:p w14:paraId="77A98DB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40" w:type="dxa"/>
            <w:tcBorders>
              <w:tl2br w:val="nil"/>
              <w:tr2bl w:val="nil"/>
            </w:tcBorders>
            <w:noWrap w:val="0"/>
            <w:vAlign w:val="center"/>
          </w:tcPr>
          <w:p w14:paraId="0B619A0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3A87FEC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0D8F5BA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48600E3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2336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1F6079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700BD9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群众便利度</w:t>
            </w:r>
          </w:p>
        </w:tc>
        <w:tc>
          <w:tcPr>
            <w:tcW w:w="708" w:type="dxa"/>
            <w:tcBorders>
              <w:tl2br w:val="nil"/>
              <w:tr2bl w:val="nil"/>
            </w:tcBorders>
            <w:noWrap w:val="0"/>
            <w:vAlign w:val="center"/>
          </w:tcPr>
          <w:p w14:paraId="00C30FA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01ECF4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4FA4FFF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85</w:t>
            </w:r>
          </w:p>
        </w:tc>
        <w:tc>
          <w:tcPr>
            <w:tcW w:w="940" w:type="dxa"/>
            <w:tcBorders>
              <w:tl2br w:val="nil"/>
              <w:tr2bl w:val="nil"/>
            </w:tcBorders>
            <w:noWrap w:val="0"/>
            <w:vAlign w:val="center"/>
          </w:tcPr>
          <w:p w14:paraId="70F3B8C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85</w:t>
            </w:r>
          </w:p>
        </w:tc>
        <w:tc>
          <w:tcPr>
            <w:tcW w:w="976" w:type="dxa"/>
            <w:tcBorders>
              <w:tl2br w:val="nil"/>
              <w:tr2bl w:val="nil"/>
            </w:tcBorders>
            <w:noWrap w:val="0"/>
            <w:vAlign w:val="center"/>
          </w:tcPr>
          <w:p w14:paraId="0BF937B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40" w:type="dxa"/>
            <w:tcBorders>
              <w:tl2br w:val="nil"/>
              <w:tr2bl w:val="nil"/>
            </w:tcBorders>
            <w:noWrap w:val="0"/>
            <w:vAlign w:val="center"/>
          </w:tcPr>
          <w:p w14:paraId="0531385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7D75DD0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0C6F24B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7264997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41CE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F812FB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2B4C3E6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宣传政策知晓率</w:t>
            </w:r>
            <w:r>
              <w:rPr>
                <w:rFonts w:hint="eastAsia" w:ascii="宋体" w:hAnsi="宋体" w:eastAsia="方正仿宋_GBK" w:cs="方正仿宋_GBK"/>
                <w:color w:val="000000"/>
                <w:kern w:val="0"/>
                <w:sz w:val="24"/>
                <w:szCs w:val="24"/>
              </w:rPr>
              <w:tab/>
            </w:r>
          </w:p>
        </w:tc>
        <w:tc>
          <w:tcPr>
            <w:tcW w:w="708" w:type="dxa"/>
            <w:tcBorders>
              <w:tl2br w:val="nil"/>
              <w:tr2bl w:val="nil"/>
            </w:tcBorders>
            <w:noWrap w:val="0"/>
            <w:vAlign w:val="center"/>
          </w:tcPr>
          <w:p w14:paraId="127D9A7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4A933D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4937313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40" w:type="dxa"/>
            <w:tcBorders>
              <w:tl2br w:val="nil"/>
              <w:tr2bl w:val="nil"/>
            </w:tcBorders>
            <w:noWrap w:val="0"/>
            <w:vAlign w:val="center"/>
          </w:tcPr>
          <w:p w14:paraId="767D46C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76" w:type="dxa"/>
            <w:tcBorders>
              <w:tl2br w:val="nil"/>
              <w:tr2bl w:val="nil"/>
            </w:tcBorders>
            <w:noWrap w:val="0"/>
            <w:vAlign w:val="center"/>
          </w:tcPr>
          <w:p w14:paraId="1451869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40" w:type="dxa"/>
            <w:tcBorders>
              <w:tl2br w:val="nil"/>
              <w:tr2bl w:val="nil"/>
            </w:tcBorders>
            <w:noWrap w:val="0"/>
            <w:vAlign w:val="center"/>
          </w:tcPr>
          <w:p w14:paraId="51E0F5F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4CF7071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6E3AE7E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2530AD7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4E26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709931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72EC4E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正常办公率</w:t>
            </w:r>
          </w:p>
        </w:tc>
        <w:tc>
          <w:tcPr>
            <w:tcW w:w="708" w:type="dxa"/>
            <w:tcBorders>
              <w:tl2br w:val="nil"/>
              <w:tr2bl w:val="nil"/>
            </w:tcBorders>
            <w:noWrap w:val="0"/>
            <w:vAlign w:val="center"/>
          </w:tcPr>
          <w:p w14:paraId="1B8C9F6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4C50461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082B8FA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96</w:t>
            </w:r>
          </w:p>
        </w:tc>
        <w:tc>
          <w:tcPr>
            <w:tcW w:w="940" w:type="dxa"/>
            <w:tcBorders>
              <w:tl2br w:val="nil"/>
              <w:tr2bl w:val="nil"/>
            </w:tcBorders>
            <w:noWrap w:val="0"/>
            <w:vAlign w:val="center"/>
          </w:tcPr>
          <w:p w14:paraId="39DFAA4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96</w:t>
            </w:r>
          </w:p>
        </w:tc>
        <w:tc>
          <w:tcPr>
            <w:tcW w:w="976" w:type="dxa"/>
            <w:tcBorders>
              <w:tl2br w:val="nil"/>
              <w:tr2bl w:val="nil"/>
            </w:tcBorders>
            <w:noWrap w:val="0"/>
            <w:vAlign w:val="center"/>
          </w:tcPr>
          <w:p w14:paraId="4EFE36B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40" w:type="dxa"/>
            <w:tcBorders>
              <w:tl2br w:val="nil"/>
              <w:tr2bl w:val="nil"/>
            </w:tcBorders>
            <w:noWrap w:val="0"/>
            <w:vAlign w:val="center"/>
          </w:tcPr>
          <w:p w14:paraId="3DC47F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5F78FCC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3FA8AA2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4DD26BC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CAF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F024B7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6E591FC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群众满意度</w:t>
            </w:r>
          </w:p>
        </w:tc>
        <w:tc>
          <w:tcPr>
            <w:tcW w:w="708" w:type="dxa"/>
            <w:tcBorders>
              <w:tl2br w:val="nil"/>
              <w:tr2bl w:val="nil"/>
            </w:tcBorders>
            <w:noWrap w:val="0"/>
            <w:vAlign w:val="center"/>
          </w:tcPr>
          <w:p w14:paraId="39C8460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5E77F18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76" w:type="dxa"/>
            <w:gridSpan w:val="2"/>
            <w:tcBorders>
              <w:tl2br w:val="nil"/>
              <w:tr2bl w:val="nil"/>
            </w:tcBorders>
            <w:noWrap w:val="0"/>
            <w:vAlign w:val="center"/>
          </w:tcPr>
          <w:p w14:paraId="2CFDFE6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40" w:type="dxa"/>
            <w:tcBorders>
              <w:tl2br w:val="nil"/>
              <w:tr2bl w:val="nil"/>
            </w:tcBorders>
            <w:noWrap w:val="0"/>
            <w:vAlign w:val="center"/>
          </w:tcPr>
          <w:p w14:paraId="1D6ED86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76" w:type="dxa"/>
            <w:tcBorders>
              <w:tl2br w:val="nil"/>
              <w:tr2bl w:val="nil"/>
            </w:tcBorders>
            <w:noWrap w:val="0"/>
            <w:vAlign w:val="center"/>
          </w:tcPr>
          <w:p w14:paraId="1582C62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40" w:type="dxa"/>
            <w:tcBorders>
              <w:tl2br w:val="nil"/>
              <w:tr2bl w:val="nil"/>
            </w:tcBorders>
            <w:noWrap w:val="0"/>
            <w:vAlign w:val="center"/>
          </w:tcPr>
          <w:p w14:paraId="5CD3223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08" w:type="dxa"/>
            <w:tcBorders>
              <w:tl2br w:val="nil"/>
              <w:tr2bl w:val="nil"/>
            </w:tcBorders>
            <w:noWrap w:val="0"/>
            <w:vAlign w:val="center"/>
          </w:tcPr>
          <w:p w14:paraId="5B5D804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3C1CFAA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60AC5B3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bl>
    <w:p w14:paraId="19F10D5D">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2023年度项目绩效自评表</w:t>
      </w:r>
    </w:p>
    <w:tbl>
      <w:tblPr>
        <w:tblStyle w:val="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1F6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317FE2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06BC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5ACCB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滨江商务大厦（新政务大厅）物业管理费</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6DDB7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53649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6B79E0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14:paraId="117DBB0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r>
              <w:rPr>
                <w:rFonts w:hint="eastAsia" w:ascii="宋体" w:hAnsi="宋体" w:eastAsia="方正仿宋_GBK" w:cs="方正仿宋_GBK"/>
                <w:color w:val="000000"/>
                <w:kern w:val="0"/>
                <w:sz w:val="24"/>
                <w:szCs w:val="24"/>
              </w:rPr>
              <w:tab/>
            </w:r>
          </w:p>
        </w:tc>
      </w:tr>
      <w:tr w14:paraId="4026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2A30E2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76693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3D805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r>
              <w:rPr>
                <w:rFonts w:hint="eastAsia" w:ascii="宋体" w:hAnsi="宋体" w:eastAsia="方正仿宋_GBK" w:cs="方正仿宋_GBK"/>
                <w:color w:val="000000"/>
                <w:kern w:val="0"/>
                <w:sz w:val="24"/>
                <w:szCs w:val="24"/>
              </w:rPr>
              <w:tab/>
            </w:r>
          </w:p>
        </w:tc>
        <w:tc>
          <w:tcPr>
            <w:tcW w:w="1075" w:type="dxa"/>
            <w:gridSpan w:val="2"/>
            <w:tcBorders>
              <w:tl2br w:val="nil"/>
              <w:tr2bl w:val="nil"/>
            </w:tcBorders>
            <w:noWrap w:val="0"/>
            <w:vAlign w:val="center"/>
          </w:tcPr>
          <w:p w14:paraId="155A0C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65109C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34A38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E59A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14:paraId="1C43B4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李伟</w:t>
            </w:r>
            <w:r>
              <w:rPr>
                <w:rFonts w:hint="eastAsia" w:ascii="宋体" w:hAnsi="宋体" w:eastAsia="方正仿宋_GBK" w:cs="方正仿宋_GBK"/>
                <w:color w:val="000000"/>
                <w:kern w:val="0"/>
                <w:sz w:val="24"/>
                <w:szCs w:val="24"/>
              </w:rPr>
              <w:tab/>
            </w:r>
          </w:p>
        </w:tc>
        <w:tc>
          <w:tcPr>
            <w:tcW w:w="1092" w:type="dxa"/>
            <w:tcBorders>
              <w:tl2br w:val="nil"/>
              <w:tr2bl w:val="nil"/>
            </w:tcBorders>
            <w:noWrap w:val="0"/>
            <w:vAlign w:val="center"/>
          </w:tcPr>
          <w:p w14:paraId="4F64C2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14:paraId="5694F2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18100866815</w:t>
            </w:r>
          </w:p>
        </w:tc>
      </w:tr>
      <w:tr w14:paraId="4CB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301AF0E">
            <w:pPr>
              <w:keepNext w:val="0"/>
              <w:keepLines w:val="0"/>
              <w:pageBreakBefore w:val="0"/>
              <w:widowControl/>
              <w:kinsoku/>
              <w:wordWrap/>
              <w:overflowPunct/>
              <w:topLinePunct w:val="0"/>
              <w:autoSpaceDE/>
              <w:autoSpaceDN/>
              <w:bidi w:val="0"/>
              <w:adjustRightInd/>
              <w:snapToGrid/>
              <w:spacing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55638A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75D22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BD1B4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2C462E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6FF9CB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14:paraId="207EBF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BB8FB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14:paraId="07DD8A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30C6E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4B06C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63D5D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4AD78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22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636D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30D0C1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7E35E7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192.8</w:t>
            </w:r>
          </w:p>
        </w:tc>
        <w:tc>
          <w:tcPr>
            <w:tcW w:w="1162" w:type="dxa"/>
            <w:gridSpan w:val="2"/>
            <w:tcBorders>
              <w:tl2br w:val="nil"/>
              <w:tr2bl w:val="nil"/>
            </w:tcBorders>
            <w:noWrap w:val="0"/>
            <w:vAlign w:val="center"/>
          </w:tcPr>
          <w:p w14:paraId="5B532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2316" w:type="dxa"/>
            <w:gridSpan w:val="3"/>
            <w:tcBorders>
              <w:tl2br w:val="nil"/>
              <w:tr2bl w:val="nil"/>
            </w:tcBorders>
            <w:noWrap w:val="0"/>
            <w:vAlign w:val="center"/>
          </w:tcPr>
          <w:p w14:paraId="097723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1092" w:type="dxa"/>
            <w:tcBorders>
              <w:tl2br w:val="nil"/>
              <w:tr2bl w:val="nil"/>
            </w:tcBorders>
            <w:noWrap w:val="0"/>
            <w:vAlign w:val="center"/>
          </w:tcPr>
          <w:p w14:paraId="10362D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c>
          <w:tcPr>
            <w:tcW w:w="938" w:type="dxa"/>
            <w:tcBorders>
              <w:tl2br w:val="nil"/>
              <w:tr2bl w:val="nil"/>
            </w:tcBorders>
            <w:noWrap w:val="0"/>
            <w:vAlign w:val="center"/>
          </w:tcPr>
          <w:p w14:paraId="1C51A8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kern w:val="0"/>
                <w:sz w:val="24"/>
                <w:szCs w:val="24"/>
                <w:lang w:val="en-US" w:eastAsia="zh-CN"/>
              </w:rPr>
            </w:pPr>
          </w:p>
        </w:tc>
        <w:tc>
          <w:tcPr>
            <w:tcW w:w="1238" w:type="dxa"/>
            <w:gridSpan w:val="2"/>
            <w:tcBorders>
              <w:tl2br w:val="nil"/>
              <w:tr2bl w:val="nil"/>
            </w:tcBorders>
            <w:noWrap w:val="0"/>
            <w:vAlign w:val="center"/>
          </w:tcPr>
          <w:p w14:paraId="215FE2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r>
      <w:tr w14:paraId="1E7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28B3A4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622506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2384A3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50F96A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192.8</w:t>
            </w:r>
          </w:p>
        </w:tc>
        <w:tc>
          <w:tcPr>
            <w:tcW w:w="1162" w:type="dxa"/>
            <w:gridSpan w:val="2"/>
            <w:tcBorders>
              <w:tl2br w:val="nil"/>
              <w:tr2bl w:val="nil"/>
            </w:tcBorders>
            <w:noWrap w:val="0"/>
            <w:vAlign w:val="center"/>
          </w:tcPr>
          <w:p w14:paraId="7E883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2316" w:type="dxa"/>
            <w:gridSpan w:val="3"/>
            <w:tcBorders>
              <w:tl2br w:val="nil"/>
              <w:tr2bl w:val="nil"/>
            </w:tcBorders>
            <w:noWrap w:val="0"/>
            <w:vAlign w:val="center"/>
          </w:tcPr>
          <w:p w14:paraId="1E3E97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1092" w:type="dxa"/>
            <w:tcBorders>
              <w:tl2br w:val="nil"/>
              <w:tr2bl w:val="nil"/>
            </w:tcBorders>
            <w:noWrap w:val="0"/>
            <w:vAlign w:val="center"/>
          </w:tcPr>
          <w:p w14:paraId="015B2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161AD2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14:paraId="263A1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7CB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3E550E7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38A5CC7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102BE5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14:paraId="6E6E06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322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7" w:type="dxa"/>
            <w:vMerge w:val="continue"/>
            <w:tcBorders>
              <w:tl2br w:val="nil"/>
              <w:tr2bl w:val="nil"/>
            </w:tcBorders>
            <w:noWrap w:val="0"/>
            <w:vAlign w:val="center"/>
          </w:tcPr>
          <w:p w14:paraId="6D21802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4224D7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保障政务大厅日常运转</w:t>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p>
        </w:tc>
        <w:tc>
          <w:tcPr>
            <w:tcW w:w="3000" w:type="dxa"/>
            <w:gridSpan w:val="4"/>
            <w:tcBorders>
              <w:tl2br w:val="nil"/>
              <w:tr2bl w:val="nil"/>
            </w:tcBorders>
            <w:noWrap w:val="0"/>
            <w:vAlign w:val="center"/>
          </w:tcPr>
          <w:p w14:paraId="33A937F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14:paraId="1C62C4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做好政务服务中心空调维保、电梯维保、供配电给排水维护、垃圾清运、绿化维护等工作，保障政务大厅日常运转</w:t>
            </w:r>
            <w:r>
              <w:rPr>
                <w:rFonts w:hint="eastAsia" w:ascii="宋体" w:hAnsi="宋体" w:eastAsia="方正仿宋_GBK" w:cs="方正仿宋_GBK"/>
                <w:color w:val="000000"/>
                <w:kern w:val="0"/>
                <w:sz w:val="24"/>
                <w:szCs w:val="24"/>
              </w:rPr>
              <w:tab/>
            </w:r>
          </w:p>
        </w:tc>
      </w:tr>
      <w:tr w14:paraId="432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A633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63A0E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E8B0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57AB5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4E0326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656992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3553B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56167B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B039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302268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2C5D1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14:paraId="51D155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14:paraId="7323D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2B63A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B065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14:paraId="3017CA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6EBFA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18A3D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069CC3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4E3A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42AC4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1A6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6A276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19CEEFE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服务质量达标率</w:t>
            </w:r>
          </w:p>
        </w:tc>
        <w:tc>
          <w:tcPr>
            <w:tcW w:w="708" w:type="dxa"/>
            <w:tcBorders>
              <w:tl2br w:val="nil"/>
              <w:tr2bl w:val="nil"/>
            </w:tcBorders>
            <w:noWrap w:val="0"/>
            <w:vAlign w:val="center"/>
          </w:tcPr>
          <w:p w14:paraId="5638B92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7560F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0D8B2D3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95</w:t>
            </w:r>
          </w:p>
        </w:tc>
        <w:tc>
          <w:tcPr>
            <w:tcW w:w="972" w:type="dxa"/>
            <w:gridSpan w:val="2"/>
            <w:tcBorders>
              <w:tl2br w:val="nil"/>
              <w:tr2bl w:val="nil"/>
            </w:tcBorders>
            <w:noWrap w:val="0"/>
            <w:vAlign w:val="center"/>
          </w:tcPr>
          <w:p w14:paraId="507ECAC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4EAFA54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13B3AEB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7F0D5D4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64CACD2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tcBorders>
              <w:tl2br w:val="nil"/>
              <w:tr2bl w:val="nil"/>
            </w:tcBorders>
            <w:noWrap w:val="0"/>
            <w:vAlign w:val="center"/>
          </w:tcPr>
          <w:p w14:paraId="3245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45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781CFB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417246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物业管理事故率</w:t>
            </w:r>
          </w:p>
        </w:tc>
        <w:tc>
          <w:tcPr>
            <w:tcW w:w="708" w:type="dxa"/>
            <w:tcBorders>
              <w:tl2br w:val="nil"/>
              <w:tr2bl w:val="nil"/>
            </w:tcBorders>
            <w:noWrap w:val="0"/>
            <w:vAlign w:val="center"/>
          </w:tcPr>
          <w:p w14:paraId="798E218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6C7ABA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529F481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972" w:type="dxa"/>
            <w:gridSpan w:val="2"/>
            <w:tcBorders>
              <w:tl2br w:val="nil"/>
              <w:tr2bl w:val="nil"/>
            </w:tcBorders>
            <w:noWrap w:val="0"/>
            <w:vAlign w:val="center"/>
          </w:tcPr>
          <w:p w14:paraId="1791501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w:t>
            </w:r>
          </w:p>
        </w:tc>
        <w:tc>
          <w:tcPr>
            <w:tcW w:w="948" w:type="dxa"/>
            <w:tcBorders>
              <w:tl2br w:val="nil"/>
              <w:tr2bl w:val="nil"/>
            </w:tcBorders>
            <w:noWrap w:val="0"/>
            <w:vAlign w:val="center"/>
          </w:tcPr>
          <w:p w14:paraId="2B6C51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080" w:type="dxa"/>
            <w:tcBorders>
              <w:tl2br w:val="nil"/>
              <w:tr2bl w:val="nil"/>
            </w:tcBorders>
            <w:noWrap w:val="0"/>
            <w:vAlign w:val="center"/>
          </w:tcPr>
          <w:p w14:paraId="264B437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2590F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1D9FE3E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tcBorders>
              <w:tl2br w:val="nil"/>
              <w:tr2bl w:val="nil"/>
            </w:tcBorders>
            <w:noWrap w:val="0"/>
            <w:vAlign w:val="center"/>
          </w:tcPr>
          <w:p w14:paraId="625A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44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C86A8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949829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保障正常办公率</w:t>
            </w:r>
          </w:p>
        </w:tc>
        <w:tc>
          <w:tcPr>
            <w:tcW w:w="708" w:type="dxa"/>
            <w:tcBorders>
              <w:tl2br w:val="nil"/>
              <w:tr2bl w:val="nil"/>
            </w:tcBorders>
            <w:noWrap w:val="0"/>
            <w:vAlign w:val="center"/>
          </w:tcPr>
          <w:p w14:paraId="2B446F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264CAB9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1382E1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5525CD2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1D6F5E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5.56</w:t>
            </w:r>
          </w:p>
        </w:tc>
        <w:tc>
          <w:tcPr>
            <w:tcW w:w="1080" w:type="dxa"/>
            <w:tcBorders>
              <w:tl2br w:val="nil"/>
              <w:tr2bl w:val="nil"/>
            </w:tcBorders>
            <w:noWrap w:val="0"/>
            <w:vAlign w:val="center"/>
          </w:tcPr>
          <w:p w14:paraId="65594C7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1C114F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340489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504613B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7C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FC15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E7DF77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服务对象满意度</w:t>
            </w:r>
          </w:p>
        </w:tc>
        <w:tc>
          <w:tcPr>
            <w:tcW w:w="708" w:type="dxa"/>
            <w:tcBorders>
              <w:tl2br w:val="nil"/>
              <w:tr2bl w:val="nil"/>
            </w:tcBorders>
            <w:noWrap w:val="0"/>
            <w:vAlign w:val="center"/>
          </w:tcPr>
          <w:p w14:paraId="2DCA70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87D3F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7B3AB19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7816B3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48" w:type="dxa"/>
            <w:tcBorders>
              <w:tl2br w:val="nil"/>
              <w:tr2bl w:val="nil"/>
            </w:tcBorders>
            <w:noWrap w:val="0"/>
            <w:vAlign w:val="center"/>
          </w:tcPr>
          <w:p w14:paraId="079FE9A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5E59F0F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3EED5D8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01C7D65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7F9AFA7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731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3780F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2467B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购买服务单价</w:t>
            </w:r>
          </w:p>
        </w:tc>
        <w:tc>
          <w:tcPr>
            <w:tcW w:w="708" w:type="dxa"/>
            <w:tcBorders>
              <w:tl2br w:val="nil"/>
              <w:tr2bl w:val="nil"/>
            </w:tcBorders>
            <w:noWrap w:val="0"/>
            <w:vAlign w:val="center"/>
          </w:tcPr>
          <w:p w14:paraId="5E7BF3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万元/年</w:t>
            </w:r>
          </w:p>
        </w:tc>
        <w:tc>
          <w:tcPr>
            <w:tcW w:w="709" w:type="dxa"/>
            <w:tcBorders>
              <w:tl2br w:val="nil"/>
              <w:tr2bl w:val="nil"/>
            </w:tcBorders>
            <w:noWrap w:val="0"/>
            <w:vAlign w:val="center"/>
          </w:tcPr>
          <w:p w14:paraId="7DF724E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4757AE2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700</w:t>
            </w:r>
          </w:p>
        </w:tc>
        <w:tc>
          <w:tcPr>
            <w:tcW w:w="972" w:type="dxa"/>
            <w:gridSpan w:val="2"/>
            <w:tcBorders>
              <w:tl2br w:val="nil"/>
              <w:tr2bl w:val="nil"/>
            </w:tcBorders>
            <w:noWrap w:val="0"/>
            <w:vAlign w:val="center"/>
          </w:tcPr>
          <w:p w14:paraId="705EC02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589.17</w:t>
            </w:r>
          </w:p>
        </w:tc>
        <w:tc>
          <w:tcPr>
            <w:tcW w:w="948" w:type="dxa"/>
            <w:tcBorders>
              <w:tl2br w:val="nil"/>
              <w:tr2bl w:val="nil"/>
            </w:tcBorders>
            <w:noWrap w:val="0"/>
            <w:vAlign w:val="center"/>
          </w:tcPr>
          <w:p w14:paraId="089B7B1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15.83</w:t>
            </w:r>
          </w:p>
        </w:tc>
        <w:tc>
          <w:tcPr>
            <w:tcW w:w="1080" w:type="dxa"/>
            <w:tcBorders>
              <w:tl2br w:val="nil"/>
              <w:tr2bl w:val="nil"/>
            </w:tcBorders>
            <w:noWrap w:val="0"/>
            <w:vAlign w:val="center"/>
          </w:tcPr>
          <w:p w14:paraId="2627A8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081ADD7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1C23DAE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23D4F1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bl>
    <w:p w14:paraId="198CC8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14:paraId="2DEDC6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本单位无此事项。</w:t>
      </w:r>
    </w:p>
    <w:p w14:paraId="744C6B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关于绩效自评结果的说明</w:t>
      </w:r>
    </w:p>
    <w:p w14:paraId="5DA929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无</w:t>
      </w:r>
      <w:r>
        <w:rPr>
          <w:rFonts w:hint="eastAsia" w:ascii="方正黑体_GBK" w:hAnsi="方正黑体_GBK" w:eastAsia="方正黑体_GBK" w:cs="方正黑体_GBK"/>
          <w:sz w:val="32"/>
          <w:szCs w:val="32"/>
          <w:lang w:val="en-US" w:eastAsia="zh-CN"/>
        </w:rPr>
        <w:t>。</w:t>
      </w:r>
    </w:p>
    <w:p w14:paraId="4D8EA0F8">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重点绩效评价结果</w:t>
      </w:r>
    </w:p>
    <w:p w14:paraId="73DD1E2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本单位无此事项。</w:t>
      </w:r>
    </w:p>
    <w:p w14:paraId="277945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64E0C6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2BEB8A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CFB31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458486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0815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081945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12F40B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4666E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7ABC8C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6E1A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F8AF8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2230E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07C9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9149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215057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7CDAF9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2AA452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5586F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14:paraId="4CC068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14:paraId="29AC98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苏杨</w:t>
      </w:r>
      <w:r>
        <w:rPr>
          <w:rFonts w:hint="eastAsia" w:ascii="方正仿宋_GBK" w:hAnsi="方正仿宋_GBK" w:eastAsia="方正仿宋_GBK" w:cs="方正仿宋_GBK"/>
          <w:sz w:val="32"/>
          <w:szCs w:val="32"/>
        </w:rPr>
        <w:t xml:space="preserve">    联系电话：023-</w:t>
      </w:r>
      <w:r>
        <w:rPr>
          <w:rFonts w:hint="eastAsia" w:ascii="方正仿宋_GBK" w:hAnsi="方正仿宋_GBK" w:eastAsia="方正仿宋_GBK" w:cs="方正仿宋_GBK"/>
          <w:sz w:val="32"/>
          <w:szCs w:val="32"/>
          <w:lang w:val="en-US" w:eastAsia="zh-CN"/>
        </w:rPr>
        <w:t>81222208。</w:t>
      </w:r>
    </w:p>
    <w:p w14:paraId="4B785C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1AFB0"/>
    <w:multiLevelType w:val="singleLevel"/>
    <w:tmpl w:val="2FC1AF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mMyNjk4Y2U3MzA1MTFkYTM5MTliYTE2MzRiOTEifQ=="/>
  </w:docVars>
  <w:rsids>
    <w:rsidRoot w:val="4A533FB1"/>
    <w:rsid w:val="00CA45B9"/>
    <w:rsid w:val="18C63B73"/>
    <w:rsid w:val="1C420E24"/>
    <w:rsid w:val="1FFE1506"/>
    <w:rsid w:val="236F30C7"/>
    <w:rsid w:val="25BA561F"/>
    <w:rsid w:val="2A0E0081"/>
    <w:rsid w:val="2B3350AB"/>
    <w:rsid w:val="2C8B5ED0"/>
    <w:rsid w:val="2F9D4F14"/>
    <w:rsid w:val="4061546E"/>
    <w:rsid w:val="44AE0734"/>
    <w:rsid w:val="4A533FB1"/>
    <w:rsid w:val="4D6D31E7"/>
    <w:rsid w:val="54245941"/>
    <w:rsid w:val="54393172"/>
    <w:rsid w:val="55896315"/>
    <w:rsid w:val="558E6962"/>
    <w:rsid w:val="59151684"/>
    <w:rsid w:val="5B7976B8"/>
    <w:rsid w:val="604069F6"/>
    <w:rsid w:val="635959A6"/>
    <w:rsid w:val="642A701E"/>
    <w:rsid w:val="64DB71EF"/>
    <w:rsid w:val="652266CA"/>
    <w:rsid w:val="67A04834"/>
    <w:rsid w:val="699D73E1"/>
    <w:rsid w:val="6BA974EE"/>
    <w:rsid w:val="771D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7551</Words>
  <Characters>8429</Characters>
  <Lines>0</Lines>
  <Paragraphs>0</Paragraphs>
  <TotalTime>1</TotalTime>
  <ScaleCrop>false</ScaleCrop>
  <LinksUpToDate>false</LinksUpToDate>
  <CharactersWithSpaces>8466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2024-08-19T07:27:00Z</dcterms:created>
  <dc:creator>zsq123</dc:creator>
  <cp:lastModifiedBy>zsq123</cp:lastModifiedBy>
  <dcterms:modified xsi:type="dcterms:W3CDTF">2024-08-20T03:21:32Z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F7BC625C485340C48ECDAA08EAB303F5_11</vt:lpwstr>
  </property>
</Properties>
</file>