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95"/>
        </w:tabs>
        <w:adjustRightInd w:val="0"/>
        <w:snapToGrid w:val="0"/>
        <w:spacing w:line="600" w:lineRule="exact"/>
        <w:rPr>
          <w:rFonts w:ascii="方正黑体_GBK" w:eastAsia="方正黑体_GBK" w:cs="Times New Roman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附件</w:t>
      </w:r>
      <w:r>
        <w:rPr>
          <w:rFonts w:ascii="方正黑体_GBK" w:eastAsia="方正黑体_GBK" w:cs="方正黑体_GBK"/>
          <w:sz w:val="32"/>
          <w:szCs w:val="32"/>
        </w:rPr>
        <w:t>1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重庆市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  <w:t>江津区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国有土地上房屋征收与补偿领域基层政务公开标准目录</w:t>
      </w:r>
    </w:p>
    <w:tbl>
      <w:tblPr>
        <w:tblStyle w:val="6"/>
        <w:tblW w:w="14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498"/>
        <w:gridCol w:w="499"/>
        <w:gridCol w:w="1786"/>
        <w:gridCol w:w="3167"/>
        <w:gridCol w:w="935"/>
        <w:gridCol w:w="876"/>
        <w:gridCol w:w="3007"/>
        <w:gridCol w:w="400"/>
        <w:gridCol w:w="499"/>
        <w:gridCol w:w="459"/>
        <w:gridCol w:w="518"/>
        <w:gridCol w:w="499"/>
        <w:gridCol w:w="500"/>
        <w:gridCol w:w="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公开内容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 xml:space="preserve">                     (</w:t>
            </w: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要素）</w:t>
            </w:r>
          </w:p>
        </w:tc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时限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主体</w:t>
            </w:r>
          </w:p>
        </w:tc>
        <w:tc>
          <w:tcPr>
            <w:tcW w:w="3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对象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全社会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市级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县级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法规政策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《国有土地上房屋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征收与补偿条例》；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《国有土地上房屋征收评估办法》</w:t>
            </w:r>
            <w:r>
              <w:rPr>
                <w:rFonts w:ascii="宋体" w:cs="宋体"/>
                <w:kern w:val="0"/>
                <w:sz w:val="18"/>
                <w:szCs w:val="18"/>
              </w:rPr>
              <w:t>;                     3.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《关于推进国有土地上房屋征收与补偿信息公开工作的实施意见》；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4.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《关于进一步加强国有土地上房屋征收与补偿信息公开工作的通知》。</w:t>
            </w:r>
          </w:p>
        </w:tc>
        <w:tc>
          <w:tcPr>
            <w:tcW w:w="3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中华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人民共和国政府信息公开条例》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市住房和城乡建设委员会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东文宋体" w:eastAsia="东文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东文宋体" w:eastAsia="东文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区、县（自治县）人民政府及房屋征收部门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法规政策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等有关办法的通知》。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江津区国有土地上房屋征收与补偿实施细则（暂行）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》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3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中华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人民共和国政府信息公开条例》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市住房和城乡建设委员会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东文宋体" w:eastAsia="东文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东文宋体" w:eastAsia="东文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区、县（自治县）人民政府及房屋征收部门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江津区国有土地上房屋征收与补偿实施细则（暂行）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中华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</w:rPr>
              <w:t>人民共和国政府信息公开条例》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区、县（自治县）人民政府及房屋征收部门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东文宋体" w:eastAsia="东文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社区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东文宋体" w:eastAsia="东文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等有关办法的通知》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。《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江津区国有土地上房屋征收与补偿实施细则（暂行）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自收到申请之日起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区、县（自治县）人民政府及相关部门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□政府公报□两微一端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□纸质媒体□公开查阅点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□政务服务中心□便民服务站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现场□社区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屏）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■其他</w:t>
            </w:r>
            <w:r>
              <w:rPr>
                <w:rFonts w:asci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暂停办理相关手续的通知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暂停办理相关手续的通知。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等有关办法的通知》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。《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江津区国有土地上房屋征收与补偿实施细则（暂行）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》《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江津区国有土地上房屋征收与补偿实施细则（暂行）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区、县（自治县）人民政府及相关部门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入户调查通知；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调查结果；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认定结果。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《国有土地上房屋征收评估办法》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等有关办法的通知》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。《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江津区国有土地上房屋征收与补偿实施细则（暂行）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区、县（自治县）人民政府及房屋征收部门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评估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房地产估价机构选定或确定通知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《国有土地上房屋征收评估办法》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等有关办法的通知》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江津区国有土地上房屋征收与补偿实施细则（暂行）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区、县（自治县）房屋征收部门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论证结论</w:t>
            </w:r>
          </w:p>
        </w:tc>
        <w:tc>
          <w:tcPr>
            <w:tcW w:w="3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《国有土地上房屋征收与补偿条例》《关于推进国有土地上房屋征收与补偿信息公开工作的实施意见》《关于进一步加强国有土地上房屋征收与补偿信息公开工作的通知》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等有关办法的通知》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江津区国有土地上房屋征收与补偿实施细则（暂行）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自收到申请之日起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区、县（自治县）人民政府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□政府公报□两微一端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□纸质媒体□公开查阅点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□政务服务中心□便民服务站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屏）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■其他</w:t>
            </w:r>
            <w:r>
              <w:rPr>
                <w:rFonts w:asci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征求意见情况；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根据公众意见修改情况。</w:t>
            </w: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个工作日内予以公开；征求意见期限不得少于</w:t>
            </w: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社会稳定风险评估结果。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等有关办法的通知》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自收到申请之日起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区、县（自治县）人民政府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■其他</w:t>
            </w:r>
            <w:r>
              <w:rPr>
                <w:rFonts w:asci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等有关办法的通知》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江津区国有土地上房屋征收与补偿实施细则（暂行）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区、县（自治县）人民政府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评估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分户的初步评估结果。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《国有土地上房屋征收与补偿条例》《国有土地上房屋征收评估办法》《关于推进国有土地上房屋征收与补偿信息公开工作的实施意见》《关于进一步加强国有土地上房屋征收与补偿信息公开工作的通知》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等有关办法的通知》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江津区国有土地上房屋征收与补偿实施细则（暂行）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区、县（自治县）房屋征收部门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□政府公报□两微一端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□纸质媒体□公开查阅点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□政务服务中心□便民服务站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屏）□精准推送□其他</w:t>
            </w:r>
            <w:r>
              <w:rPr>
                <w:rFonts w:asci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补偿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房源信息；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选房办法；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选房结果。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等有关办法的通知》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江津区国有土地上房屋征收与补偿实施细则（暂行）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区、县（自治县）房屋征收部门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补偿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分户补偿结果。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等有关办法的通知》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江津区国有土地上房屋征收与补偿实施细则（暂行）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区、县（自治县）房屋征收部门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补偿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房屋征收补偿决定公告。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等有关办法的通知》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江津区国有土地上房屋征收与补偿实施细则（暂行）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区、县（自治县）人民政府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2098" w:header="851" w:footer="992" w:gutter="0"/>
          <w:pgNumType w:fmt="numberInDash"/>
          <w:cols w:space="720" w:num="1"/>
          <w:docGrid w:linePitch="312" w:charSpace="0"/>
        </w:sectPr>
      </w:pPr>
    </w:p>
    <w:p>
      <w:pPr>
        <w:pBdr>
          <w:top w:val="single" w:color="auto" w:sz="6" w:space="1"/>
          <w:bottom w:val="single" w:color="auto" w:sz="6" w:space="1"/>
        </w:pBdr>
        <w:spacing w:line="360" w:lineRule="exact"/>
        <w:jc w:val="left"/>
        <w:rPr>
          <w:rFonts w:cs="Times New Roman"/>
        </w:rPr>
      </w:pPr>
    </w:p>
    <w:sectPr>
      <w:pgSz w:w="11906" w:h="16838"/>
      <w:pgMar w:top="2098" w:right="1531" w:bottom="2098" w:left="153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cs="Times New Roman"/>
      </w:rPr>
    </w:pPr>
    <w:r>
      <w:rPr>
        <w:rFonts w:ascii="宋体" w:cs="宋体"/>
        <w:sz w:val="28"/>
        <w:szCs w:val="28"/>
      </w:rPr>
      <w:fldChar w:fldCharType="begin"/>
    </w:r>
    <w:r>
      <w:rPr>
        <w:rFonts w:ascii="宋体" w:cs="宋体"/>
        <w:sz w:val="28"/>
        <w:szCs w:val="28"/>
      </w:rPr>
      <w:instrText xml:space="preserve"> PAGE   \* MERGEFORMAT </w:instrText>
    </w:r>
    <w:r>
      <w:rPr>
        <w:rFonts w:asci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cs="宋体"/>
        <w:sz w:val="28"/>
        <w:szCs w:val="28"/>
      </w:rPr>
      <w:t xml:space="preserve"> 45 -</w:t>
    </w:r>
    <w:r>
      <w:rPr>
        <w:rFonts w:ascii="宋体" w:cs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cs="Times New Roman"/>
        <w:sz w:val="28"/>
        <w:szCs w:val="28"/>
      </w:rPr>
    </w:pPr>
    <w:r>
      <w:rPr>
        <w:rFonts w:ascii="宋体" w:cs="宋体"/>
        <w:sz w:val="28"/>
        <w:szCs w:val="28"/>
      </w:rPr>
      <w:fldChar w:fldCharType="begin"/>
    </w:r>
    <w:r>
      <w:rPr>
        <w:rFonts w:ascii="宋体" w:cs="宋体"/>
        <w:sz w:val="28"/>
        <w:szCs w:val="28"/>
      </w:rPr>
      <w:instrText xml:space="preserve"> PAGE   \* MERGEFORMAT </w:instrText>
    </w:r>
    <w:r>
      <w:rPr>
        <w:rFonts w:asci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cs="宋体"/>
        <w:sz w:val="28"/>
        <w:szCs w:val="28"/>
      </w:rPr>
      <w:t xml:space="preserve"> 46 -</w:t>
    </w:r>
    <w:r>
      <w:rPr>
        <w:rFonts w:ascii="宋体" w:cs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4CD663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2500" w:leftChars="2500"/>
    </w:pPr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character" w:customStyle="1" w:styleId="8">
    <w:name w:val="页眉 Char1"/>
    <w:basedOn w:val="7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9">
    <w:name w:val="页脚 Char1"/>
    <w:basedOn w:val="7"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9</Pages>
  <Words>4310</Words>
  <Characters>4342</Characters>
  <Lines>874</Lines>
  <Paragraphs>199</Paragraphs>
  <TotalTime>0</TotalTime>
  <ScaleCrop>false</ScaleCrop>
  <LinksUpToDate>false</LinksUpToDate>
  <CharactersWithSpaces>5556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2020-08-19T04:16:00Z</dcterms:created>
  <dc:creator>微软用户</dc:creator>
  <cp:lastModifiedBy>Administrator</cp:lastModifiedBy>
  <dcterms:modified xsi:type="dcterms:W3CDTF">2022-05-12T08:17:55Z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9573964650924F6CAACCD934F8829665</vt:lpwstr>
  </property>
</Properties>
</file>