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eastAsia="方正小标宋_GBK" w:hAnsi="宋体" w:hint="eastAsia"/>
          <w:color w:val="000000"/>
          <w:spacing w:val="0"/>
          <w:kern w:val="21"/>
          <w:sz w:val="44"/>
          <w:szCs w:val="44"/>
        </w:rPr>
      </w:pPr>
      <w:r>
        <w:rPr>
          <w:rFonts w:ascii="宋体" w:eastAsia="方正小标宋_GBK" w:hAnsi="宋体"/>
          <w:color w:val="000000"/>
          <w:spacing w:val="0"/>
          <w:kern w:val="21"/>
          <w:sz w:val="44"/>
          <w:szCs w:val="44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rPr>
          <w:rFonts w:ascii="宋体" w:eastAsia="方正小标宋_GBK" w:hAnsi="宋体"/>
          <w:bCs/>
          <w:color w:val="000000"/>
          <w:kern w:val="21"/>
          <w:sz w:val="44"/>
          <w:szCs w:val="44"/>
        </w:rPr>
      </w:pPr>
      <w:r>
        <w:rPr>
          <w:rFonts w:ascii="宋体" w:eastAsia="方正小标宋_GBK" w:cs="Arial" w:hAnsi="宋体" w:hint="eastAsia"/>
          <w:bCs/>
          <w:color w:val="000000"/>
          <w:kern w:val="21"/>
          <w:sz w:val="44"/>
          <w:szCs w:val="44"/>
          <w:lang w:bidi="ar-SA"/>
        </w:rPr>
        <w:t>关于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注销</w:t>
      </w:r>
      <w:r>
        <w:rPr>
          <w:rFonts w:ascii="宋体" w:eastAsia="方正小标宋_GBK" w:hAnsi="宋体" w:hint="eastAsia"/>
          <w:bCs/>
          <w:color w:val="000000"/>
          <w:kern w:val="21"/>
          <w:sz w:val="44"/>
          <w:szCs w:val="44"/>
        </w:rPr>
        <w:t>重庆</w:t>
      </w:r>
      <w:r>
        <w:rPr>
          <w:rFonts w:ascii="宋体" w:eastAsia="方正小标宋_GBK" w:hAnsi="宋体"/>
          <w:bCs/>
          <w:color w:val="000000"/>
          <w:kern w:val="21"/>
          <w:sz w:val="44"/>
          <w:szCs w:val="44"/>
        </w:rPr>
        <w:t>光涛</w:t>
      </w:r>
      <w:r>
        <w:rPr>
          <w:rFonts w:ascii="宋体" w:eastAsia="方正小标宋_GBK" w:hAnsi="宋体" w:hint="eastAsia"/>
          <w:bCs/>
          <w:color w:val="000000"/>
          <w:kern w:val="21"/>
          <w:sz w:val="44"/>
          <w:szCs w:val="44"/>
        </w:rPr>
        <w:t>建筑劳务有限公司</w:t>
      </w:r>
      <w:r>
        <w:rPr>
          <w:rFonts w:ascii="宋体" w:eastAsia="方正小标宋_GBK" w:hAnsi="宋体"/>
          <w:bCs/>
          <w:color w:val="000000"/>
          <w:kern w:val="21"/>
          <w:sz w:val="44"/>
          <w:szCs w:val="44"/>
        </w:rPr>
        <w:t>等2家建筑企业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旧版劳务分包企业</w:t>
      </w:r>
      <w:r>
        <w:rPr>
          <w:rFonts w:ascii="宋体" w:eastAsia="方正小标宋_GBK" w:cs="Arial" w:hAnsi="宋体" w:hint="eastAsia"/>
          <w:bCs/>
          <w:color w:val="000000"/>
          <w:kern w:val="21"/>
          <w:sz w:val="44"/>
          <w:szCs w:val="44"/>
          <w:lang w:bidi="ar-SA"/>
        </w:rPr>
        <w:t>资质的</w:t>
      </w:r>
      <w:r>
        <w:rPr>
          <w:rFonts w:ascii="宋体" w:eastAsia="方正小标宋_GBK" w:cs="Arial" w:hAnsi="宋体"/>
          <w:bCs/>
          <w:color w:val="000000"/>
          <w:kern w:val="21"/>
          <w:sz w:val="44"/>
          <w:szCs w:val="44"/>
          <w:lang w:bidi="ar-SA"/>
        </w:rPr>
        <w:t>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center"/>
        <w:textAlignment w:val="auto"/>
        <w:rPr>
          <w:rFonts w:ascii="宋体" w:eastAsia="方正小标宋_GBK" w:cs="Arial" w:hAnsi="宋体" w:hint="eastAsia"/>
          <w:bCs/>
          <w:color w:val="000000"/>
          <w:kern w:val="21"/>
          <w:sz w:val="36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jc w:val="left"/>
        <w:textAlignment w:val="auto"/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</w:pP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各有关单位：</w:t>
      </w:r>
    </w:p>
    <w:p>
      <w:pPr>
        <w:pStyle w:val="2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firstLineChars="200" w:firstLine="640"/>
        <w:jc w:val="both"/>
        <w:textAlignment w:val="auto"/>
        <w:rPr>
          <w:rFonts w:ascii="宋体" w:cs="Arial" w:hAnsi="宋体" w:hint="eastAsia"/>
          <w:bCs/>
          <w:color w:val="000000"/>
          <w:kern w:val="21"/>
          <w:sz w:val="32"/>
          <w:szCs w:val="32"/>
        </w:rPr>
      </w:pP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近期，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重庆光涛建筑劳务有限公司</w:t>
      </w:r>
      <w:r>
        <w:rPr>
          <w:rFonts w:ascii="宋体" w:cs="Arial" w:hAnsi="宋体"/>
          <w:bCs/>
          <w:color w:val="000000"/>
          <w:kern w:val="21"/>
          <w:sz w:val="32"/>
          <w:szCs w:val="32"/>
        </w:rPr>
        <w:t>等2家建筑企业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向我委申请注销其旧版劳务分包资质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。根据《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建筑业企业资质管理规定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》（建设部令第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22</w:t>
      </w:r>
      <w:r>
        <w:rPr>
          <w:rFonts w:ascii="宋体" w:eastAsia="方正仿宋_GBK" w:cs="Arial" w:hAnsi="宋体" w:hint="eastAsia"/>
          <w:color w:val="000000"/>
          <w:kern w:val="21"/>
          <w:sz w:val="32"/>
          <w:szCs w:val="32"/>
          <w:lang w:bidi="ar-SA"/>
        </w:rPr>
        <w:t>号）有关规定，经核查，现准予</w:t>
      </w:r>
      <w:r>
        <w:rPr>
          <w:rFonts w:ascii="宋体" w:eastAsia="方正仿宋_GBK" w:cs="Arial" w:hAnsi="宋体"/>
          <w:color w:val="000000"/>
          <w:kern w:val="21"/>
          <w:sz w:val="32"/>
          <w:szCs w:val="32"/>
          <w:lang w:bidi="ar-SA"/>
        </w:rPr>
        <w:t>注</w:t>
      </w:r>
      <w:r>
        <w:rPr>
          <w:rFonts w:ascii="宋体" w:cs="Arial" w:hAnsi="宋体"/>
          <w:bCs/>
          <w:color w:val="000000"/>
          <w:kern w:val="21"/>
          <w:sz w:val="32"/>
          <w:szCs w:val="32"/>
          <w:lang w:bidi="ar-SA"/>
        </w:rPr>
        <w:t>销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重庆光涛建筑劳务有限公司</w:t>
      </w:r>
      <w:r>
        <w:rPr>
          <w:rFonts w:ascii="宋体" w:cs="Arial" w:hAnsi="宋体"/>
          <w:bCs/>
          <w:color w:val="000000"/>
          <w:kern w:val="21"/>
          <w:sz w:val="32"/>
          <w:szCs w:val="32"/>
        </w:rPr>
        <w:t>等2家建筑企业</w:t>
      </w:r>
      <w:r>
        <w:rPr>
          <w:rFonts w:ascii="宋体" w:cs="Arial" w:hAnsi="宋体" w:hint="eastAsia"/>
          <w:bCs/>
          <w:color w:val="000000"/>
          <w:kern w:val="21"/>
          <w:sz w:val="32"/>
          <w:szCs w:val="32"/>
        </w:rPr>
        <w:t>旧版劳务分包资质。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cs="Arial" w:hAnsi="宋体"/>
          <w:bCs/>
          <w:color w:val="000000"/>
          <w:kern w:val="21"/>
          <w:szCs w:val="32"/>
          <w:lang w:bidi="ar-SA"/>
        </w:rPr>
      </w:pPr>
      <w:r>
        <w:rPr>
          <w:rFonts w:ascii="宋体" w:cs="Arial" w:hAnsi="宋体" w:hint="eastAsia"/>
          <w:bCs/>
          <w:color w:val="000000"/>
          <w:kern w:val="21"/>
          <w:szCs w:val="32"/>
          <w:lang w:bidi="ar-SA"/>
        </w:rPr>
        <w:t>特此</w:t>
      </w:r>
      <w:r>
        <w:rPr>
          <w:rFonts w:ascii="宋体" w:cs="Arial" w:hAnsi="宋体"/>
          <w:bCs/>
          <w:color w:val="000000"/>
          <w:kern w:val="21"/>
          <w:szCs w:val="32"/>
          <w:lang w:bidi="ar-SA"/>
        </w:rPr>
        <w:t>通报。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hAnsi="宋体" w:hint="eastAsia"/>
          <w:b w:val="0"/>
          <w:sz w:val="32"/>
          <w:szCs w:val="32"/>
        </w:rPr>
      </w:pPr>
      <w:r>
        <w:rPr>
          <w:rFonts w:ascii="宋体" w:eastAsia="方正仿宋_GBK" w:cs="方正楷体_GBK" w:hAnsi="宋体"/>
          <w:color w:val="000000"/>
          <w:spacing w:val="0"/>
          <w:kern w:val="21"/>
          <w:sz w:val="32"/>
          <w:lang w:bidi="ar-SA"/>
        </w:rPr>
        <w:t>附件：</w:t>
      </w:r>
      <w:r>
        <w:rPr>
          <w:rFonts w:ascii="宋体" w:eastAsia="方正仿宋_GBK" w:hAnsi="宋体"/>
          <w:kern w:val="21"/>
          <w:sz w:val="32"/>
          <w:szCs w:val="32"/>
        </w:rPr>
        <w:t>注销的</w:t>
      </w:r>
      <w:r>
        <w:rPr>
          <w:rFonts w:ascii="宋体" w:eastAsia="方正仿宋_GBK" w:hAnsi="宋体" w:hint="eastAsia"/>
          <w:kern w:val="21"/>
          <w:sz w:val="32"/>
          <w:szCs w:val="32"/>
        </w:rPr>
        <w:t>建筑业企业资质名单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Chars="200" w:right="640" w:firstLineChars="700" w:firstLine="2240"/>
        <w:jc w:val="right"/>
        <w:textAlignment w:val="auto"/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重庆市江津区住房和城乡建设委员会</w:t>
      </w: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500" w:left="1600" w:firstLineChars="800" w:firstLine="2560"/>
        <w:textAlignment w:val="auto"/>
        <w:rPr>
          <w:rFonts w:ascii="宋体" w:eastAsia="方正仿宋_GBK" w:hAnsi="宋体" w:hint="eastAsia"/>
          <w:b w:val="0"/>
          <w:color w:val="auto"/>
          <w:kern w:val="21"/>
          <w:sz w:val="32"/>
          <w:szCs w:val="32"/>
          <w:lang w:eastAsia="zh-CN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202</w:t>
      </w:r>
      <w:r>
        <w:rPr>
          <w:rFonts w:ascii="宋体" w:eastAsia="方正仿宋_GBK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年</w:t>
      </w:r>
      <w:r>
        <w:rPr>
          <w:rFonts w:ascii="宋体" w:eastAsia="方正仿宋_GBK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3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月</w:t>
      </w:r>
      <w:r>
        <w:rPr>
          <w:rFonts w:ascii="宋体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13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ascii="宋体" w:hAnsi="宋体"/>
          <w:color w:val="auto"/>
          <w:kern w:val="21"/>
          <w:szCs w:val="32"/>
          <w:lang w:eastAsia="zh-CN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黑体_GBK" w:eastAsia="方正黑体_GBK" w:cs="方正黑体_GBK" w:hint="eastAsia"/>
          <w:sz w:val="32"/>
          <w:szCs w:val="32"/>
          <w:lang w:bidi="ar-SA"/>
        </w:rPr>
      </w:pPr>
      <w:r>
        <w:rPr>
          <w:rFonts w:ascii="方正黑体_GBK" w:eastAsia="方正黑体_GBK" w:cs="方正黑体_GBK" w:hint="eastAsia"/>
          <w:sz w:val="32"/>
          <w:szCs w:val="32"/>
          <w:lang w:bidi="ar-SA"/>
        </w:rPr>
        <w:t>附件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方正黑体_GBK" w:eastAsia="方正黑体_GBK" w:cs="方正黑体_GBK" w:hint="eastAsia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snapToGrid/>
        <w:spacing w:line="579" w:lineRule="exact"/>
        <w:jc w:val="center"/>
        <w:rPr>
          <w:rFonts w:ascii="方正小标宋_GBK" w:eastAsia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kern w:val="0"/>
          <w:sz w:val="44"/>
          <w:szCs w:val="44"/>
          <w:lang w:bidi="ar-SA"/>
        </w:rPr>
        <w:t>注销的</w:t>
      </w:r>
      <w:r>
        <w:rPr>
          <w:rFonts w:ascii="方正小标宋_GBK" w:eastAsia="方正小标宋_GBK" w:cs="方正小标宋_GBK" w:hint="eastAsia"/>
          <w:sz w:val="44"/>
          <w:szCs w:val="44"/>
          <w:lang w:bidi="ar-SA"/>
        </w:rPr>
        <w:t>建筑业企业资质名单</w:t>
      </w:r>
    </w:p>
    <w:tbl>
      <w:tblPr>
        <w:jc w:val="left"/>
        <w:tblInd w:w="6" w:type="dx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42"/>
        <w:gridCol w:w="3200"/>
        <w:gridCol w:w="2880"/>
      </w:tblGrid>
      <w:tr>
        <w:trPr>
          <w:trHeight w:val="613"/>
        </w:trPr>
        <w:tc>
          <w:tcPr>
            <w:tcW w:w="5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244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企业名称</w:t>
            </w:r>
          </w:p>
        </w:tc>
        <w:tc>
          <w:tcPr>
            <w:tcW w:w="3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旧版劳务分包资质</w:t>
            </w:r>
          </w:p>
        </w:tc>
        <w:tc>
          <w:tcPr>
            <w:tcW w:w="28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/>
              <w:jc w:val="center"/>
              <w:textAlignment w:val="auto"/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</w:pPr>
            <w:r>
              <w:rPr>
                <w:rFonts w:ascii="方正黑体_GBK" w:eastAsia="方正黑体_GBK" w:cs="方正黑体_GBK" w:hint="eastAsia"/>
                <w:sz w:val="32"/>
                <w:szCs w:val="32"/>
                <w:lang w:bidi="ar-SA"/>
              </w:rPr>
              <w:t>资质证书编号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  <w:t>1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方正仿宋_GBK" w:hint="eastAsia"/>
                <w:bCs/>
                <w:szCs w:val="32"/>
              </w:rPr>
              <w:t>重庆</w:t>
            </w:r>
            <w:r>
              <w:rPr>
                <w:rFonts w:ascii="宋体" w:cs="Arial" w:hAnsi="宋体" w:hint="eastAsia"/>
                <w:bCs/>
                <w:color w:val="000000"/>
                <w:kern w:val="21"/>
                <w:sz w:val="32"/>
                <w:szCs w:val="32"/>
              </w:rPr>
              <w:t>光涛</w:t>
            </w:r>
            <w:r>
              <w:rPr>
                <w:rFonts w:ascii="方正仿宋_GBK" w:hint="eastAsia"/>
                <w:bCs/>
                <w:szCs w:val="32"/>
              </w:rPr>
              <w:t>建筑劳务有限公司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砌筑作业一级、</w:t>
            </w:r>
            <w:r>
              <w:rPr>
                <w:rFonts w:ascii="方正仿宋_GBK" w:eastAsia="方正仿宋_GBK"/>
                <w:sz w:val="32"/>
                <w:szCs w:val="32"/>
              </w:rPr>
              <w:t>木工作业一级、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抹灰作业不分等级、钢筋作业一级、混凝土作业不分等级</w:t>
            </w:r>
            <w:r>
              <w:rPr>
                <w:rFonts w:ascii="方正仿宋_GBK" w:eastAsia="方正仿宋_GBK"/>
                <w:sz w:val="32"/>
                <w:szCs w:val="32"/>
              </w:rPr>
              <w:t>劳务分包</w:t>
            </w:r>
          </w:p>
        </w:tc>
        <w:tc>
          <w:tcPr>
            <w:tcW w:w="28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hint="eastAsia"/>
                <w:szCs w:val="32"/>
              </w:rPr>
              <w:t> C102</w:t>
            </w:r>
            <w:r>
              <w:rPr>
                <w:rFonts w:ascii="方正仿宋_GBK"/>
                <w:szCs w:val="32"/>
              </w:rPr>
              <w:t>4050012189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宋体" w:cs="Arial" w:hAnsi="宋体"/>
                <w:color w:val="000000"/>
                <w:kern w:val="21"/>
                <w:sz w:val="28"/>
                <w:szCs w:val="28"/>
                <w:lang w:bidi="ar-SA"/>
              </w:rPr>
              <w:t>2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color w:val="000000"/>
                <w:kern w:val="21"/>
                <w:sz w:val="28"/>
                <w:szCs w:val="28"/>
                <w:lang w:bidi="ar-SA"/>
              </w:rPr>
            </w:pPr>
            <w:r>
              <w:rPr>
                <w:rFonts w:ascii="宋体" w:cs="Arial" w:hAnsi="宋体"/>
                <w:color w:val="000000"/>
                <w:kern w:val="21"/>
                <w:sz w:val="28"/>
                <w:szCs w:val="28"/>
                <w:lang w:bidi="ar-SA"/>
              </w:rPr>
              <w:t>重庆市渝森建筑劳务有限公司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钢筋作业一级、</w:t>
            </w:r>
            <w:r>
              <w:rPr>
                <w:rFonts w:ascii="方正仿宋_GBK" w:eastAsia="方正仿宋_GBK"/>
                <w:sz w:val="32"/>
                <w:szCs w:val="32"/>
              </w:rPr>
              <w:t>水暖电安装作业不分等级、木工作业一级、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砌筑作业一级</w:t>
            </w:r>
            <w:r>
              <w:rPr>
                <w:rFonts w:ascii="方正仿宋_GBK" w:eastAsia="方正仿宋_GBK"/>
                <w:sz w:val="32"/>
                <w:szCs w:val="32"/>
              </w:rPr>
              <w:t>、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混凝土作业不分等级</w:t>
            </w:r>
            <w:r>
              <w:rPr>
                <w:rFonts w:ascii="方正仿宋_GBK" w:eastAsia="方正仿宋_GBK"/>
                <w:sz w:val="32"/>
                <w:szCs w:val="32"/>
              </w:rPr>
              <w:t>、焊接作业一级、抹灰作业不分等级劳务分包</w:t>
            </w:r>
          </w:p>
        </w:tc>
        <w:tc>
          <w:tcPr>
            <w:tcW w:w="28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cs="Arial" w:hAnsi="宋体" w:hint="eastAsia"/>
                <w:bCs/>
                <w:color w:val="000000"/>
                <w:kern w:val="21"/>
                <w:sz w:val="28"/>
                <w:szCs w:val="28"/>
                <w:lang w:eastAsia="zh-CN" w:bidi="ar-SA"/>
              </w:rPr>
            </w:pPr>
            <w:r>
              <w:rPr>
                <w:rFonts w:ascii="方正仿宋_GBK" w:cs="Arial" w:hint="eastAsia"/>
                <w:bCs/>
                <w:szCs w:val="32"/>
                <w:lang w:eastAsia="zh-CN" w:bidi="ar-SA"/>
              </w:rPr>
              <w:t>C1064050038107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left="0"/>
        <w:rPr>
          <w:rFonts w:ascii="宋体" w:hAnsi="宋体" w:hint="eastAsia"/>
          <w:spacing w:val="0"/>
          <w:kern w:val="21"/>
          <w:szCs w:val="32"/>
        </w:rPr>
      </w:pPr>
    </w:p>
    <w:sectPr>
      <w:headerReference w:type="default" r:id="rId2"/>
      <w:footerReference w:type="default" r:id="rId3"/>
      <w:footerReference w:type="even" r:id="rId4"/>
      <w:pgSz w:w="11905" w:h="16838"/>
      <w:pgMar w:top="2098" w:right="1474" w:bottom="1984" w:left="1587" w:header="709" w:footer="1474" w:gutter="0"/>
      <w:docGrid w:linePitch="58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方正小标宋简体">
    <w:altName w:val="Courier New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posOffset>4901490</wp:posOffset>
              </wp:positionH>
              <wp:positionV relativeFrom="paragraph">
                <wp:posOffset>-74960</wp:posOffset>
              </wp:positionV>
              <wp:extent cx="634999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49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0"/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rightChars="50" w:right="160"/>
                            <w:jc w:val="right"/>
                          </w:pPr>
                          <w:r>
                            <w:rPr>
                              <w:rStyle w:val="25"/>
                              <w:rFonts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5"/>
                              <w:rFonts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385.94415pt;margin-top:-5.902406pt;width:49.999985pt;height:18.130003pt;z-index:10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0"/>
                      <w:tabs>
                        <w:tab w:val="center" w:pos="4153"/>
                        <w:tab w:val="right" w:pos="8306"/>
                      </w:tabs>
                      <w:wordWrap w:val="0"/>
                      <w:ind w:rightChars="50" w:right="160"/>
                      <w:jc w:val="right"/>
                    </w:pPr>
                    <w:r>
                      <w:rPr>
                        <w:rStyle w:val="25"/>
                        <w:rFonts w:eastAsia="宋体"/>
                        <w:sz w:val="28"/>
                      </w:rPr>
                      <w:t>―</w:t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int="eastAsia"/>
                        <w:sz w:val="28"/>
                      </w:rPr>
                      <w:t>6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Style w:val="25"/>
                        <w:rFonts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0"/>
      <w:tabs>
        <w:tab w:val="center" w:pos="4153"/>
        <w:tab w:val="right" w:pos="8306"/>
      </w:tabs>
      <w:ind w:right="360" w:firstLine="360"/>
      <w:rPr>
        <w:rFonts w:ascii="宋体" w:eastAsia="宋体" w:hint="eastAsia"/>
        <w:color w:val="FFFFFF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 w:val="0"/>
  <w:bordersDoNotSurroundFooter w:val="0"/>
  <w:defaultTabStop w:val="425"/>
  <w:evenAndOddHeaders/>
  <w:drawingGridHorizontalSpacing w:val="320"/>
  <w:drawingGridVerticalSpacing w:val="1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autoRedefine/>
    <w:next w:val="0"/>
    <w:pPr>
      <w:ind w:firstLine="0"/>
      <w:jc w:val="center"/>
      <w:outlineLvl w:val="0"/>
    </w:pPr>
    <w:rPr>
      <w:rFonts w:ascii="方正小标宋_GBK" w:eastAsia="方正小标宋_GBK" w:cs="Times New Roman"/>
      <w:sz w:val="44"/>
      <w:szCs w:val="44"/>
      <w:shd w:val="clear" w:color="auto" w:fill="FFFFFF"/>
      <w:lang w:bidi="ar-SA"/>
    </w:rPr>
  </w:style>
  <w:style w:type="paragraph" w:styleId="2">
    <w:name w:val="heading 2"/>
    <w:basedOn w:val="0"/>
    <w:autoRedefine/>
    <w:next w:val="0"/>
    <w:pPr>
      <w:outlineLvl w:val="1"/>
    </w:pPr>
    <w:rPr>
      <w:rFonts w:ascii="方正黑体_GBK" w:eastAsia="方正黑体_GBK"/>
    </w:rPr>
  </w:style>
  <w:style w:type="paragraph" w:styleId="5">
    <w:name w:val="heading 5"/>
    <w:basedOn w:val="0"/>
    <w:autoRedefine/>
    <w:next w:val="0"/>
    <w:pPr>
      <w:keepNext/>
      <w:keepLines/>
      <w:widowControl w:val="0"/>
      <w:adjustRightInd/>
      <w:snapToGrid/>
      <w:spacing w:after="0"/>
      <w:ind w:left="851" w:hanging="851"/>
      <w:jc w:val="both"/>
      <w:outlineLvl w:val="4"/>
    </w:pPr>
    <w:rPr>
      <w:rFonts w:ascii="Times New Roman" w:eastAsia="宋体" w:cs="Times New Roman" w:hAnsi="Times New Roman"/>
      <w:b/>
      <w:bCs/>
      <w:kern w:val="2"/>
      <w:sz w:val="21"/>
      <w:szCs w:val="28"/>
      <w:lang w:bidi="ar-SA"/>
    </w:rPr>
  </w:style>
  <w:style w:type="character" w:default="1" w:styleId="10">
    <w:name w:val="Default Paragraph Font"/>
    <w:autoRedefine/>
  </w:style>
  <w:style w:type="paragraph" w:styleId="15">
    <w:name w:val="index 5"/>
    <w:basedOn w:val="0"/>
    <w:autoRedefine/>
    <w:next w:val="0"/>
    <w:pPr>
      <w:ind w:left="1680"/>
    </w:pPr>
  </w:style>
  <w:style w:type="paragraph" w:styleId="16">
    <w:name w:val="table of authorities"/>
    <w:basedOn w:val="0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7">
    <w:name w:val="Normal Indent"/>
    <w:basedOn w:val="0"/>
    <w:autoRedefine/>
    <w:next w:val="0"/>
    <w:rPr>
      <w:rFonts w:ascii="Times New Roman" w:eastAsia="宋体" w:cs="Times New Roman" w:hAnsi="Times New Roman"/>
      <w:lang w:bidi="ar-SA"/>
    </w:rPr>
  </w:style>
  <w:style w:type="paragraph" w:styleId="18">
    <w:name w:val="Body Text"/>
    <w:basedOn w:val="0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9">
    <w:name w:val="Date"/>
    <w:basedOn w:val="0"/>
    <w:autoRedefine/>
    <w:next w:val="0"/>
    <w:pPr>
      <w:ind w:leftChars="2500" w:left="2500"/>
    </w:pPr>
    <w:rPr>
      <w:kern w:val="0"/>
      <w:sz w:val="20"/>
    </w:rPr>
  </w:style>
  <w:style w:type="paragraph" w:styleId="20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2">
    <w:name w:val="Message Header"/>
    <w:basedOn w:val="0"/>
    <w:autoRedefine/>
    <w:next w:val="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23">
    <w:name w:val="Normal (Web)"/>
    <w:basedOn w:val="0"/>
    <w:autoRedefine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仿宋_GBK" w:cs="Times New Roman" w:hAnsi="Times New Roman"/>
      <w:kern w:val="0"/>
      <w:sz w:val="24"/>
      <w:lang w:val="en-US" w:eastAsia="zh-CN"/>
    </w:rPr>
  </w:style>
  <w:style w:type="character" w:styleId="24">
    <w:name w:val="Strong"/>
    <w:basedOn w:val="10"/>
    <w:autoRedefine/>
    <w:rPr>
      <w:b/>
    </w:rPr>
  </w:style>
  <w:style w:type="character" w:styleId="25">
    <w:name w:val="page number"/>
    <w:basedOn w:val="10"/>
    <w:autoRedefine/>
  </w:style>
  <w:style w:type="character" w:styleId="26">
    <w:name w:val="Hyperlink"/>
    <w:basedOn w:val="10"/>
    <w:autoRedefine/>
    <w:rPr>
      <w:color w:val="0000FF"/>
      <w:u w:val="single"/>
    </w:rPr>
  </w:style>
  <w:style w:type="paragraph" w:customStyle="1" w:styleId="27">
    <w:name w:val="无间隔1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8">
    <w:name w:val="Default"/>
    <w:autoRedefine/>
    <w:next w:val="0"/>
    <w:pPr>
      <w:widowControl w:val="0"/>
      <w:autoSpaceDE w:val="0"/>
      <w:autoSpaceDN w:val="0"/>
      <w:adjustRightInd w:val="0"/>
    </w:pPr>
    <w:rPr>
      <w:rFonts w:ascii="Times New Roman" w:eastAsia="宋体" w:cs="Arial" w:hAnsi="Times New Roman"/>
      <w:sz w:val="24"/>
      <w:szCs w:val="24"/>
      <w:lang w:val="en-US" w:eastAsia="zh-CN" w:bidi="ar-SA"/>
    </w:rPr>
  </w:style>
  <w:style w:type="paragraph" w:customStyle="1" w:styleId="29">
    <w:name w:val="默认"/>
    <w:autoRedefine/>
    <w:next w:val="15"/>
    <w:rPr>
      <w:rFonts w:ascii="Helvetica" w:eastAsia="Helvetica" w:cs="Helvetica" w:hAnsi="Helvetica"/>
      <w:color w:val="000000"/>
      <w:sz w:val="22"/>
      <w:szCs w:val="22"/>
      <w:lang w:val="en-US" w:eastAsia="zh-CN" w:bidi="ar-SA"/>
    </w:rPr>
  </w:style>
  <w:style w:type="character" w:customStyle="1" w:styleId="30">
    <w:name w:val="font191"/>
    <w:basedOn w:val="10"/>
    <w:autoRedefine/>
    <w:rPr>
      <w:rFonts w:ascii="Arial" w:cs="Arial" w:hAnsi="Arial"/>
      <w:color w:val="000000"/>
      <w:sz w:val="16"/>
      <w:szCs w:val="16"/>
      <w:u w:val="none"/>
      <w:lang w:bidi="ar-SA"/>
    </w:rPr>
  </w:style>
  <w:style w:type="character" w:customStyle="1" w:styleId="31">
    <w:name w:val="font51"/>
    <w:basedOn w:val="10"/>
    <w:autoRedefine/>
    <w:rPr>
      <w:rFonts w:ascii="方正小标宋简体" w:eastAsia="方正小标宋简体" w:cs="方正小标宋简体"/>
      <w:color w:val="000000"/>
      <w:sz w:val="28"/>
      <w:szCs w:val="28"/>
      <w:u w:val="none"/>
      <w:lang w:bidi="ar-SA"/>
    </w:rPr>
  </w:style>
  <w:style w:type="character" w:customStyle="1" w:styleId="32">
    <w:name w:val="font41"/>
    <w:basedOn w:val="10"/>
    <w:autoRedefine/>
    <w:rPr>
      <w:rFonts w:ascii="Wingdings" w:cs="Wingdings" w:hAnsi="Wingdings"/>
      <w:color w:val="000000"/>
      <w:sz w:val="28"/>
      <w:szCs w:val="28"/>
      <w:u w:val="none"/>
      <w:lang w:bidi="ar-SA"/>
    </w:rPr>
  </w:style>
  <w:style w:type="character" w:customStyle="1" w:styleId="33">
    <w:name w:val="font81"/>
    <w:basedOn w:val="10"/>
    <w:autoRedefine/>
    <w:rPr>
      <w:rFonts w:ascii="Wingdings" w:cs="Wingdings" w:hAnsi="Wingdings"/>
      <w:color w:val="000000"/>
      <w:sz w:val="20"/>
      <w:szCs w:val="20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</Application>
  <Pages>2</Pages>
  <Words>373</Words>
  <Characters>404</Characters>
  <Lines>50</Lines>
  <Paragraphs>22</Paragraphs>
  <CharactersWithSpaces>405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2</cp:revision>
  <cp:lastPrinted>2024-03-12T02:58:24Z</cp:lastPrinted>
  <dcterms:created xsi:type="dcterms:W3CDTF">2022-08-19T08:26:00Z</dcterms:created>
  <dcterms:modified xsi:type="dcterms:W3CDTF">2024-03-14T02:37:03Z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B376D546FCDD4DD7A5CF494256A02E22_13</vt:lpwstr>
  </property>
</Properties>
</file>