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小标宋_GBK" w:hAnsi="宋体"/>
          <w:color w:val="000000"/>
          <w:spacing w:val="0"/>
          <w:kern w:val="2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hAnsi="宋体" w:hint="eastAsia"/>
          <w:color w:val="000000"/>
          <w:spacing w:val="0"/>
          <w:kern w:val="21"/>
          <w:sz w:val="44"/>
          <w:szCs w:val="44"/>
        </w:rPr>
      </w:pPr>
      <w:r>
        <w:rPr>
          <w:rFonts w:ascii="宋体" w:eastAsia="方正小标宋_GBK" w:hAnsi="宋体"/>
          <w:color w:val="000000"/>
          <w:spacing w:val="0"/>
          <w:kern w:val="21"/>
          <w:sz w:val="44"/>
          <w:szCs w:val="44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rPr>
          <w:rFonts w:ascii="方正小标宋_GBK" w:eastAsia="方正小标宋_GBK" w:cs="Arial" w:hint="eastAsia"/>
          <w:bCs/>
          <w:kern w:val="0"/>
          <w:sz w:val="44"/>
          <w:szCs w:val="44"/>
        </w:rPr>
      </w:pPr>
      <w:r>
        <w:rPr>
          <w:rFonts w:ascii="宋体" w:eastAsia="方正小标宋_GBK" w:hAnsi="宋体" w:hint="eastAsia"/>
          <w:kern w:val="21"/>
          <w:sz w:val="44"/>
          <w:szCs w:val="44"/>
        </w:rPr>
        <w:t>关于公布核准</w:t>
      </w: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重庆庄悦消防工程有限公司等3家</w:t>
      </w: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建</w:t>
      </w: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筑业</w:t>
      </w:r>
      <w:r>
        <w:rPr>
          <w:rFonts w:ascii="宋体" w:eastAsia="方正小标宋_GBK" w:hAnsi="宋体"/>
          <w:kern w:val="21"/>
          <w:sz w:val="44"/>
          <w:szCs w:val="44"/>
        </w:rPr>
        <w:t>企业</w:t>
      </w:r>
      <w:r>
        <w:rPr>
          <w:rFonts w:ascii="宋体" w:eastAsia="方正小标宋_GBK" w:hAnsi="宋体" w:hint="eastAsia"/>
          <w:kern w:val="21"/>
          <w:sz w:val="44"/>
          <w:szCs w:val="44"/>
        </w:rPr>
        <w:t>资质结果的通知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各有关单位</w:t>
      </w:r>
      <w:r>
        <w:rPr>
          <w:rFonts w:ascii="宋体" w:eastAsia="方正仿宋_GBK" w:hAnsi="宋体" w:hint="eastAsia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Chars="200" w:firstLine="640"/>
        <w:textAlignment w:val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根据《中华人民共和国建筑法》、《建筑业企业资质管理规定》（住房和城乡建设部令第22号）、《建筑业企业资质标准》（建市〔2014〕159号）和《住房城乡建设部关于印发&lt;建筑业企业资质管理规定和资质标准实施意见&gt;的通知》（建市〔2015〕20号）的规定，区住房城乡建委对</w:t>
      </w:r>
      <w:r>
        <w:rPr>
          <w:rFonts w:ascii="宋体" w:cs="Arial" w:hAnsi="宋体" w:hint="eastAsia"/>
          <w:bCs/>
          <w:kern w:val="0"/>
          <w:szCs w:val="32"/>
          <w:lang w:bidi="ar-SA"/>
        </w:rPr>
        <w:t>重庆庄悦消防工程有限公司等3家建筑业</w:t>
      </w:r>
      <w:r>
        <w:rPr>
          <w:rFonts w:ascii="宋体" w:hAnsi="宋体" w:hint="eastAsia"/>
          <w:kern w:val="0"/>
          <w:szCs w:val="32"/>
        </w:rPr>
        <w:t>企业申请</w:t>
      </w:r>
      <w:r>
        <w:rPr>
          <w:rFonts w:ascii="宋体" w:hAnsi="宋体" w:hint="eastAsia"/>
          <w:kern w:val="0"/>
          <w:sz w:val="32"/>
          <w:szCs w:val="32"/>
        </w:rPr>
        <w:t>的</w:t>
      </w:r>
      <w:r>
        <w:rPr>
          <w:rFonts w:ascii="宋体" w:cs="Arial" w:hAnsi="宋体" w:hint="eastAsia"/>
          <w:bCs/>
          <w:kern w:val="0"/>
          <w:sz w:val="32"/>
          <w:szCs w:val="32"/>
          <w:lang w:eastAsia="zh-CN" w:bidi="ar-SA"/>
        </w:rPr>
        <w:t>建筑业企业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资质</w:t>
      </w:r>
      <w:r>
        <w:rPr>
          <w:rFonts w:ascii="宋体" w:hAnsi="宋体" w:hint="eastAsia"/>
          <w:kern w:val="0"/>
          <w:sz w:val="32"/>
          <w:szCs w:val="32"/>
        </w:rPr>
        <w:t>进行了审核，经审查并在网上公示无异议，现将核准的企业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资质</w:t>
      </w:r>
      <w:r>
        <w:rPr>
          <w:rFonts w:ascii="宋体" w:hAnsi="宋体" w:hint="eastAsia"/>
          <w:kern w:val="0"/>
          <w:sz w:val="32"/>
          <w:szCs w:val="32"/>
        </w:rPr>
        <w:t>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hAnsi="宋体" w:hint="eastAsia"/>
          <w:b w:val="0"/>
          <w:sz w:val="32"/>
        </w:rPr>
      </w:pPr>
      <w:r>
        <w:rPr>
          <w:rFonts w:ascii="宋体" w:hAnsi="宋体" w:hint="eastAsia"/>
          <w:kern w:val="0"/>
          <w:sz w:val="32"/>
          <w:szCs w:val="32"/>
        </w:rPr>
        <w:t>特此通知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附件：</w:t>
      </w:r>
      <w:r>
        <w:rPr>
          <w:rFonts w:ascii="宋体" w:hAnsi="宋体"/>
          <w:kern w:val="0"/>
          <w:sz w:val="32"/>
          <w:szCs w:val="32"/>
        </w:rPr>
        <w:t>1.核准的</w:t>
      </w:r>
      <w:r>
        <w:rPr>
          <w:rFonts w:ascii="宋体" w:eastAsia="方正仿宋_GBK" w:hAnsi="宋体" w:hint="eastAsia"/>
          <w:sz w:val="32"/>
          <w:szCs w:val="32"/>
        </w:rPr>
        <w:t>建筑业企业名单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500" w:firstLine="1600"/>
        <w:textAlignment w:val="auto"/>
        <w:rPr>
          <w:rFonts w:ascii="宋体" w:eastAsia="方正仿宋_GBK" w:hAnsi="宋体" w:hint="eastAsia"/>
          <w:sz w:val="32"/>
        </w:rPr>
      </w:pPr>
      <w:r>
        <w:rPr>
          <w:rFonts w:ascii="宋体" w:hAnsi="宋体"/>
          <w:kern w:val="0"/>
          <w:sz w:val="32"/>
          <w:szCs w:val="32"/>
        </w:rPr>
        <w:t>2.</w:t>
      </w:r>
      <w:r>
        <w:rPr>
          <w:rFonts w:ascii="宋体" w:hAnsi="宋体" w:hint="eastAsia"/>
          <w:kern w:val="0"/>
          <w:sz w:val="32"/>
          <w:szCs w:val="32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Chars="200" w:right="640" w:firstLineChars="700" w:firstLine="2240"/>
        <w:jc w:val="right"/>
        <w:textAlignment w:val="auto"/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500" w:left="1600" w:firstLineChars="900" w:firstLine="2880"/>
        <w:textAlignment w:val="auto"/>
        <w:rPr>
          <w:rFonts w:ascii="宋体" w:eastAsia="方正仿宋_GBK" w:hAnsi="宋体" w:hint="eastAsia"/>
          <w:b w:val="0"/>
          <w:color w:val="auto"/>
          <w:kern w:val="21"/>
          <w:sz w:val="32"/>
          <w:szCs w:val="32"/>
          <w:lang w:eastAsia="zh-CN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202</w:t>
      </w:r>
      <w:r>
        <w:rPr>
          <w:rFonts w:ascii="宋体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年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1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月</w:t>
      </w:r>
      <w:r>
        <w:rPr>
          <w:rFonts w:ascii="宋体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 xml:space="preserve">  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rPr>
          <w:rFonts w:ascii="宋体" w:eastAsia="方正黑体_GBK" w:hAnsi="宋体" w:hint="eastAsia"/>
          <w:kern w:val="0"/>
          <w:szCs w:val="32"/>
          <w:lang w:val="en-US" w:eastAsia="zh-CN"/>
        </w:rPr>
      </w:pPr>
      <w:r>
        <w:rPr>
          <w:rFonts w:ascii="宋体" w:eastAsia="方正黑体_GBK" w:hAnsi="宋体" w:hint="eastAsia"/>
          <w:kern w:val="0"/>
          <w:szCs w:val="32"/>
        </w:rPr>
        <w:t>附件</w:t>
      </w:r>
      <w:r>
        <w:rPr>
          <w:rFonts w:ascii="宋体" w:eastAsia="方正黑体_GBK" w:hAnsi="宋体" w:hint="eastAsia"/>
          <w:kern w:val="0"/>
          <w:szCs w:val="32"/>
          <w:lang w:val="en-US" w:eastAsia="zh-CN"/>
        </w:rPr>
        <w:t>1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hint="eastAsia"/>
          <w:kern w:val="21"/>
        </w:rPr>
      </w:pPr>
    </w:p>
    <w:p>
      <w:pPr>
        <w:widowControl/>
        <w:spacing w:line="580" w:lineRule="exact"/>
        <w:jc w:val="center"/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</w:pP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核准的建筑企业名单</w:t>
      </w:r>
    </w:p>
    <w:tbl>
      <w:tblPr>
        <w:jc w:val="left"/>
        <w:tblInd w:w="6" w:type="dx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2315"/>
        <w:gridCol w:w="2545"/>
        <w:gridCol w:w="2160"/>
      </w:tblGrid>
      <w:tr>
        <w:trPr>
          <w:trHeight w:val="613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2315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首次申请资质</w:t>
            </w:r>
          </w:p>
        </w:tc>
        <w:tc>
          <w:tcPr>
            <w:tcW w:w="2545" w:type="dxa"/>
            <w:noWrap/>
            <w:vAlign w:val="center"/>
          </w:tcPr>
          <w:p>
            <w:pPr>
              <w:ind w:firstLineChars="150" w:firstLine="48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增项资质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符合简化办理的重新核定</w:t>
            </w:r>
          </w:p>
        </w:tc>
      </w:tr>
      <w:tr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>
            <w:r>
              <w:rPr>
                <w:rFonts w:ascii="方正仿宋_GBK" w:eastAsia="方正仿宋_GBK" w:hint="eastAsia"/>
                <w:sz w:val="32"/>
                <w:szCs w:val="32"/>
              </w:rPr>
              <w:t>重庆庄悦消防工程有限公司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建筑装修装饰工程专业承包二级、消防设施工程专业承包二级</w:t>
            </w:r>
          </w:p>
        </w:tc>
        <w:tc>
          <w:tcPr>
            <w:tcW w:w="2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</w:tr>
      <w:tr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重庆金来达装饰工程有限公司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建筑装修装饰工程专业承包二级、防水防腐保温工程专业承包二级</w:t>
            </w:r>
          </w:p>
        </w:tc>
        <w:tc>
          <w:tcPr>
            <w:tcW w:w="2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</w:tr>
      <w:tr>
        <w:trPr>
          <w:trHeight w:val="2649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重庆顺昱舟建设工程有限公司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防水防腐保温工程专业承包二级</w:t>
            </w:r>
          </w:p>
        </w:tc>
        <w:tc>
          <w:tcPr>
            <w:tcW w:w="2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</w:tr>
    </w:tbl>
    <w:p>
      <w:pPr>
        <w:widowControl/>
        <w:adjustRightInd w:val="0"/>
        <w:snapToGrid w:val="0"/>
        <w:spacing w:line="480" w:lineRule="exact"/>
        <w:jc w:val="left"/>
        <w:rPr>
          <w:rFonts w:ascii="Times New Roman" w:eastAsia="方正仿宋_GBK" w:cs="Times New Roman" w:hAnsi="Times New Roman"/>
          <w:color w:val="212121"/>
          <w:kern w:val="0"/>
          <w:sz w:val="32"/>
          <w:szCs w:val="32"/>
          <w:shd w:val="clear" w:color="auto" w:fill="FFFFFF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rPr>
          <w:rFonts w:ascii="宋体" w:eastAsia="方正黑体_GBK" w:hAnsi="宋体" w:hint="eastAsia"/>
          <w:kern w:val="0"/>
          <w:szCs w:val="32"/>
        </w:rPr>
      </w:pPr>
      <w:r>
        <w:rPr>
          <w:rFonts w:ascii="宋体" w:eastAsia="方正黑体_GBK" w:hAnsi="宋体" w:hint="eastAsia"/>
          <w:kern w:val="0"/>
          <w:szCs w:val="32"/>
        </w:rPr>
        <w:t>附件</w:t>
      </w:r>
      <w:r>
        <w:rPr>
          <w:rFonts w:ascii="宋体" w:eastAsia="方正黑体_GBK" w:hAnsi="宋体"/>
          <w:kern w:val="0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  <w:r>
        <w:rPr>
          <w:rFonts w:ascii="宋体" w:eastAsia="方正小标宋_GBK" w:hAnsi="宋体" w:hint="eastAsia"/>
          <w:kern w:val="0"/>
          <w:sz w:val="44"/>
          <w:szCs w:val="44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eastAsia="方正黑体_GBK" w:hAnsi="宋体"/>
          <w:kern w:val="0"/>
          <w:sz w:val="32"/>
          <w:szCs w:val="32"/>
        </w:rPr>
      </w:pPr>
      <w:r>
        <w:rPr>
          <w:rFonts w:ascii="宋体" w:eastAsia="方正黑体_GBK" w:hAnsi="宋体" w:hint="eastAsia"/>
          <w:kern w:val="0"/>
          <w:sz w:val="32"/>
          <w:szCs w:val="32"/>
        </w:rPr>
        <w:t>一、领取资质证书方式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200" w:firstLine="640"/>
        <w:textAlignment w:val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网上公示期满且无异议的建筑业企业，无特殊情况，可在公示期满第二个工作日，持相应材料到重庆市江津区工程建设项目审批服务中心</w:t>
      </w:r>
      <w:r>
        <w:rPr>
          <w:rFonts w:ascii="宋体" w:eastAsia="方正仿宋_GBK" w:cs="Arial" w:hAnsi="宋体"/>
          <w:bCs/>
          <w:sz w:val="32"/>
          <w:szCs w:val="32"/>
          <w:lang w:bidi="ar-SA"/>
        </w:rPr>
        <w:t>三</w:t>
      </w:r>
      <w:r>
        <w:rPr>
          <w:rFonts w:ascii="宋体" w:eastAsia="方正仿宋_GBK" w:cs="Arial" w:hAnsi="宋体" w:hint="eastAsia"/>
          <w:bCs/>
          <w:sz w:val="32"/>
          <w:szCs w:val="32"/>
          <w:lang w:bidi="ar-SA"/>
        </w:rPr>
        <w:t>楼</w:t>
      </w:r>
      <w:r>
        <w:rPr>
          <w:rFonts w:ascii="宋体" w:eastAsia="方正仿宋_GBK" w:cs="Arial" w:hAnsi="宋体"/>
          <w:bCs/>
          <w:sz w:val="32"/>
          <w:szCs w:val="32"/>
          <w:lang w:bidi="ar-SA"/>
        </w:rPr>
        <w:t>A315</w:t>
      </w:r>
      <w:r>
        <w:rPr>
          <w:rFonts w:ascii="宋体" w:eastAsia="方正仿宋_GBK" w:cs="Arial" w:hAnsi="宋体" w:hint="eastAsia"/>
          <w:bCs/>
          <w:sz w:val="32"/>
          <w:szCs w:val="32"/>
          <w:lang w:bidi="ar-SA"/>
        </w:rPr>
        <w:t>号窗口</w:t>
      </w:r>
      <w:r>
        <w:rPr>
          <w:rFonts w:ascii="宋体" w:hAnsi="宋体" w:hint="eastAsia"/>
          <w:kern w:val="0"/>
          <w:sz w:val="32"/>
          <w:szCs w:val="32"/>
        </w:rPr>
        <w:t>办理领取资质证书手续。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eastAsia="方正黑体_GBK" w:hAnsi="宋体"/>
          <w:kern w:val="0"/>
          <w:sz w:val="32"/>
          <w:szCs w:val="32"/>
        </w:rPr>
      </w:pPr>
      <w:r>
        <w:rPr>
          <w:rFonts w:ascii="宋体" w:eastAsia="方正黑体_GBK" w:hAnsi="宋体" w:hint="eastAsia"/>
          <w:kern w:val="0"/>
          <w:sz w:val="32"/>
          <w:szCs w:val="32"/>
        </w:rPr>
        <w:t>二、领取资质证书所需材料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通过重庆市江津区住房和城乡建设委员会公告的企业，领取资质证书须提供以下材料：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（一）</w:t>
      </w:r>
      <w:r>
        <w:rPr>
          <w:rFonts w:ascii="宋体" w:hAnsi="宋体" w:hint="eastAsia"/>
          <w:kern w:val="0"/>
          <w:sz w:val="32"/>
          <w:szCs w:val="32"/>
        </w:rPr>
        <w:t>本企业出具的领取资质证书的介绍信原件（介绍信须加盖企业公章并明确领证人身份证明和联系电话）、领取人的身份证（窗口核验是否与介绍信一致）。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（二）</w:t>
      </w:r>
      <w:r>
        <w:rPr>
          <w:rFonts w:ascii="宋体" w:hAnsi="宋体" w:hint="eastAsia"/>
          <w:kern w:val="0"/>
          <w:sz w:val="32"/>
          <w:szCs w:val="32"/>
        </w:rPr>
        <w:t>加盖企业公章的营业执照副本复印件。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（三）</w:t>
      </w:r>
      <w:r>
        <w:rPr>
          <w:rFonts w:ascii="宋体" w:hAnsi="宋体" w:hint="eastAsia"/>
          <w:kern w:val="0"/>
          <w:sz w:val="32"/>
          <w:szCs w:val="32"/>
        </w:rPr>
        <w:t>原资质证书的正、副本原件（增项企业提供，首次申请企业不需要提供）。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Lines="40" w:after="96" w:line="579" w:lineRule="exact"/>
        <w:ind w:firstLineChars="200" w:firstLine="640"/>
        <w:rPr>
          <w:rFonts w:ascii="宋体" w:hAnsi="宋体" w:hint="eastAsia"/>
          <w:kern w:val="21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领证咨询电话：023-81222109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5" w:h="16838"/>
      <w:pgMar w:top="2098" w:right="1474" w:bottom="1984" w:left="1587" w:header="709" w:footer="1474" w:gutter="0"/>
      <w:docGrid w:linePitch="58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posOffset>4901565</wp:posOffset>
              </wp:positionH>
              <wp:positionV relativeFrom="paragraph">
                <wp:posOffset>-74930</wp:posOffset>
              </wp:positionV>
              <wp:extent cx="634999" cy="22923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34999" cy="22923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0"/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rightChars="50" w:right="160"/>
                            <w:jc w:val="right"/>
                          </w:pPr>
                          <w:r>
                            <w:rPr>
                              <w:rStyle w:val="26"/>
                              <w:rFonts w:eastAsia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26"/>
                              <w:rFonts w:eastAsia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385.95pt;margin-top:-5.9pt;width:49.999985pt;height:18.05pt;z-index:10;mso-position-horizontal:absolut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0"/>
                      <w:tabs>
                        <w:tab w:val="center" w:pos="4153"/>
                        <w:tab w:val="right" w:pos="8306"/>
                      </w:tabs>
                      <w:wordWrap w:val="0"/>
                      <w:ind w:rightChars="50" w:right="160"/>
                      <w:jc w:val="right"/>
                    </w:pPr>
                    <w:r>
                      <w:rPr>
                        <w:rStyle w:val="26"/>
                        <w:rFonts w:eastAsia="宋体"/>
                        <w:sz w:val="28"/>
                      </w:rPr>
                      <w:t>―</w:t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int="eastAsia"/>
                        <w:sz w:val="28"/>
                      </w:rPr>
                      <w:t>6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Style w:val="26"/>
                        <w:rFonts w:eastAsia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  <w:ind w:right="360" w:firstLine="360"/>
      <w:rPr>
        <w:rFonts w:ascii="宋体" w:eastAsia="宋体" w:hint="eastAsia"/>
        <w:color w:val="FFFFFF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4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 w:val="0"/>
  <w:bordersDoNotSurroundFooter w:val="0"/>
  <w:defaultTabStop w:val="425"/>
  <w:evenAndOddHeaders/>
  <w:drawingGridHorizontalSpacing w:val="320"/>
  <w:drawingGridVerticalSpacing w:val="1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growAutofit/>
    <w:doNotUseIndentAsNumberingTabStop/>
    <w:useAltKinsokuLineBreakRules/>
    <w:splitPgBreakAndParaMark/>
    <w:compatSetting w:name="compatibilityMode" w:uri="http://schemas.microsoft.com/office/word" w:val="14"/>
  </w:compat>
  <w:docVars>
    <w:docVars w:name="commondata" w:val="eyJoZGlkIjoiYTNlZGRlYTllYmFlMzJmMDVkMDI5YTJhMTM5ZmZhNT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autoRedefine/>
    <w:next w:val="0"/>
    <w:pPr>
      <w:ind w:firstLine="0"/>
      <w:jc w:val="center"/>
      <w:outlineLvl w:val="0"/>
    </w:pPr>
    <w:rPr>
      <w:rFonts w:ascii="方正小标宋_GBK" w:eastAsia="方正小标宋_GBK" w:cs="Times New Roman"/>
      <w:sz w:val="44"/>
      <w:szCs w:val="44"/>
      <w:shd w:val="clear" w:color="auto" w:fill="FFFFFF"/>
      <w:lang w:bidi="ar-SA"/>
    </w:rPr>
  </w:style>
  <w:style w:type="paragraph" w:styleId="2">
    <w:name w:val="heading 2"/>
    <w:basedOn w:val="0"/>
    <w:autoRedefine/>
    <w:next w:val="0"/>
    <w:pPr>
      <w:outlineLvl w:val="1"/>
    </w:pPr>
    <w:rPr>
      <w:rFonts w:ascii="方正黑体_GBK" w:eastAsia="方正黑体_GBK"/>
    </w:rPr>
  </w:style>
  <w:style w:type="paragraph" w:styleId="5">
    <w:name w:val="heading 5"/>
    <w:basedOn w:val="0"/>
    <w:autoRedefine/>
    <w:next w:val="0"/>
    <w:pPr>
      <w:keepNext/>
      <w:keepLines/>
      <w:widowControl w:val="0"/>
      <w:adjustRightInd/>
      <w:snapToGrid/>
      <w:spacing w:after="0"/>
      <w:ind w:left="851" w:hanging="851"/>
      <w:jc w:val="both"/>
      <w:outlineLvl w:val="4"/>
    </w:pPr>
    <w:rPr>
      <w:rFonts w:ascii="Times New Roman" w:eastAsia="宋体" w:cs="Times New Roman" w:hAnsi="Times New Roman"/>
      <w:b/>
      <w:bCs/>
      <w:kern w:val="2"/>
      <w:sz w:val="21"/>
      <w:szCs w:val="28"/>
      <w:lang w:bidi="ar-SA"/>
    </w:rPr>
  </w:style>
  <w:style w:type="character" w:default="1" w:styleId="10">
    <w:name w:val="Default Paragraph Font"/>
    <w:autoRedefine/>
  </w:style>
  <w:style w:type="paragraph" w:styleId="15">
    <w:name w:val="table of authorities"/>
    <w:basedOn w:val="0"/>
    <w:autoRedefine/>
    <w:next w:val="0"/>
    <w:pPr>
      <w:widowControl w:val="0"/>
      <w:ind w:left="42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6">
    <w:name w:val="Normal Indent"/>
    <w:basedOn w:val="0"/>
    <w:autoRedefine/>
    <w:next w:val="0"/>
    <w:rPr>
      <w:rFonts w:ascii="Times New Roman" w:eastAsia="宋体" w:cs="Times New Roman" w:hAnsi="Times New Roman"/>
      <w:lang w:bidi="ar-SA"/>
    </w:rPr>
  </w:style>
  <w:style w:type="paragraph" w:styleId="17">
    <w:name w:val="index 5"/>
    <w:basedOn w:val="0"/>
    <w:autoRedefine/>
    <w:next w:val="0"/>
    <w:pPr>
      <w:ind w:left="1680"/>
    </w:pPr>
  </w:style>
  <w:style w:type="paragraph" w:styleId="18">
    <w:name w:val="Body Text"/>
    <w:basedOn w:val="0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19">
    <w:name w:val="Date"/>
    <w:basedOn w:val="0"/>
    <w:autoRedefine/>
    <w:next w:val="0"/>
    <w:pPr>
      <w:ind w:leftChars="2500" w:left="2500"/>
    </w:pPr>
    <w:rPr>
      <w:kern w:val="0"/>
      <w:sz w:val="20"/>
    </w:rPr>
  </w:style>
  <w:style w:type="paragraph" w:styleId="20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2">
    <w:name w:val="Message Header"/>
    <w:basedOn w:val="0"/>
    <w:autoRedefine/>
    <w:next w:val="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eastAsia="宋体" w:cs="Times New Roman" w:hAnsi="Cambria"/>
      <w:sz w:val="24"/>
      <w:szCs w:val="24"/>
      <w:lang w:bidi="ar-SA"/>
    </w:rPr>
  </w:style>
  <w:style w:type="paragraph" w:styleId="23">
    <w:name w:val="Normal (Web)"/>
    <w:basedOn w:val="0"/>
    <w:autoRedefine/>
    <w:pPr>
      <w:widowControl w:val="0"/>
      <w:spacing w:before="100" w:beforeAutospacing="1" w:after="100" w:afterAutospacing="1"/>
      <w:ind w:left="0" w:right="0"/>
      <w:jc w:val="left"/>
    </w:pPr>
    <w:rPr>
      <w:rFonts w:ascii="Times New Roman" w:eastAsia="方正仿宋_GBK" w:cs="Times New Roman" w:hAnsi="Times New Roman"/>
      <w:kern w:val="0"/>
      <w:sz w:val="24"/>
      <w:lang w:val="en-US" w:eastAsia="zh-CN"/>
    </w:rPr>
  </w:style>
  <w:style w:type="paragraph" w:styleId="24">
    <w:name w:val="Body Text First Indent"/>
    <w:basedOn w:val="18"/>
    <w:autoRedefine/>
    <w:next w:val="0"/>
    <w:pPr>
      <w:ind w:firstLineChars="100" w:firstLine="100"/>
    </w:pPr>
    <w:rPr>
      <w:szCs w:val="24"/>
    </w:rPr>
  </w:style>
  <w:style w:type="character" w:styleId="25">
    <w:name w:val="Strong"/>
    <w:basedOn w:val="10"/>
    <w:autoRedefine/>
    <w:rPr>
      <w:b/>
    </w:rPr>
  </w:style>
  <w:style w:type="character" w:styleId="26">
    <w:name w:val="page number"/>
    <w:basedOn w:val="10"/>
    <w:autoRedefine/>
  </w:style>
  <w:style w:type="character" w:styleId="27">
    <w:name w:val="Hyperlink"/>
    <w:basedOn w:val="10"/>
    <w:autoRedefine/>
    <w:rPr>
      <w:color w:val="0000FF"/>
      <w:u w:val="single"/>
    </w:rPr>
  </w:style>
  <w:style w:type="paragraph" w:customStyle="1" w:styleId="28">
    <w:name w:val="无间隔1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9">
    <w:name w:val="Default"/>
    <w:autoRedefine/>
    <w:next w:val="0"/>
    <w:pPr>
      <w:widowControl w:val="0"/>
      <w:autoSpaceDE w:val="0"/>
      <w:autoSpaceDN w:val="0"/>
      <w:adjustRightInd w:val="0"/>
    </w:pPr>
    <w:rPr>
      <w:rFonts w:ascii="Times New Roman" w:eastAsia="宋体" w:cs="Arial" w:hAnsi="Times New Roman"/>
      <w:sz w:val="24"/>
      <w:szCs w:val="24"/>
      <w:lang w:val="en-US" w:eastAsia="zh-CN" w:bidi="ar-SA"/>
    </w:rPr>
  </w:style>
  <w:style w:type="paragraph" w:customStyle="1" w:styleId="30">
    <w:name w:val="默认"/>
    <w:autoRedefine/>
    <w:next w:val="17"/>
    <w:rPr>
      <w:rFonts w:ascii="Helvetica" w:eastAsia="Helvetica" w:cs="Helvetica" w:hAnsi="Helvetica"/>
      <w:color w:val="000000"/>
      <w:sz w:val="22"/>
      <w:szCs w:val="22"/>
      <w:lang w:val="en-US" w:eastAsia="zh-CN" w:bidi="ar-SA"/>
    </w:rPr>
  </w:style>
  <w:style w:type="character" w:customStyle="1" w:styleId="31">
    <w:name w:val="font191"/>
    <w:basedOn w:val="10"/>
    <w:autoRedefine/>
    <w:rPr>
      <w:rFonts w:ascii="Arial" w:cs="Arial" w:hAnsi="Arial"/>
      <w:color w:val="000000"/>
      <w:sz w:val="16"/>
      <w:szCs w:val="16"/>
      <w:u w:val="none"/>
      <w:lang w:bidi="ar-SA"/>
    </w:rPr>
  </w:style>
  <w:style w:type="character" w:customStyle="1" w:styleId="32">
    <w:name w:val="font51"/>
    <w:basedOn w:val="10"/>
    <w:autoRedefine/>
    <w:rPr>
      <w:rFonts w:ascii="方正小标宋简体" w:eastAsia="方正小标宋简体" w:cs="方正小标宋简体"/>
      <w:color w:val="000000"/>
      <w:sz w:val="28"/>
      <w:szCs w:val="28"/>
      <w:u w:val="none"/>
      <w:lang w:bidi="ar-SA"/>
    </w:rPr>
  </w:style>
  <w:style w:type="character" w:customStyle="1" w:styleId="33">
    <w:name w:val="font41"/>
    <w:basedOn w:val="10"/>
    <w:autoRedefine/>
    <w:rPr>
      <w:rFonts w:ascii="Wingdings" w:cs="Wingdings" w:hAnsi="Wingdings"/>
      <w:color w:val="000000"/>
      <w:sz w:val="28"/>
      <w:szCs w:val="28"/>
      <w:u w:val="none"/>
      <w:lang w:bidi="ar-SA"/>
    </w:rPr>
  </w:style>
  <w:style w:type="character" w:customStyle="1" w:styleId="34">
    <w:name w:val="font81"/>
    <w:basedOn w:val="10"/>
    <w:autoRedefine/>
    <w:rPr>
      <w:rFonts w:ascii="Wingdings" w:cs="Wingdings" w:hAnsi="Wingdings"/>
      <w:color w:val="000000"/>
      <w:sz w:val="20"/>
      <w:szCs w:val="20"/>
      <w:u w:val="none"/>
      <w:lang w:bidi="ar-SA"/>
    </w:rPr>
  </w:style>
  <w:style w:type="character" w:customStyle="1" w:styleId="35">
    <w:name w:val="font21"/>
    <w:basedOn w:val="10"/>
    <w:autoRedefine/>
    <w:rPr>
      <w:rFonts w:ascii="方正仿宋_GBK" w:eastAsia="方正仿宋_GBK" w:cs="方正仿宋_GBK"/>
      <w:color w:val="2A2A2A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863</Words>
  <Characters>892</Characters>
  <Lines>91</Lines>
  <Paragraphs>43</Paragraphs>
  <CharactersWithSpaces>894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2</cp:revision>
  <cp:lastPrinted>2024-01-10T08:51:00Z</cp:lastPrinted>
  <dcterms:created xsi:type="dcterms:W3CDTF">2022-08-19T08:26:00Z</dcterms:created>
  <dcterms:modified xsi:type="dcterms:W3CDTF">2024-01-22T01:48:11Z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B376D546FCDD4DD7A5CF494256A02E22_13</vt:lpwstr>
  </property>
</Properties>
</file>