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snapToGrid w:val="0"/>
        <w:spacing w:line="579" w:lineRule="exact"/>
        <w:jc w:val="center"/>
        <w:rPr>
          <w:rFonts w:ascii="方正小标宋_GBK" w:eastAsia="方正小标宋_GBK" w:hint="eastAsia"/>
          <w:sz w:val="44"/>
          <w:szCs w:val="44"/>
        </w:rPr>
      </w:pPr>
      <w:r>
        <w:rPr>
          <w:rFonts w:ascii="方正小标宋_GBK" w:eastAsia="方正小标宋_GBK" w:hint="eastAsia"/>
          <w:sz w:val="44"/>
          <w:szCs w:val="44"/>
        </w:rPr>
        <w:t>重庆市江津区应急管理局</w:t>
      </w:r>
    </w:p>
    <w:p>
      <w:pPr>
        <w:autoSpaceDN w:val="0"/>
        <w:snapToGrid w:val="0"/>
        <w:spacing w:line="579" w:lineRule="exact"/>
        <w:jc w:val="center"/>
        <w:rPr>
          <w:rFonts w:eastAsia="方正小标宋_GBK"/>
          <w:sz w:val="44"/>
          <w:szCs w:val="44"/>
        </w:rPr>
      </w:pPr>
      <w:r>
        <w:rPr>
          <w:rFonts w:eastAsia="方正小标宋_GBK" w:hint="eastAsia"/>
          <w:sz w:val="44"/>
          <w:szCs w:val="44"/>
        </w:rPr>
        <w:t>关于江津双福“6·22”一般物体打击事故</w:t>
      </w:r>
    </w:p>
    <w:p>
      <w:pPr>
        <w:snapToGrid w:val="0"/>
        <w:spacing w:line="579" w:lineRule="exact"/>
        <w:jc w:val="center"/>
        <w:rPr>
          <w:rFonts w:eastAsia="方正小标宋_GBK"/>
          <w:sz w:val="44"/>
          <w:szCs w:val="44"/>
        </w:rPr>
      </w:pPr>
      <w:r>
        <w:rPr>
          <w:rFonts w:eastAsia="方正小标宋_GBK"/>
          <w:spacing w:val="-18"/>
          <w:sz w:val="44"/>
          <w:szCs w:val="44"/>
        </w:rPr>
        <w:t>防范和整改措施落实情况评估的报告</w:t>
      </w:r>
    </w:p>
    <w:p>
      <w:pPr>
        <w:adjustRightInd w:val="0"/>
        <w:spacing w:line="540" w:lineRule="exact"/>
        <w:jc w:val="left"/>
        <w:rPr>
          <w:rFonts w:ascii="宋体" w:hAnsi="宋体"/>
          <w:szCs w:val="32"/>
        </w:rPr>
      </w:pPr>
    </w:p>
    <w:p>
      <w:pPr>
        <w:adjustRightInd w:val="0"/>
        <w:spacing w:line="480" w:lineRule="exact"/>
        <w:ind w:left="0"/>
        <w:jc w:val="left"/>
        <w:rPr>
          <w:rFonts w:ascii="方正仿宋_GBK" w:eastAsia="方正仿宋_GBK" w:cs="方正仿宋_GBK" w:hint="eastAsia"/>
          <w:szCs w:val="32"/>
          <w:lang w:bidi="ar-SA"/>
        </w:rPr>
      </w:pPr>
      <w:r>
        <w:rPr>
          <w:rFonts w:ascii="方正仿宋_GBK" w:eastAsia="方正仿宋_GBK" w:cs="方正仿宋_GBK" w:hint="eastAsia"/>
          <w:szCs w:val="32"/>
          <w:lang w:bidi="ar-SA"/>
        </w:rPr>
        <w:t>区政府：</w:t>
      </w:r>
    </w:p>
    <w:p>
      <w:pPr>
        <w:snapToGrid w:val="0"/>
        <w:spacing w:line="480" w:lineRule="exact"/>
        <w:ind w:left="0" w:firstLineChars="200" w:firstLine="640"/>
        <w:rPr>
          <w:rFonts w:ascii="宋体" w:cs="方正仿宋_GBK" w:hAnsi="宋体" w:hint="eastAsia"/>
          <w:szCs w:val="32"/>
          <w:lang w:bidi="ar-SA"/>
        </w:rPr>
      </w:pPr>
      <w:r>
        <w:rPr>
          <w:rFonts w:ascii="宋体" w:cs="方正仿宋_GBK" w:hAnsi="宋体" w:hint="eastAsia"/>
          <w:szCs w:val="32"/>
          <w:lang w:bidi="ar-SA"/>
        </w:rPr>
        <w:t>根据《国务院安委会办公室关于印发生产安全事故防范和整改措施落实情况评估办法的通知》（安委办〔2021〕4号）文件要求</w:t>
      </w:r>
      <w:r>
        <w:rPr>
          <w:rFonts w:ascii="宋体" w:cs="方正仿宋_GBK" w:hAnsi="宋体" w:hint="eastAsia"/>
          <w:szCs w:val="32"/>
          <w:lang w:val="en-US" w:eastAsia="zh-CN" w:bidi="ar-SA"/>
        </w:rPr>
        <w:t>,</w:t>
      </w:r>
      <w:r>
        <w:rPr>
          <w:rFonts w:ascii="宋体" w:cs="方正仿宋_GBK" w:hAnsi="宋体" w:hint="eastAsia"/>
          <w:szCs w:val="32"/>
          <w:lang w:bidi="ar-SA"/>
        </w:rPr>
        <w:t>江津区安全生产委</w:t>
      </w:r>
      <w:r>
        <w:rPr>
          <w:rFonts w:ascii="宋体" w:cs="方正仿宋_GBK" w:hAnsi="宋体"/>
          <w:szCs w:val="32"/>
          <w:lang w:bidi="ar-SA"/>
        </w:rPr>
        <w:t>员</w:t>
      </w:r>
      <w:r>
        <w:rPr>
          <w:rFonts w:ascii="宋体" w:cs="方正仿宋_GBK" w:hAnsi="宋体" w:hint="eastAsia"/>
          <w:szCs w:val="32"/>
          <w:lang w:bidi="ar-SA"/>
        </w:rPr>
        <w:t>会办公室牵头成立江津</w:t>
      </w:r>
      <w:r>
        <w:rPr>
          <w:rFonts w:ascii="宋体" w:cs="方正仿宋_GBK" w:hAnsi="宋体"/>
          <w:szCs w:val="32"/>
          <w:lang w:bidi="ar-SA"/>
        </w:rPr>
        <w:t>双福</w:t>
      </w:r>
      <w:r>
        <w:rPr>
          <w:rFonts w:ascii="宋体" w:cs="方正仿宋_GBK" w:hAnsi="宋体" w:hint="eastAsia"/>
          <w:szCs w:val="32"/>
          <w:lang w:bidi="ar-SA"/>
        </w:rPr>
        <w:t>“</w:t>
      </w:r>
      <w:r>
        <w:rPr>
          <w:rFonts w:ascii="宋体" w:cs="方正仿宋_GBK" w:hAnsi="宋体"/>
          <w:szCs w:val="32"/>
          <w:lang w:bidi="ar-SA"/>
        </w:rPr>
        <w:t>6</w:t>
      </w:r>
      <w:r>
        <w:rPr>
          <w:rFonts w:ascii="宋体" w:cs="方正仿宋_GBK" w:hAnsi="宋体" w:hint="eastAsia"/>
          <w:szCs w:val="32"/>
          <w:lang w:bidi="ar-SA"/>
        </w:rPr>
        <w:t>·</w:t>
      </w:r>
      <w:r>
        <w:rPr>
          <w:rFonts w:ascii="宋体" w:cs="方正仿宋_GBK" w:hAnsi="宋体"/>
          <w:szCs w:val="32"/>
          <w:lang w:bidi="ar-SA"/>
        </w:rPr>
        <w:t>22</w:t>
      </w:r>
      <w:r>
        <w:rPr>
          <w:rFonts w:ascii="宋体" w:cs="方正仿宋_GBK" w:hAnsi="宋体" w:hint="eastAsia"/>
          <w:szCs w:val="32"/>
          <w:lang w:bidi="ar-SA"/>
        </w:rPr>
        <w:t>”一般</w:t>
      </w:r>
      <w:r>
        <w:rPr>
          <w:rFonts w:ascii="宋体" w:cs="方正仿宋_GBK" w:hAnsi="宋体"/>
          <w:szCs w:val="32"/>
          <w:lang w:bidi="ar-SA"/>
        </w:rPr>
        <w:t>物体打击</w:t>
      </w:r>
      <w:r>
        <w:rPr>
          <w:rFonts w:ascii="宋体" w:cs="方正仿宋_GBK" w:hAnsi="宋体" w:hint="eastAsia"/>
          <w:szCs w:val="32"/>
          <w:lang w:bidi="ar-SA"/>
        </w:rPr>
        <w:t>事故评估组（以下简称评估组）开展</w:t>
      </w:r>
      <w:r>
        <w:rPr>
          <w:rFonts w:ascii="宋体" w:cs="方正仿宋_GBK" w:hAnsi="宋体"/>
          <w:szCs w:val="32"/>
          <w:lang w:bidi="ar-SA"/>
        </w:rPr>
        <w:t>该</w:t>
      </w:r>
      <w:r>
        <w:rPr>
          <w:rFonts w:ascii="宋体" w:cs="方正仿宋_GBK" w:hAnsi="宋体" w:hint="eastAsia"/>
          <w:szCs w:val="32"/>
          <w:lang w:bidi="ar-SA"/>
        </w:rPr>
        <w:t>事故防范和整改措施落实情况评估工作，现将事故评估情况报告如下。</w:t>
      </w:r>
    </w:p>
    <w:p>
      <w:pPr>
        <w:spacing w:line="480" w:lineRule="exact"/>
        <w:ind w:left="0" w:firstLineChars="200" w:firstLine="640"/>
        <w:rPr>
          <w:rFonts w:ascii="方正黑体_GBK" w:eastAsia="方正黑体_GBK" w:cs="方正仿宋_GBK" w:hint="eastAsia"/>
          <w:szCs w:val="32"/>
          <w:lang w:bidi="ar-SA"/>
        </w:rPr>
      </w:pPr>
      <w:r>
        <w:rPr>
          <w:rFonts w:ascii="方正黑体_GBK" w:eastAsia="方正黑体_GBK" w:cs="方正仿宋_GBK" w:hint="eastAsia"/>
          <w:szCs w:val="32"/>
          <w:lang w:bidi="ar-SA"/>
        </w:rPr>
        <w:t>一、事故概况</w:t>
      </w:r>
    </w:p>
    <w:p>
      <w:pPr>
        <w:spacing w:line="480" w:lineRule="exact"/>
        <w:ind w:firstLineChars="200" w:firstLine="640"/>
        <w:rPr>
          <w:rFonts w:ascii="宋体" w:cs="方正仿宋_GBK" w:hAnsi="宋体" w:hint="eastAsia"/>
          <w:szCs w:val="32"/>
        </w:rPr>
      </w:pPr>
      <w:r>
        <w:rPr>
          <w:rFonts w:ascii="宋体" w:cs="方正仿宋_GBK" w:hAnsi="宋体" w:hint="eastAsia"/>
          <w:szCs w:val="32"/>
        </w:rPr>
        <w:t>2024年6月22日13时20分许，工人张XX和王</w:t>
      </w:r>
      <w:r>
        <w:rPr>
          <w:rFonts w:ascii="宋体" w:cs="方正仿宋_GBK" w:hAnsi="宋体" w:hint="eastAsia"/>
          <w:szCs w:val="32"/>
        </w:rPr>
        <w:t>XX</w:t>
      </w:r>
      <w:r>
        <w:rPr>
          <w:rFonts w:ascii="宋体" w:cs="方正仿宋_GBK" w:hAnsi="宋体" w:hint="eastAsia"/>
          <w:szCs w:val="32"/>
        </w:rPr>
        <w:t>在江津吾悦广场吾悦华府二期8幢701房开始作业。张</w:t>
      </w:r>
      <w:r>
        <w:rPr>
          <w:rFonts w:ascii="宋体" w:cs="方正仿宋_GBK" w:hAnsi="宋体" w:hint="eastAsia"/>
          <w:szCs w:val="32"/>
        </w:rPr>
        <w:t>XX</w:t>
      </w:r>
      <w:r>
        <w:rPr>
          <w:rFonts w:ascii="宋体" w:cs="方正仿宋_GBK" w:hAnsi="宋体" w:hint="eastAsia"/>
          <w:szCs w:val="32"/>
        </w:rPr>
        <w:t>在阳台上面的钢脚手架上打槽子，王</w:t>
      </w:r>
      <w:r>
        <w:rPr>
          <w:rFonts w:ascii="宋体" w:cs="方正仿宋_GBK" w:hAnsi="宋体" w:hint="eastAsia"/>
          <w:szCs w:val="32"/>
        </w:rPr>
        <w:t>XX</w:t>
      </w:r>
      <w:r>
        <w:rPr>
          <w:rFonts w:ascii="宋体" w:cs="方正仿宋_GBK" w:hAnsi="宋体" w:hint="eastAsia"/>
          <w:szCs w:val="32"/>
        </w:rPr>
        <w:t>在房屋内拆墙。当日15时许，正站在阳台外面脚手架上干活的张</w:t>
      </w:r>
      <w:r>
        <w:rPr>
          <w:rFonts w:ascii="宋体" w:cs="方正仿宋_GBK" w:hAnsi="宋体" w:hint="eastAsia"/>
          <w:szCs w:val="32"/>
        </w:rPr>
        <w:t>XX</w:t>
      </w:r>
      <w:r>
        <w:rPr>
          <w:rFonts w:ascii="宋体" w:cs="方正仿宋_GBK" w:hAnsi="宋体" w:hint="eastAsia"/>
          <w:szCs w:val="32"/>
        </w:rPr>
        <w:t>听到房屋内墙倒塌“轰”的一声（听到“轰”的一声前，听到有二锤敲打墙</w:t>
      </w:r>
      <w:r>
        <w:rPr>
          <w:rFonts w:ascii="宋体" w:hAnsi="宋体" w:hint="eastAsia"/>
          <w:szCs w:val="32"/>
        </w:rPr>
        <w:t>的声音），然后，张</w:t>
      </w:r>
      <w:r>
        <w:rPr>
          <w:rFonts w:ascii="宋体" w:cs="方正仿宋_GBK" w:hAnsi="宋体" w:hint="eastAsia"/>
          <w:szCs w:val="32"/>
        </w:rPr>
        <w:t>XX</w:t>
      </w:r>
      <w:r>
        <w:rPr>
          <w:rFonts w:ascii="宋体" w:hAnsi="宋体" w:hint="eastAsia"/>
          <w:szCs w:val="32"/>
        </w:rPr>
        <w:t>立即低头往里看，并喊“王师傅”，但没人回应。张</w:t>
      </w:r>
      <w:r>
        <w:rPr>
          <w:rFonts w:ascii="宋体" w:cs="方正仿宋_GBK" w:hAnsi="宋体" w:hint="eastAsia"/>
          <w:szCs w:val="32"/>
        </w:rPr>
        <w:t>XX</w:t>
      </w:r>
      <w:bookmarkStart w:id="0" w:name="_GoBack"/>
      <w:bookmarkEnd w:id="0"/>
      <w:r>
        <w:rPr>
          <w:rFonts w:ascii="宋体" w:hAnsi="宋体" w:hint="eastAsia"/>
          <w:szCs w:val="32"/>
        </w:rPr>
        <w:t>立即跑过去，发现王</w:t>
      </w:r>
      <w:r>
        <w:rPr>
          <w:rFonts w:ascii="宋体" w:cs="方正仿宋_GBK" w:hAnsi="宋体" w:hint="eastAsia"/>
          <w:szCs w:val="32"/>
        </w:rPr>
        <w:t>XX</w:t>
      </w:r>
      <w:r>
        <w:rPr>
          <w:rFonts w:ascii="宋体" w:hAnsi="宋体" w:hint="eastAsia"/>
          <w:szCs w:val="32"/>
        </w:rPr>
        <w:t>仰面躺在正在拆的转角墙地上，转角墙墙体已全部倒在地面上。张</w:t>
      </w:r>
      <w:r>
        <w:rPr>
          <w:rFonts w:ascii="宋体" w:cs="方正仿宋_GBK" w:hAnsi="宋体" w:hint="eastAsia"/>
          <w:szCs w:val="32"/>
        </w:rPr>
        <w:t>XX</w:t>
      </w:r>
      <w:r>
        <w:rPr>
          <w:rFonts w:ascii="宋体" w:hAnsi="宋体" w:hint="eastAsia"/>
          <w:szCs w:val="32"/>
        </w:rPr>
        <w:t>立即把王</w:t>
      </w:r>
      <w:r>
        <w:rPr>
          <w:rFonts w:ascii="宋体" w:cs="方正仿宋_GBK" w:hAnsi="宋体" w:hint="eastAsia"/>
          <w:szCs w:val="32"/>
        </w:rPr>
        <w:t>XX</w:t>
      </w:r>
      <w:r>
        <w:rPr>
          <w:rFonts w:ascii="宋体" w:hAnsi="宋体" w:hint="eastAsia"/>
          <w:szCs w:val="32"/>
        </w:rPr>
        <w:t>抱起来背靠墙坐起，于当日15时7分拨打彭</w:t>
      </w:r>
      <w:r>
        <w:rPr>
          <w:rFonts w:ascii="宋体" w:cs="方正仿宋_GBK" w:hAnsi="宋体" w:hint="eastAsia"/>
          <w:szCs w:val="32"/>
        </w:rPr>
        <w:t>X</w:t>
      </w:r>
      <w:r>
        <w:rPr>
          <w:rFonts w:ascii="宋体" w:hAnsi="宋体" w:hint="eastAsia"/>
          <w:szCs w:val="32"/>
        </w:rPr>
        <w:t>电话。彭</w:t>
      </w:r>
      <w:r>
        <w:rPr>
          <w:rFonts w:ascii="宋体" w:cs="方正仿宋_GBK" w:hAnsi="宋体" w:hint="eastAsia"/>
          <w:szCs w:val="32"/>
        </w:rPr>
        <w:t>X</w:t>
      </w:r>
      <w:r>
        <w:rPr>
          <w:rFonts w:ascii="宋体" w:hAnsi="宋体" w:hint="eastAsia"/>
          <w:szCs w:val="32"/>
        </w:rPr>
        <w:t>于15时9分拨打120电话，于15时10分和15时21分分别再次拨打120电话；于16时9分拨打110电话。江津区第一人民医院医生到达现场对王</w:t>
      </w:r>
      <w:r>
        <w:rPr>
          <w:rFonts w:ascii="宋体" w:cs="方正仿宋_GBK" w:hAnsi="宋体" w:hint="eastAsia"/>
          <w:szCs w:val="32"/>
        </w:rPr>
        <w:t>XX</w:t>
      </w:r>
      <w:r>
        <w:rPr>
          <w:rFonts w:ascii="宋体" w:hAnsi="宋体" w:hint="eastAsia"/>
          <w:szCs w:val="32"/>
        </w:rPr>
        <w:t>进行了抢救，经抢救无效，现场宣布王</w:t>
      </w:r>
      <w:r>
        <w:rPr>
          <w:rFonts w:ascii="宋体" w:cs="方正仿宋_GBK" w:hAnsi="宋体" w:hint="eastAsia"/>
          <w:szCs w:val="32"/>
        </w:rPr>
        <w:t>XX</w:t>
      </w:r>
      <w:r>
        <w:rPr>
          <w:rFonts w:ascii="宋体" w:hAnsi="宋体" w:hint="eastAsia"/>
          <w:szCs w:val="32"/>
        </w:rPr>
        <w:t>死亡。随后，</w:t>
      </w:r>
      <w:r>
        <w:rPr>
          <w:rFonts w:ascii="宋体" w:hAnsi="宋体"/>
          <w:szCs w:val="32"/>
        </w:rPr>
        <w:t>区</w:t>
      </w:r>
      <w:r>
        <w:rPr>
          <w:rFonts w:ascii="宋体" w:hAnsi="宋体" w:hint="eastAsia"/>
          <w:szCs w:val="32"/>
        </w:rPr>
        <w:t>应急</w:t>
      </w:r>
      <w:r>
        <w:rPr>
          <w:rFonts w:ascii="宋体" w:hAnsi="宋体"/>
          <w:szCs w:val="32"/>
        </w:rPr>
        <w:t>管理局</w:t>
      </w:r>
      <w:r>
        <w:rPr>
          <w:rFonts w:ascii="宋体" w:hAnsi="宋体" w:hint="eastAsia"/>
          <w:szCs w:val="32"/>
        </w:rPr>
        <w:t>、</w:t>
      </w:r>
      <w:r>
        <w:rPr>
          <w:rFonts w:ascii="宋体" w:hAnsi="宋体"/>
          <w:szCs w:val="32"/>
        </w:rPr>
        <w:t>区</w:t>
      </w:r>
      <w:r>
        <w:rPr>
          <w:rFonts w:ascii="宋体" w:hAnsi="宋体" w:hint="eastAsia"/>
          <w:szCs w:val="32"/>
        </w:rPr>
        <w:t>公安</w:t>
      </w:r>
      <w:r>
        <w:rPr>
          <w:rFonts w:ascii="宋体" w:hAnsi="宋体"/>
          <w:szCs w:val="32"/>
        </w:rPr>
        <w:t>局</w:t>
      </w:r>
      <w:r>
        <w:rPr>
          <w:rFonts w:ascii="宋体" w:hAnsi="宋体" w:hint="eastAsia"/>
          <w:szCs w:val="32"/>
        </w:rPr>
        <w:t>、</w:t>
      </w:r>
      <w:r>
        <w:rPr>
          <w:rFonts w:ascii="宋体" w:hAnsi="宋体"/>
          <w:szCs w:val="32"/>
        </w:rPr>
        <w:t>双福街道</w:t>
      </w:r>
      <w:r>
        <w:rPr>
          <w:rFonts w:ascii="宋体" w:hAnsi="宋体" w:hint="eastAsia"/>
          <w:szCs w:val="32"/>
        </w:rPr>
        <w:t>等</w:t>
      </w:r>
      <w:r>
        <w:rPr>
          <w:rFonts w:ascii="宋体" w:hAnsi="宋体"/>
          <w:szCs w:val="32"/>
        </w:rPr>
        <w:t>单位</w:t>
      </w:r>
      <w:r>
        <w:rPr>
          <w:rFonts w:ascii="宋体" w:hAnsi="宋体" w:hint="eastAsia"/>
          <w:szCs w:val="32"/>
        </w:rPr>
        <w:t>到达现场开展应急处置工作</w:t>
      </w:r>
      <w:r>
        <w:rPr>
          <w:rFonts w:ascii="宋体" w:hAnsi="宋体"/>
          <w:szCs w:val="32"/>
        </w:rPr>
        <w:t>。该事故</w:t>
      </w:r>
      <w:r>
        <w:rPr>
          <w:rFonts w:ascii="宋体" w:hAnsi="宋体" w:hint="eastAsia"/>
          <w:szCs w:val="32"/>
        </w:rPr>
        <w:t>造成直接经济损失约90万元</w:t>
      </w:r>
      <w:r>
        <w:rPr>
          <w:rFonts w:ascii="宋体" w:cs="方正仿宋_GBK" w:hAnsi="宋体" w:hint="eastAsia"/>
          <w:szCs w:val="32"/>
          <w:lang w:bidi="ar-SA"/>
        </w:rPr>
        <w:t>。</w:t>
      </w:r>
    </w:p>
    <w:p>
      <w:pPr>
        <w:spacing w:line="480" w:lineRule="exact"/>
        <w:ind w:firstLineChars="200" w:firstLine="640"/>
        <w:rPr>
          <w:rFonts w:ascii="宋体" w:hAnsi="宋体" w:hint="eastAsia"/>
          <w:szCs w:val="32"/>
        </w:rPr>
      </w:pPr>
      <w:r>
        <w:rPr>
          <w:rFonts w:ascii="宋体" w:cs="方正仿宋_GBK" w:hAnsi="宋体" w:hint="eastAsia"/>
          <w:szCs w:val="32"/>
          <w:lang w:bidi="ar-SA"/>
        </w:rPr>
        <w:t>事故发生后，区政府依法成立事故调查组开展事故调查</w:t>
      </w:r>
      <w:r>
        <w:rPr>
          <w:rFonts w:ascii="宋体" w:cs="方正仿宋_GBK" w:hAnsi="宋体"/>
          <w:szCs w:val="32"/>
          <w:lang w:bidi="ar-SA"/>
        </w:rPr>
        <w:t>，</w:t>
      </w:r>
      <w:r>
        <w:rPr>
          <w:rFonts w:ascii="宋体" w:cs="方正仿宋_GBK" w:hAnsi="宋体" w:hint="eastAsia"/>
          <w:szCs w:val="32"/>
          <w:lang w:bidi="ar-SA"/>
        </w:rPr>
        <w:t>《</w:t>
      </w:r>
      <w:r>
        <w:rPr>
          <w:rFonts w:ascii="宋体" w:hAnsi="宋体" w:hint="eastAsia"/>
          <w:szCs w:val="32"/>
        </w:rPr>
        <w:t>江津双福“6·22”一般物体打击事故调查报告</w:t>
      </w:r>
      <w:r>
        <w:rPr>
          <w:rFonts w:ascii="宋体" w:cs="方正仿宋_GBK" w:hAnsi="宋体" w:hint="eastAsia"/>
          <w:szCs w:val="32"/>
          <w:lang w:bidi="ar-SA"/>
        </w:rPr>
        <w:t>》（以下简称“事故调查报告”）经区政府批复依法向社会进行了公布。</w:t>
      </w:r>
    </w:p>
    <w:p>
      <w:pPr>
        <w:spacing w:line="480" w:lineRule="exact"/>
        <w:ind w:left="0" w:firstLineChars="200" w:firstLine="640"/>
        <w:rPr>
          <w:rFonts w:ascii="方正黑体_GBK" w:eastAsia="方正黑体_GBK" w:cs="方正仿宋_GBK" w:hint="eastAsia"/>
          <w:szCs w:val="32"/>
          <w:lang w:bidi="ar-SA"/>
        </w:rPr>
      </w:pPr>
      <w:r>
        <w:rPr>
          <w:rFonts w:ascii="方正黑体_GBK" w:eastAsia="方正黑体_GBK" w:cs="方正仿宋_GBK" w:hint="eastAsia"/>
          <w:szCs w:val="32"/>
          <w:lang w:bidi="ar-SA"/>
        </w:rPr>
        <w:t>二、评估工作开展情况</w:t>
      </w:r>
    </w:p>
    <w:p>
      <w:pPr>
        <w:spacing w:line="480" w:lineRule="exact"/>
        <w:ind w:firstLineChars="200" w:firstLine="640"/>
        <w:rPr>
          <w:rFonts w:ascii="宋体" w:cs="方正仿宋_GBK" w:hAnsi="宋体" w:hint="eastAsia"/>
          <w:spacing w:val="-4"/>
          <w:szCs w:val="32"/>
          <w:lang w:bidi="ar-SA"/>
        </w:rPr>
      </w:pPr>
      <w:r>
        <w:rPr>
          <w:rFonts w:ascii="宋体" w:cs="方正仿宋_GBK" w:hAnsi="宋体" w:hint="eastAsia"/>
          <w:szCs w:val="32"/>
          <w:lang w:bidi="ar-SA"/>
        </w:rPr>
        <w:t>由区安委办组织，参加事故调查的相关部门派员组成评估组</w:t>
      </w:r>
      <w:r>
        <w:rPr>
          <w:rFonts w:ascii="宋体" w:cs="方正仿宋_GBK" w:hAnsi="宋体"/>
          <w:szCs w:val="32"/>
          <w:lang w:bidi="ar-SA"/>
        </w:rPr>
        <w:t>。</w:t>
      </w:r>
      <w:r>
        <w:rPr>
          <w:rFonts w:ascii="宋体" w:cs="方正仿宋_GBK" w:hAnsi="宋体" w:hint="eastAsia"/>
          <w:szCs w:val="32"/>
          <w:lang w:bidi="ar-SA"/>
        </w:rPr>
        <w:t>评估组按照</w:t>
      </w:r>
      <w:r>
        <w:rPr>
          <w:rFonts w:ascii="宋体" w:cs="方正仿宋_GBK" w:hAnsi="宋体"/>
          <w:szCs w:val="32"/>
          <w:lang w:bidi="ar-SA"/>
        </w:rPr>
        <w:t>事故调查报告要求</w:t>
      </w:r>
      <w:r>
        <w:rPr>
          <w:rFonts w:ascii="宋体" w:cs="方正仿宋_GBK" w:hAnsi="宋体" w:hint="eastAsia"/>
          <w:szCs w:val="32"/>
          <w:lang w:bidi="ar-SA"/>
        </w:rPr>
        <w:t>，采取调阅事故原始档案、查阅相关文件资料、现场检查和听取汇报等方式，对事故责任追究落实</w:t>
      </w:r>
      <w:r>
        <w:rPr>
          <w:rFonts w:ascii="宋体" w:cs="方正仿宋_GBK" w:hAnsi="宋体" w:hint="eastAsia"/>
          <w:spacing w:val="-4"/>
          <w:szCs w:val="32"/>
          <w:lang w:bidi="ar-SA"/>
        </w:rPr>
        <w:t>情况</w:t>
      </w:r>
      <w:r>
        <w:rPr>
          <w:rFonts w:ascii="宋体" w:cs="方正仿宋_GBK" w:hAnsi="宋体"/>
          <w:spacing w:val="-4"/>
          <w:szCs w:val="32"/>
          <w:lang w:bidi="ar-SA"/>
        </w:rPr>
        <w:t>和</w:t>
      </w:r>
      <w:r>
        <w:rPr>
          <w:rFonts w:ascii="宋体" w:cs="方正仿宋_GBK" w:hAnsi="宋体" w:hint="eastAsia"/>
          <w:spacing w:val="-4"/>
          <w:szCs w:val="32"/>
          <w:lang w:bidi="ar-SA"/>
        </w:rPr>
        <w:t>事故防范措施落实情况进行了综合评估。</w:t>
      </w:r>
    </w:p>
    <w:p>
      <w:pPr>
        <w:spacing w:line="480" w:lineRule="exact"/>
        <w:ind w:left="0" w:firstLineChars="200" w:firstLine="640"/>
        <w:rPr>
          <w:rFonts w:ascii="方正黑体_GBK" w:eastAsia="方正黑体_GBK" w:cs="方正仿宋_GBK" w:hint="eastAsia"/>
          <w:szCs w:val="32"/>
          <w:lang w:bidi="ar-SA"/>
        </w:rPr>
      </w:pPr>
      <w:r>
        <w:rPr>
          <w:rFonts w:ascii="方正黑体_GBK" w:eastAsia="方正黑体_GBK" w:cs="方正仿宋_GBK" w:hint="eastAsia"/>
          <w:szCs w:val="32"/>
          <w:lang w:bidi="ar-SA"/>
        </w:rPr>
        <w:t>三、事故责任追究落实情况</w:t>
      </w:r>
    </w:p>
    <w:p>
      <w:pPr>
        <w:spacing w:line="480" w:lineRule="exact"/>
        <w:ind w:firstLineChars="200" w:firstLine="640"/>
        <w:rPr>
          <w:rFonts w:ascii="宋体" w:hAnsi="宋体" w:hint="eastAsia"/>
          <w:szCs w:val="32"/>
        </w:rPr>
      </w:pPr>
      <w:r>
        <w:rPr>
          <w:rFonts w:ascii="宋体" w:hAnsi="宋体"/>
          <w:szCs w:val="32"/>
        </w:rPr>
        <w:t>自然人</w:t>
      </w:r>
      <w:r>
        <w:rPr>
          <w:rFonts w:ascii="宋体" w:hAnsi="宋体" w:hint="eastAsia"/>
          <w:szCs w:val="32"/>
        </w:rPr>
        <w:t>彭</w:t>
      </w:r>
      <w:r>
        <w:rPr>
          <w:rFonts w:ascii="宋体" w:cs="方正仿宋_GBK" w:hAnsi="宋体" w:hint="eastAsia"/>
          <w:szCs w:val="32"/>
        </w:rPr>
        <w:t>X</w:t>
      </w:r>
      <w:r>
        <w:rPr>
          <w:rFonts w:ascii="宋体" w:hAnsi="宋体" w:hint="eastAsia"/>
          <w:szCs w:val="32"/>
        </w:rPr>
        <w:t>，对安全生产工作重视不够，在拆除作业前，没有对施工作业人员进行书面安全技术交底，也没有记录签字确认；安全生产投入不足，没有为施工作业人员配备安全帽等劳动防护用品，也没有要求施工作业人员正确使用；现场安全管理缺失，未及时发现并有效制止作业人员的违法行为。以上行为违反了《建筑拆除工程安全技术规范》（JGJ147－2016）6.0.3和6.0.7、《中华人民共和国安全生产法》第二十一条第（五）项、第四十五条的规定，对此次事故负有责任。鉴于此次事故为一般事故，且彭</w:t>
      </w:r>
      <w:r>
        <w:rPr>
          <w:rFonts w:ascii="宋体" w:cs="方正仿宋_GBK" w:hAnsi="宋体" w:hint="eastAsia"/>
          <w:szCs w:val="32"/>
        </w:rPr>
        <w:t>X</w:t>
      </w:r>
      <w:r>
        <w:rPr>
          <w:rFonts w:ascii="宋体" w:hAnsi="宋体" w:hint="eastAsia"/>
          <w:szCs w:val="32"/>
        </w:rPr>
        <w:t>为自然人，根据《中华人民共和国安全生产法》第九十三条之规定，区应急管理局给予</w:t>
      </w:r>
      <w:r>
        <w:rPr>
          <w:rFonts w:ascii="宋体" w:hAnsi="宋体"/>
          <w:szCs w:val="32"/>
        </w:rPr>
        <w:t>彭</w:t>
      </w:r>
      <w:r>
        <w:rPr>
          <w:rFonts w:ascii="宋体" w:cs="方正仿宋_GBK" w:hAnsi="宋体" w:hint="eastAsia"/>
          <w:szCs w:val="32"/>
        </w:rPr>
        <w:t>X</w:t>
      </w:r>
      <w:r>
        <w:rPr>
          <w:rFonts w:ascii="宋体" w:hAnsi="宋体"/>
          <w:szCs w:val="32"/>
        </w:rPr>
        <w:t>23000元</w:t>
      </w:r>
      <w:r>
        <w:rPr>
          <w:rFonts w:ascii="宋体" w:hAnsi="宋体" w:hint="eastAsia"/>
          <w:szCs w:val="32"/>
        </w:rPr>
        <w:t>的</w:t>
      </w:r>
      <w:r>
        <w:rPr>
          <w:rFonts w:ascii="宋体" w:hAnsi="宋体"/>
          <w:szCs w:val="32"/>
        </w:rPr>
        <w:t>罚款，彭</w:t>
      </w:r>
      <w:r>
        <w:rPr>
          <w:rFonts w:ascii="宋体" w:cs="方正仿宋_GBK" w:hAnsi="宋体" w:hint="eastAsia"/>
          <w:szCs w:val="32"/>
        </w:rPr>
        <w:t>X</w:t>
      </w:r>
      <w:r>
        <w:rPr>
          <w:rFonts w:ascii="宋体" w:hAnsi="宋体"/>
          <w:szCs w:val="32"/>
        </w:rPr>
        <w:t>于2024年8月28日缴纳该罚款</w:t>
      </w:r>
      <w:r>
        <w:rPr>
          <w:rFonts w:ascii="宋体" w:hAnsi="宋体" w:hint="eastAsia"/>
          <w:szCs w:val="32"/>
        </w:rPr>
        <w:t>。</w:t>
      </w:r>
    </w:p>
    <w:p>
      <w:pPr>
        <w:spacing w:line="480" w:lineRule="exact"/>
        <w:ind w:left="0" w:firstLineChars="200" w:firstLine="640"/>
        <w:rPr>
          <w:rFonts w:ascii="方正黑体_GBK" w:eastAsia="方正黑体_GBK" w:cs="方正仿宋_GBK" w:hint="eastAsia"/>
          <w:szCs w:val="32"/>
          <w:lang w:bidi="ar-SA"/>
        </w:rPr>
      </w:pPr>
      <w:r>
        <w:rPr>
          <w:rFonts w:ascii="方正黑体_GBK" w:eastAsia="方正黑体_GBK" w:cs="方正仿宋_GBK" w:hint="eastAsia"/>
          <w:szCs w:val="32"/>
          <w:lang w:bidi="ar-SA"/>
        </w:rPr>
        <w:t>四、事故防范措施落实情况</w:t>
      </w:r>
    </w:p>
    <w:p>
      <w:pPr>
        <w:adjustRightInd w:val="0"/>
        <w:spacing w:line="480" w:lineRule="exact"/>
        <w:ind w:firstLineChars="200" w:firstLine="640"/>
        <w:jc w:val="left"/>
        <w:rPr>
          <w:rFonts w:ascii="方正楷体_GBK" w:eastAsia="方正楷体_GBK" w:cs="方正楷体_GBK" w:hint="eastAsia"/>
          <w:szCs w:val="32"/>
        </w:rPr>
      </w:pPr>
      <w:r>
        <w:rPr>
          <w:rFonts w:ascii="方正楷体_GBK" w:eastAsia="方正楷体_GBK" w:cs="方正楷体_GBK" w:hint="eastAsia"/>
          <w:szCs w:val="32"/>
          <w:lang w:bidi="ar-SA"/>
        </w:rPr>
        <w:t>（一）自然人</w:t>
      </w:r>
      <w:r>
        <w:rPr>
          <w:rFonts w:ascii="方正楷体_GBK" w:eastAsia="方正楷体_GBK" w:cs="方正楷体_GBK" w:hint="eastAsia"/>
          <w:szCs w:val="32"/>
        </w:rPr>
        <w:t>彭X</w:t>
      </w:r>
    </w:p>
    <w:p>
      <w:pPr>
        <w:spacing w:line="480" w:lineRule="exact"/>
        <w:ind w:firstLineChars="200" w:firstLine="640"/>
        <w:rPr>
          <w:rFonts w:ascii="宋体" w:hAnsi="宋体" w:hint="eastAsia"/>
          <w:szCs w:val="32"/>
        </w:rPr>
      </w:pPr>
      <w:r>
        <w:rPr>
          <w:rFonts w:ascii="宋体" w:hAnsi="宋体" w:hint="eastAsia"/>
          <w:szCs w:val="32"/>
        </w:rPr>
        <w:t>自然人彭</w:t>
      </w:r>
      <w:r>
        <w:rPr>
          <w:rFonts w:ascii="宋体" w:cs="方正仿宋_GBK" w:hAnsi="宋体" w:hint="eastAsia"/>
          <w:szCs w:val="32"/>
        </w:rPr>
        <w:t>X</w:t>
      </w:r>
      <w:r>
        <w:rPr>
          <w:rFonts w:ascii="宋体" w:hAnsi="宋体" w:hint="eastAsia"/>
          <w:szCs w:val="32"/>
        </w:rPr>
        <w:t>深刻汲取了此次事故的教训，并举一反三，高度重视安全生产工作</w:t>
      </w:r>
      <w:r>
        <w:rPr>
          <w:rFonts w:ascii="宋体" w:hAnsi="宋体"/>
          <w:szCs w:val="32"/>
        </w:rPr>
        <w:t>。</w:t>
      </w:r>
      <w:r>
        <w:rPr>
          <w:rFonts w:ascii="宋体" w:hAnsi="宋体" w:hint="eastAsia"/>
          <w:szCs w:val="32"/>
        </w:rPr>
        <w:t>对按法律法规要求承揽的施工项目工程，加大</w:t>
      </w:r>
      <w:r>
        <w:rPr>
          <w:rFonts w:ascii="宋体" w:hAnsi="宋体"/>
          <w:szCs w:val="32"/>
        </w:rPr>
        <w:t>了</w:t>
      </w:r>
      <w:r>
        <w:rPr>
          <w:rFonts w:ascii="宋体" w:hAnsi="宋体" w:hint="eastAsia"/>
          <w:szCs w:val="32"/>
        </w:rPr>
        <w:t>安全生产投入，为从业人员提供</w:t>
      </w:r>
      <w:r>
        <w:rPr>
          <w:rFonts w:ascii="宋体" w:hAnsi="宋体"/>
          <w:szCs w:val="32"/>
        </w:rPr>
        <w:t>了必须</w:t>
      </w:r>
      <w:r>
        <w:rPr>
          <w:rFonts w:ascii="宋体" w:hAnsi="宋体" w:hint="eastAsia"/>
          <w:szCs w:val="32"/>
        </w:rPr>
        <w:t>的</w:t>
      </w:r>
      <w:r>
        <w:rPr>
          <w:rFonts w:ascii="宋体" w:hAnsi="宋体"/>
          <w:szCs w:val="32"/>
        </w:rPr>
        <w:t>劳动防护用品</w:t>
      </w:r>
      <w:r>
        <w:rPr>
          <w:rFonts w:ascii="宋体" w:hAnsi="宋体" w:hint="eastAsia"/>
          <w:szCs w:val="32"/>
        </w:rPr>
        <w:t>，</w:t>
      </w:r>
      <w:r>
        <w:rPr>
          <w:rFonts w:ascii="宋体" w:hAnsi="宋体"/>
          <w:szCs w:val="32"/>
        </w:rPr>
        <w:t>并</w:t>
      </w:r>
      <w:r>
        <w:rPr>
          <w:rFonts w:ascii="宋体" w:hAnsi="宋体" w:hint="eastAsia"/>
          <w:szCs w:val="32"/>
        </w:rPr>
        <w:t>加强</w:t>
      </w:r>
      <w:r>
        <w:rPr>
          <w:rFonts w:ascii="宋体" w:hAnsi="宋体"/>
          <w:szCs w:val="32"/>
        </w:rPr>
        <w:t>了</w:t>
      </w:r>
      <w:r>
        <w:rPr>
          <w:rFonts w:ascii="宋体" w:hAnsi="宋体" w:hint="eastAsia"/>
          <w:szCs w:val="32"/>
        </w:rPr>
        <w:t>作业现场</w:t>
      </w:r>
      <w:r>
        <w:rPr>
          <w:rFonts w:ascii="宋体" w:hAnsi="宋体"/>
          <w:szCs w:val="32"/>
        </w:rPr>
        <w:t>的隐患排查</w:t>
      </w:r>
      <w:r>
        <w:rPr>
          <w:rFonts w:ascii="宋体" w:hAnsi="宋体" w:hint="eastAsia"/>
          <w:szCs w:val="32"/>
        </w:rPr>
        <w:t>，及时制止</w:t>
      </w:r>
      <w:r>
        <w:rPr>
          <w:rFonts w:ascii="宋体" w:hAnsi="宋体"/>
          <w:szCs w:val="32"/>
        </w:rPr>
        <w:t>从业人员的</w:t>
      </w:r>
      <w:r>
        <w:rPr>
          <w:rFonts w:ascii="宋体" w:hAnsi="宋体" w:hint="eastAsia"/>
          <w:szCs w:val="32"/>
        </w:rPr>
        <w:t>违章违规作业行为，及时消除生产安全事故隐患</w:t>
      </w:r>
      <w:r>
        <w:rPr>
          <w:rFonts w:ascii="宋体" w:hAnsi="宋体"/>
          <w:szCs w:val="32"/>
        </w:rPr>
        <w:t>，防止事故发生</w:t>
      </w:r>
      <w:r>
        <w:rPr>
          <w:rFonts w:ascii="宋体" w:hAnsi="宋体" w:hint="eastAsia"/>
          <w:szCs w:val="32"/>
        </w:rPr>
        <w:t>。</w:t>
      </w:r>
    </w:p>
    <w:p>
      <w:pPr>
        <w:adjustRightInd w:val="0"/>
        <w:spacing w:line="480" w:lineRule="exact"/>
        <w:ind w:firstLineChars="200" w:firstLine="640"/>
        <w:jc w:val="left"/>
        <w:rPr>
          <w:rFonts w:ascii="方正楷体_GBK" w:eastAsia="方正楷体_GBK" w:cs="方正楷体_GBK" w:hint="eastAsia"/>
          <w:szCs w:val="32"/>
          <w:lang w:bidi="ar-SA"/>
        </w:rPr>
      </w:pPr>
      <w:r>
        <w:rPr>
          <w:rFonts w:ascii="方正楷体_GBK" w:eastAsia="方正楷体_GBK" w:cs="方正楷体_GBK" w:hint="eastAsia"/>
          <w:szCs w:val="32"/>
          <w:lang w:bidi="ar-SA"/>
        </w:rPr>
        <w:t>（二）双福街道办事处</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640"/>
        <w:textAlignment w:val="auto"/>
        <w:rPr>
          <w:rFonts w:ascii="宋体" w:cs="方正仿宋_GBK" w:hAnsi="宋体" w:hint="eastAsia"/>
          <w:sz w:val="32"/>
          <w:szCs w:val="32"/>
          <w:lang w:val="en-US" w:eastAsia="zh-CN" w:bidi="ar-SA"/>
        </w:rPr>
      </w:pPr>
      <w:r>
        <w:rPr>
          <w:rFonts w:ascii="宋体" w:cs="方正仿宋_GBK" w:hAnsi="宋体" w:hint="eastAsia"/>
          <w:sz w:val="32"/>
          <w:szCs w:val="32"/>
          <w:lang w:val="en-US" w:eastAsia="zh-CN" w:bidi="ar-SA"/>
        </w:rPr>
        <w:t>一是健全装修领域监管机制。</w:t>
      </w:r>
      <w:r>
        <w:rPr>
          <w:rFonts w:ascii="宋体" w:cs="方正仿宋_GBK" w:hAnsi="宋体" w:hint="eastAsia"/>
          <w:sz w:val="32"/>
          <w:szCs w:val="32"/>
          <w:lang w:eastAsia="zh-CN" w:bidi="ar-SA"/>
        </w:rPr>
        <w:t>深入分析物业小区装饰装修监管存在的问题，建立健全监管机制。</w:t>
      </w:r>
      <w:r>
        <w:rPr>
          <w:rFonts w:ascii="宋体" w:cs="方正仿宋_GBK" w:hAnsi="宋体" w:hint="eastAsia"/>
          <w:sz w:val="32"/>
          <w:szCs w:val="32"/>
          <w:lang w:val="en-US" w:eastAsia="zh-CN" w:bidi="ar-SA"/>
        </w:rPr>
        <w:t>2024年8月，街道印发</w:t>
      </w:r>
      <w:r>
        <w:rPr>
          <w:rFonts w:ascii="宋体" w:cs="方正仿宋_GBK" w:hAnsi="宋体" w:hint="eastAsia"/>
          <w:sz w:val="32"/>
          <w:szCs w:val="32"/>
          <w:lang w:eastAsia="zh-CN" w:bidi="ar-SA"/>
        </w:rPr>
        <w:t>《</w:t>
      </w:r>
      <w:r>
        <w:rPr>
          <w:rFonts w:ascii="宋体" w:cs="方正仿宋_GBK" w:hAnsi="宋体" w:hint="eastAsia"/>
          <w:sz w:val="32"/>
          <w:szCs w:val="32"/>
          <w:lang w:val="en-US" w:eastAsia="zh-CN" w:bidi="ar-SA"/>
        </w:rPr>
        <w:t>双福街道装修领域全链条安全监管方案</w:t>
      </w:r>
      <w:r>
        <w:rPr>
          <w:rFonts w:ascii="宋体" w:cs="方正仿宋_GBK" w:hAnsi="宋体" w:hint="eastAsia"/>
          <w:sz w:val="32"/>
          <w:szCs w:val="32"/>
          <w:lang w:eastAsia="zh-CN" w:bidi="ar-SA"/>
        </w:rPr>
        <w:t>》，细化装修申报、安全监管、违建管理、建渣管理等各环节处置措施，明确街道各岗位、社区、物业服务企业、装修人各自安全管理责任，充分发挥物业服务企业“前哨”作用。二是强化会议安排部署。</w:t>
      </w:r>
      <w:r>
        <w:rPr>
          <w:rFonts w:ascii="宋体" w:cs="方正仿宋_GBK" w:hAnsi="宋体" w:hint="eastAsia"/>
          <w:sz w:val="32"/>
          <w:szCs w:val="32"/>
          <w:lang w:val="en-US" w:eastAsia="zh-CN" w:bidi="ar-SA"/>
        </w:rPr>
        <w:t>街道</w:t>
      </w:r>
      <w:r>
        <w:rPr>
          <w:rFonts w:ascii="宋体" w:cs="方正仿宋_GBK" w:hAnsi="宋体" w:hint="eastAsia"/>
          <w:sz w:val="32"/>
          <w:szCs w:val="32"/>
          <w:lang w:eastAsia="zh-CN" w:bidi="ar-SA"/>
        </w:rPr>
        <w:t>每月召开安全生产工作会议，安排部署各行业领域安全生产工作。并于</w:t>
      </w:r>
      <w:r>
        <w:rPr>
          <w:rFonts w:ascii="宋体" w:cs="方正仿宋_GBK" w:hAnsi="宋体" w:hint="eastAsia"/>
          <w:sz w:val="32"/>
          <w:szCs w:val="32"/>
          <w:lang w:val="en-US" w:eastAsia="zh-CN" w:bidi="ar-SA"/>
        </w:rPr>
        <w:t>2024年7月10日、9月29日、12月30日，2025年2月28日、4月30日召开安全生产大会，对装修领域全链条安全监管工作进行部署，突出强调居民住宅小区安全监管工作，督促物业公司压实责任。三是认真复盘事故。街道于2025年1月召开党工委会，对2024年全年生产安全事故及近6年生产安全事故进行全面复盘，深入分析事故类型、事故领域、事故原因，并对安全生产形势进行研判，研究形成工作措施，降低事故发生率。四是强化监督检查。2024年7月-2025年6月共检查物业公司104家，抽查住宅小区装修20户，</w:t>
      </w:r>
      <w:r>
        <w:rPr>
          <w:rFonts w:ascii="宋体" w:cs="方正仿宋_GBK" w:hAnsi="宋体" w:hint="eastAsia"/>
          <w:color w:val="auto"/>
          <w:sz w:val="32"/>
          <w:szCs w:val="32"/>
          <w:lang w:val="en-US" w:eastAsia="zh-CN" w:bidi="ar-SA"/>
        </w:rPr>
        <w:t>发现问题29个</w:t>
      </w:r>
      <w:r>
        <w:rPr>
          <w:rFonts w:ascii="宋体" w:cs="方正仿宋_GBK" w:hAnsi="宋体" w:hint="eastAsia"/>
          <w:sz w:val="32"/>
          <w:szCs w:val="32"/>
          <w:lang w:val="en-US" w:eastAsia="zh-CN" w:bidi="ar-SA"/>
        </w:rPr>
        <w:t>（其中街道相关领导带队检查15次，</w:t>
      </w:r>
      <w:r>
        <w:rPr>
          <w:rFonts w:ascii="宋体" w:cs="方正仿宋_GBK" w:hAnsi="宋体" w:hint="eastAsia"/>
          <w:color w:val="auto"/>
          <w:sz w:val="32"/>
          <w:szCs w:val="32"/>
          <w:lang w:val="en-US" w:eastAsia="zh-CN" w:bidi="ar-SA"/>
        </w:rPr>
        <w:t>发现问题18个）</w:t>
      </w:r>
      <w:r>
        <w:rPr>
          <w:rFonts w:ascii="宋体" w:cs="方正仿宋_GBK" w:hAnsi="宋体" w:hint="eastAsia"/>
          <w:sz w:val="32"/>
          <w:szCs w:val="32"/>
          <w:lang w:val="en-US" w:eastAsia="zh-CN" w:bidi="ar-SA"/>
        </w:rPr>
        <w:t>，均已完成整改</w:t>
      </w:r>
      <w:r>
        <w:rPr>
          <w:rFonts w:ascii="宋体" w:cs="方正仿宋_GBK" w:hAnsi="宋体" w:hint="eastAsia"/>
          <w:kern w:val="2"/>
          <w:sz w:val="32"/>
          <w:szCs w:val="32"/>
          <w:lang w:val="en-US" w:eastAsia="zh-CN" w:bidi="ar-SA"/>
        </w:rPr>
        <w:t>。2025年3月5日，街道分管安全领导带队再次督导吾悦华府装修工作，发现并指导整改问题3个，督促物业公司压实责任。五是强化培训教育。街道物业管理岗分别于2024年1月17日、3月29日、6月28日、9月20日，2025年1月22日、3月25日、6月12日召开培训会议，通报典型案例、开展警示教育，并开展物业服务区域安全生产、物业法规公益讲座、物业服务履约不到位、侵占业主公共收益等问题专项整治行动等培训工作，</w:t>
      </w:r>
      <w:r>
        <w:rPr>
          <w:rFonts w:ascii="宋体" w:cs="方正仿宋_GBK" w:hAnsi="宋体" w:hint="eastAsia"/>
          <w:sz w:val="32"/>
          <w:szCs w:val="32"/>
          <w:lang w:val="en-US" w:eastAsia="zh-CN" w:bidi="ar-SA"/>
        </w:rPr>
        <w:t>提升物业履职能力。</w:t>
      </w:r>
    </w:p>
    <w:p>
      <w:pPr>
        <w:adjustRightInd w:val="0"/>
        <w:spacing w:line="480" w:lineRule="exact"/>
        <w:ind w:firstLineChars="200" w:firstLine="640"/>
        <w:jc w:val="left"/>
        <w:rPr>
          <w:rFonts w:ascii="方正楷体_GBK" w:eastAsia="方正楷体_GBK" w:cs="方正楷体_GBK" w:hint="eastAsia"/>
          <w:szCs w:val="32"/>
          <w:lang w:bidi="ar-SA"/>
        </w:rPr>
      </w:pPr>
      <w:r>
        <w:rPr>
          <w:rFonts w:ascii="方正楷体_GBK" w:eastAsia="方正楷体_GBK" w:cs="方正楷体_GBK" w:hint="eastAsia"/>
          <w:szCs w:val="32"/>
          <w:lang w:bidi="ar-SA"/>
        </w:rPr>
        <w:t>（三）新城悦（重庆）物业服务有限公司</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640"/>
        <w:textAlignment w:val="auto"/>
        <w:rPr>
          <w:rFonts w:ascii="宋体" w:cs="方正仿宋_GBK" w:hAnsi="宋体" w:hint="eastAsia"/>
          <w:sz w:val="32"/>
          <w:szCs w:val="32"/>
          <w:lang w:val="en-US" w:eastAsia="zh-CN" w:bidi="ar-SA"/>
        </w:rPr>
      </w:pPr>
      <w:r>
        <w:rPr>
          <w:rFonts w:ascii="宋体" w:cs="方正仿宋_GBK" w:hAnsi="宋体" w:hint="eastAsia"/>
          <w:sz w:val="32"/>
          <w:szCs w:val="32"/>
          <w:lang w:val="en-US" w:eastAsia="zh-CN" w:bidi="ar-SA"/>
        </w:rPr>
        <w:t>一是强化部署。2024年6月22日以来，该物业公司召开安全会议3次，针对装修安全及装修注意事项、装修巡查方案进行多次强调及工作细化。二是开展培训。开展安全培训、应急突发事件处理流程培训共5次。主要针对物业工作中常见的消防安全、装修安全、员工岗位作业安全进行强化，加强了员工的安全意识，并对突发火情、高空坠物等应急突发事件处理流程进行分类培训，提升员工对各类突发事件的应急处理能力。三是加强巡查。小区安全巡查由每日2次增加到每日4次，装修巡查由每周覆盖</w:t>
      </w:r>
      <w:r>
        <w:rPr>
          <w:rFonts w:ascii="宋体" w:cs="方正仿宋_GBK" w:hAnsi="宋体"/>
          <w:sz w:val="32"/>
          <w:szCs w:val="32"/>
          <w:lang w:val="en-US" w:eastAsia="zh-CN" w:bidi="ar-SA"/>
        </w:rPr>
        <w:t>1</w:t>
      </w:r>
      <w:r>
        <w:rPr>
          <w:rFonts w:ascii="宋体" w:cs="方正仿宋_GBK" w:hAnsi="宋体" w:hint="eastAsia"/>
          <w:sz w:val="32"/>
          <w:szCs w:val="32"/>
          <w:lang w:val="en-US" w:eastAsia="zh-CN" w:bidi="ar-SA"/>
        </w:rPr>
        <w:t>次增加到每周覆盖2次；并对小区天台、游乐场等重点部位加装监控摄像头11个，强化安全防范。四是加强宣传引导。针对办理装修的业主，书面告知注意事项；针对装修中的业主，巡查时提醒注意施工安全，每周固定向业主一对一推送装修安全温馨提示，针对小区游乐场、天台等存在安全隐患部位，设置醒目提示标语，提高业主安全防范意识。</w:t>
      </w:r>
    </w:p>
    <w:p>
      <w:pPr>
        <w:spacing w:line="480" w:lineRule="exact"/>
        <w:ind w:left="0" w:firstLineChars="200" w:firstLine="640"/>
        <w:rPr>
          <w:rFonts w:ascii="方正黑体_GBK" w:eastAsia="方正黑体_GBK" w:cs="方正仿宋_GBK" w:hint="eastAsia"/>
          <w:szCs w:val="32"/>
          <w:lang w:bidi="ar-SA"/>
        </w:rPr>
      </w:pPr>
      <w:r>
        <w:rPr>
          <w:rFonts w:ascii="方正黑体_GBK" w:eastAsia="方正黑体_GBK" w:cs="方正仿宋_GBK" w:hint="eastAsia"/>
          <w:szCs w:val="32"/>
          <w:lang w:bidi="ar-SA"/>
        </w:rPr>
        <w:t>五、评估意见</w:t>
      </w:r>
    </w:p>
    <w:p>
      <w:pPr>
        <w:snapToGrid/>
        <w:spacing w:line="480" w:lineRule="exact"/>
        <w:ind w:left="0" w:firstLineChars="200" w:firstLine="640"/>
        <w:rPr>
          <w:rFonts w:ascii="宋体" w:cs="方正仿宋_GBK" w:hAnsi="宋体" w:hint="eastAsia"/>
          <w:szCs w:val="32"/>
          <w:lang w:bidi="ar-SA"/>
        </w:rPr>
      </w:pPr>
      <w:r>
        <w:rPr>
          <w:rFonts w:ascii="宋体" w:cs="方正仿宋_GBK" w:hAnsi="宋体" w:hint="eastAsia"/>
          <w:kern w:val="2"/>
          <w:sz w:val="32"/>
          <w:szCs w:val="30"/>
          <w:lang w:val="en-US" w:eastAsia="zh-CN" w:bidi="ar-SA"/>
        </w:rPr>
        <w:t>从事故</w:t>
      </w:r>
      <w:r>
        <w:rPr>
          <w:rFonts w:ascii="宋体" w:cs="方正仿宋_GBK" w:hAnsi="宋体"/>
          <w:kern w:val="2"/>
          <w:sz w:val="32"/>
          <w:szCs w:val="30"/>
          <w:lang w:val="en-US" w:eastAsia="zh-CN" w:bidi="ar-SA"/>
        </w:rPr>
        <w:t>责任追究落实情况、事故防范措施</w:t>
      </w:r>
      <w:r>
        <w:rPr>
          <w:rFonts w:ascii="宋体" w:cs="方正仿宋_GBK" w:hAnsi="宋体" w:hint="eastAsia"/>
          <w:kern w:val="2"/>
          <w:sz w:val="32"/>
          <w:szCs w:val="30"/>
          <w:lang w:val="en-US" w:eastAsia="zh-CN" w:bidi="ar-SA"/>
        </w:rPr>
        <w:t>落实总体情况看，评估组</w:t>
      </w:r>
      <w:r>
        <w:rPr>
          <w:rFonts w:ascii="宋体" w:cs="方正仿宋_GBK" w:hAnsi="宋体" w:hint="eastAsia"/>
          <w:szCs w:val="32"/>
          <w:lang w:bidi="ar-SA"/>
        </w:rPr>
        <w:t>经综合评估后一致认为，各单位</w:t>
      </w:r>
      <w:r>
        <w:rPr>
          <w:rFonts w:ascii="宋体" w:cs="方正仿宋_GBK" w:hAnsi="宋体"/>
          <w:szCs w:val="32"/>
          <w:lang w:bidi="ar-SA"/>
        </w:rPr>
        <w:t>均</w:t>
      </w:r>
      <w:r>
        <w:rPr>
          <w:rFonts w:ascii="宋体" w:cs="方正仿宋_GBK" w:hAnsi="宋体" w:hint="eastAsia"/>
          <w:szCs w:val="32"/>
          <w:lang w:bidi="ar-SA"/>
        </w:rPr>
        <w:t>按照区政府批复意见，对有关责任人员作出相关处理；</w:t>
      </w:r>
      <w:r>
        <w:rPr>
          <w:rFonts w:ascii="宋体" w:cs="方正仿宋_GBK" w:hAnsi="宋体"/>
          <w:szCs w:val="32"/>
          <w:lang w:bidi="ar-SA"/>
        </w:rPr>
        <w:t>责任人员</w:t>
      </w:r>
      <w:r>
        <w:rPr>
          <w:rFonts w:ascii="宋体" w:cs="方正仿宋_GBK" w:hAnsi="宋体" w:hint="eastAsia"/>
          <w:szCs w:val="32"/>
          <w:lang w:bidi="ar-SA"/>
        </w:rPr>
        <w:t>及有关单位</w:t>
      </w:r>
      <w:r>
        <w:rPr>
          <w:rFonts w:ascii="宋体" w:cs="方正仿宋_GBK" w:hAnsi="宋体" w:hint="eastAsia"/>
          <w:spacing w:val="-6"/>
          <w:szCs w:val="32"/>
          <w:lang w:bidi="ar-SA"/>
        </w:rPr>
        <w:t>汲取事故教训，</w:t>
      </w:r>
      <w:r>
        <w:rPr>
          <w:rFonts w:ascii="宋体" w:cs="方正仿宋_GBK" w:hAnsi="宋体"/>
          <w:spacing w:val="-6"/>
          <w:szCs w:val="32"/>
          <w:lang w:bidi="ar-SA"/>
        </w:rPr>
        <w:t>举一反三，</w:t>
      </w:r>
      <w:r>
        <w:rPr>
          <w:rFonts w:ascii="宋体" w:cs="方正仿宋_GBK" w:hAnsi="宋体" w:hint="eastAsia"/>
          <w:spacing w:val="-6"/>
          <w:szCs w:val="32"/>
          <w:lang w:bidi="ar-SA"/>
        </w:rPr>
        <w:t>基本落实了事故调查报告提出的事故防范措施整改。</w:t>
      </w:r>
    </w:p>
    <w:p>
      <w:pPr>
        <w:pStyle w:val="9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exact"/>
        <w:ind w:left="0" w:firstLineChars="200" w:firstLine="640"/>
        <w:rPr>
          <w:rFonts w:ascii="宋体" w:cs="方正仿宋_GBK" w:hAnsi="宋体"/>
          <w:sz w:val="32"/>
          <w:lang w:val="en-US" w:eastAsia="en-US" w:bidi="ar-SA"/>
        </w:rPr>
      </w:pPr>
    </w:p>
    <w:p>
      <w:pPr>
        <w:pStyle w:val="18"/>
        <w:keepNext w:val="0"/>
        <w:keepLines w:val="0"/>
        <w:widowControl w:val="0"/>
        <w:suppressLineNumbers w:val="0"/>
        <w:pBdr>
          <w:top w:val="none" w:sz="0" w:space="0" w:color="auto"/>
          <w:left w:val="none" w:sz="0" w:space="0" w:color="auto"/>
          <w:bottom w:val="none" w:sz="0" w:space="0" w:color="auto"/>
          <w:right w:val="none" w:sz="0" w:space="0" w:color="auto"/>
        </w:pBdr>
        <w:ind w:left="2940"/>
      </w:pPr>
    </w:p>
    <w:p>
      <w:pPr>
        <w:autoSpaceDN w:val="0"/>
        <w:snapToGrid w:val="0"/>
        <w:spacing w:line="480" w:lineRule="exact"/>
        <w:ind w:right="629"/>
        <w:jc w:val="right"/>
        <w:rPr>
          <w:rFonts w:ascii="宋体" w:hAnsi="宋体" w:hint="eastAsia"/>
          <w:szCs w:val="32"/>
        </w:rPr>
      </w:pPr>
      <w:r>
        <w:rPr>
          <w:rFonts w:ascii="宋体" w:hAnsi="宋体" w:hint="eastAsia"/>
          <w:szCs w:val="32"/>
        </w:rPr>
        <w:t>重庆市江津区应急管理局</w:t>
      </w:r>
    </w:p>
    <w:p>
      <w:pPr>
        <w:autoSpaceDN w:val="0"/>
        <w:snapToGrid w:val="0"/>
        <w:spacing w:line="480" w:lineRule="exact"/>
        <w:ind w:firstLineChars="1700" w:firstLine="5440"/>
        <w:rPr>
          <w:rFonts w:ascii="宋体" w:hAnsi="宋体" w:hint="eastAsia"/>
          <w:szCs w:val="32"/>
        </w:rPr>
      </w:pPr>
      <w:r>
        <w:rPr>
          <w:rFonts w:ascii="宋体" w:hAnsi="宋体" w:hint="eastAsia"/>
          <w:szCs w:val="32"/>
        </w:rPr>
        <w:t>202</w:t>
      </w:r>
      <w:r>
        <w:rPr>
          <w:rFonts w:ascii="宋体" w:hAnsi="宋体"/>
          <w:szCs w:val="32"/>
        </w:rPr>
        <w:t>5</w:t>
      </w:r>
      <w:r>
        <w:rPr>
          <w:rFonts w:ascii="宋体" w:hAnsi="宋体" w:hint="eastAsia"/>
          <w:szCs w:val="32"/>
        </w:rPr>
        <w:t>年</w:t>
      </w:r>
      <w:r>
        <w:rPr>
          <w:rFonts w:ascii="宋体" w:hAnsi="宋体"/>
          <w:szCs w:val="32"/>
        </w:rPr>
        <w:t>7</w:t>
      </w:r>
      <w:r>
        <w:rPr>
          <w:rFonts w:ascii="宋体" w:hAnsi="宋体" w:hint="eastAsia"/>
          <w:szCs w:val="32"/>
        </w:rPr>
        <w:t>月</w:t>
      </w:r>
      <w:r>
        <w:rPr>
          <w:rFonts w:ascii="宋体" w:hAnsi="宋体"/>
          <w:szCs w:val="32"/>
        </w:rPr>
        <w:t>8</w:t>
      </w:r>
      <w:r>
        <w:rPr>
          <w:rFonts w:ascii="宋体" w:hAnsi="宋体" w:hint="eastAsia"/>
          <w:szCs w:val="32"/>
        </w:rPr>
        <w:t>日</w:t>
      </w:r>
    </w:p>
    <w:p>
      <w:pPr>
        <w:spacing w:line="480" w:lineRule="exact"/>
      </w:pPr>
    </w:p>
    <w:sectPr>
      <w:footerReference w:type="default" r:id="rId2"/>
      <w:footerReference w:type="even" r:id="rId3"/>
      <w:pgSz w:w="11907" w:h="16840"/>
      <w:pgMar w:top="2098" w:right="1474" w:bottom="1985" w:left="1588"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仿宋_GBK">
    <w:panose1 w:val="00000000000000000000"/>
    <w:charset w:val="00"/>
    <w:family w:val="auto"/>
    <w:pitch w:val="variable"/>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33"/>
      <w:tabs>
        <w:tab w:val="center" w:pos="4153"/>
        <w:tab w:val="right" w:pos="8306"/>
      </w:tabs>
      <w:ind w:right="360" w:firstLine="360"/>
      <w:rPr>
        <w:rFonts w:ascii="宋体" w:eastAsia="宋体" w:hint="eastAsia"/>
        <w:sz w:val="28"/>
      </w:rPr>
    </w:pPr>
    <w:r>
      <w:rPr>
        <w:rFonts w:ascii="宋体" w:eastAsia="宋体" w:hint="eastAsia"/>
        <w:sz w:val="28"/>
      </w:rPr>
      <mc:AlternateContent>
        <mc:Choice Requires="wps">
          <w:drawing>
            <wp:anchor distT="0" distB="0" distL="0" distR="0" simplePos="0" relativeHeight="12" behindDoc="0" locked="0" layoutInCell="1" hidden="0" allowOverlap="1">
              <wp:simplePos x="0" y="0"/>
              <wp:positionH relativeFrom="margin">
                <wp:align>outside</wp:align>
              </wp:positionH>
              <wp:positionV relativeFrom="paragraph">
                <wp:posOffset>0</wp:posOffset>
              </wp:positionV>
              <wp:extent cx="1054099" cy="266561"/>
              <wp:effectExtent l="0" t="0" r="0" b="0"/>
              <wp:wrapSquare wrapText="bothSides"/>
              <wp:docPr id="1" name="矩形 1"/>
              <wp:cNvGraphicFramePr>
                <a:graphicFrameLocks noChangeAspect="0"/>
              </wp:cNvGraphicFramePr>
              <a:graphic>
                <a:graphicData uri="http://schemas.microsoft.com/office/word/2010/wordprocessingShape">
                  <wps:wsp>
                    <wps:cNvSpPr/>
                    <wps:spPr>
                      <a:xfrm rot="0">
                        <a:off x="0" y="0"/>
                        <a:ext cx="1054099" cy="266561"/>
                      </a:xfrm>
                      <a:prstGeom prst="rect"/>
                      <a:noFill/>
                      <a:ln w="9525" cmpd="sng" cap="flat">
                        <a:noFill/>
                        <a:prstDash val="solid"/>
                        <a:miter/>
                      </a:ln>
                    </wps:spPr>
                    <wps:txbx id="2">
                      <w:txbxContent>
                        <w:p>
                          <w:pPr>
                            <w:pStyle w:val="33"/>
                            <w:tabs>
                              <w:tab w:val="center" w:pos="4153"/>
                              <w:tab w:val="right" w:pos="8306"/>
                            </w:tabs>
                            <w:ind w:leftChars="100" w:left="320" w:rightChars="100" w:right="320"/>
                            <w:rPr>
                              <w:rStyle w:val="42"/>
                              <w:rFonts w:ascii="方正仿宋_GBK" w:hAnsi="方正仿宋_GBK" w:hint="eastAsia"/>
                              <w:sz w:val="28"/>
                            </w:rPr>
                          </w:pPr>
                          <w:r>
                            <w:rPr>
                              <w:rStyle w:val="42"/>
                              <w:rFonts w:ascii="方正仿宋_GBK" w:hAnsi="方正仿宋_GBK" w:hint="eastAsia"/>
                              <w:sz w:val="28"/>
                            </w:rPr>
                            <w:t>－</w:t>
                          </w:r>
                          <w:r>
                            <w:rPr>
                              <w:rStyle w:val="42"/>
                              <w:rFonts w:ascii="方正仿宋_GBK" w:hAnsi="方正仿宋_GBK" w:hint="eastAsia"/>
                              <w:sz w:val="28"/>
                            </w:rPr>
                            <w:t xml:space="preserve"> </w:t>
                          </w:r>
                          <w:r>
                            <w:fldChar w:fldCharType="begin"/>
                          </w:r>
                          <w:r>
                            <w:rPr>
                              <w:rStyle w:val="42"/>
                              <w:rFonts w:ascii="宋体" w:eastAsia="宋体" w:hint="eastAsia"/>
                              <w:sz w:val="28"/>
                            </w:rPr>
                            <w:instrText>Page</w:instrText>
                          </w:r>
                          <w:r>
                            <w:fldChar w:fldCharType="separate"/>
                          </w:r>
                          <w:r>
                            <w:rPr>
                              <w:rStyle w:val="42"/>
                              <w:rFonts w:ascii="宋体" w:eastAsia="宋体" w:hint="eastAsia"/>
                              <w:sz w:val="28"/>
                            </w:rPr>
                            <w:t>2</w:t>
                          </w:r>
                          <w:r>
                            <w:fldChar w:fldCharType="end"/>
                          </w:r>
                          <w:r>
                            <w:t xml:space="preserve">  </w:t>
                          </w:r>
                          <w:r>
                            <w:rPr>
                              <w:rStyle w:val="42"/>
                              <w:rFonts w:ascii="方正仿宋_GBK" w:hAnsi="方正仿宋_GBK" w:hint="eastAsia"/>
                              <w:sz w:val="28"/>
                            </w:rPr>
                            <w:t>－</w:t>
                          </w:r>
                        </w:p>
                      </w:txbxContent>
                    </wps:txbx>
                    <wps:bodyPr vert="horz" wrap="none" lIns="0" tIns="0" rIns="0" bIns="0" anchor="t" anchorCtr="0" upright="1">
                      <a:spAutoFit/>
                    </wps:bodyPr>
                  </wps:wsp>
                </a:graphicData>
              </a:graphic>
            </wp:anchor>
          </w:drawing>
        </mc:Choice>
        <mc:Fallback>
          <w:pict>
            <v:rect type="#_x0000_t1" id="矩形 3" o:spid="_x0000_s3" filled="f" stroked="f" style="position:absolute;margin-left:0.0pt;margin-top:0.0pt;width:82.99996pt;height:20.989105pt;z-index:12;mso-position-horizontal:outside;mso-position-horizontal-relative:margin;mso-position-vertical:absolute;mso-wrap-distance-left:0.0pt;mso-wrap-distance-right:0.0pt;mso-wrap-style:none;">
              <v:stroke color="#000000"/>
              <v:textbox id="849" inset="0mm,0mm,0mm,0mm" o:insetmode="custom" style="layout-flow:horizontal;v-text-anchor:top;mso-fit-shape-to-text:t;">
                <w:txbxContent>
                  <w:p>
                    <w:pPr>
                      <w:pStyle w:val="33"/>
                      <w:tabs>
                        <w:tab w:val="center" w:pos="4153"/>
                        <w:tab w:val="right" w:pos="8306"/>
                      </w:tabs>
                      <w:ind w:leftChars="100" w:left="320" w:rightChars="100" w:right="320"/>
                      <w:rPr>
                        <w:rStyle w:val="42"/>
                        <w:rFonts w:ascii="方正仿宋_GBK" w:hAnsi="方正仿宋_GBK" w:hint="eastAsia"/>
                        <w:sz w:val="28"/>
                      </w:rPr>
                    </w:pPr>
                    <w:r>
                      <w:rPr>
                        <w:rStyle w:val="42"/>
                        <w:rFonts w:ascii="方正仿宋_GBK" w:hAnsi="方正仿宋_GBK" w:hint="eastAsia"/>
                        <w:sz w:val="28"/>
                      </w:rPr>
                      <w:t>－</w:t>
                    </w:r>
                    <w:r>
                      <w:rPr>
                        <w:rStyle w:val="42"/>
                        <w:rFonts w:ascii="方正仿宋_GBK" w:hAnsi="方正仿宋_GBK" w:hint="eastAsia"/>
                        <w:sz w:val="28"/>
                      </w:rPr>
                      <w:t xml:space="preserve"> </w:t>
                    </w:r>
                    <w:r>
                      <w:fldChar w:fldCharType="begin"/>
                    </w:r>
                    <w:r>
                      <w:rPr>
                        <w:rStyle w:val="42"/>
                        <w:rFonts w:ascii="宋体" w:eastAsia="宋体" w:hint="eastAsia"/>
                        <w:sz w:val="28"/>
                      </w:rPr>
                      <w:instrText>Page</w:instrText>
                    </w:r>
                    <w:r>
                      <w:fldChar w:fldCharType="separate"/>
                    </w:r>
                    <w:r>
                      <w:rPr>
                        <w:rStyle w:val="42"/>
                        <w:rFonts w:ascii="宋体" w:eastAsia="宋体" w:hint="eastAsia"/>
                        <w:sz w:val="28"/>
                      </w:rPr>
                      <w:t>2</w:t>
                    </w:r>
                    <w:r>
                      <w:fldChar w:fldCharType="end"/>
                    </w:r>
                    <w:r>
                      <w:t xml:space="preserve">  </w:t>
                    </w:r>
                    <w:r>
                      <w:rPr>
                        <w:rStyle w:val="42"/>
                        <w:rFonts w:ascii="方正仿宋_GBK" w:hAnsi="方正仿宋_GBK" w:hint="eastAsia"/>
                        <w:sz w:val="28"/>
                      </w:rPr>
                      <w:t>－</w:t>
                    </w:r>
                  </w:p>
                </w:txbxContent>
              </v:textbox>
              <w10:wrap type="square"/>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33"/>
      <w:tabs>
        <w:tab w:val="center" w:pos="4153"/>
        <w:tab w:val="right" w:pos="8306"/>
      </w:tabs>
      <w:ind w:right="360" w:firstLine="360"/>
    </w:pPr>
    <w:r>
      <mc:AlternateContent>
        <mc:Choice Requires="wps">
          <w:drawing>
            <wp:anchor distT="0" distB="0" distL="0" distR="0" simplePos="0" relativeHeight="11" behindDoc="0" locked="0" layoutInCell="1" hidden="0" allowOverlap="1">
              <wp:simplePos x="0" y="0"/>
              <wp:positionH relativeFrom="margin">
                <wp:align>outside</wp:align>
              </wp:positionH>
              <wp:positionV relativeFrom="paragraph">
                <wp:posOffset>0</wp:posOffset>
              </wp:positionV>
              <wp:extent cx="622300" cy="266560"/>
              <wp:effectExtent l="0" t="0" r="0" b="0"/>
              <wp:wrapSquare wrapText="bothSides"/>
              <wp:docPr id="4" name="矩形 4"/>
              <wp:cNvGraphicFramePr>
                <a:graphicFrameLocks noChangeAspect="0"/>
              </wp:cNvGraphicFramePr>
              <a:graphic>
                <a:graphicData uri="http://schemas.microsoft.com/office/word/2010/wordprocessingShape">
                  <wps:wsp>
                    <wps:cNvSpPr/>
                    <wps:spPr>
                      <a:xfrm rot="0">
                        <a:off x="0" y="0"/>
                        <a:ext cx="622300" cy="266560"/>
                      </a:xfrm>
                      <a:prstGeom prst="rect"/>
                      <a:noFill/>
                      <a:ln w="9525" cmpd="sng" cap="flat">
                        <a:noFill/>
                        <a:prstDash val="solid"/>
                        <a:miter/>
                      </a:ln>
                    </wps:spPr>
                    <wps:txbx id="5">
                      <w:txbxContent>
                        <w:p>
                          <w:pPr>
                            <w:pStyle w:val="33"/>
                            <w:tabs>
                              <w:tab w:val="center" w:pos="4153"/>
                              <w:tab w:val="right" w:pos="8306"/>
                            </w:tabs>
                            <w:rPr>
                              <w:rStyle w:val="42"/>
                              <w:rFonts w:hint="eastAsia"/>
                              <w:sz w:val="28"/>
                            </w:rPr>
                          </w:pPr>
                          <w:r>
                            <w:rPr>
                              <w:rStyle w:val="42"/>
                              <w:rFonts w:hint="eastAsia"/>
                              <w:sz w:val="28"/>
                            </w:rPr>
                            <w:t xml:space="preserve">－ </w:t>
                          </w:r>
                          <w:r>
                            <w:fldChar w:fldCharType="begin"/>
                          </w:r>
                          <w:r>
                            <w:rPr>
                              <w:rStyle w:val="42"/>
                              <w:sz w:val="28"/>
                            </w:rPr>
                            <w:instrText>Page</w:instrText>
                          </w:r>
                          <w:r>
                            <w:fldChar w:fldCharType="separate"/>
                          </w:r>
                          <w:r>
                            <w:rPr>
                              <w:rStyle w:val="42"/>
                              <w:sz w:val="28"/>
                            </w:rPr>
                            <w:t>1</w:t>
                          </w:r>
                          <w:r>
                            <w:fldChar w:fldCharType="end"/>
                          </w:r>
                          <w:r>
                            <w:rPr>
                              <w:rStyle w:val="42"/>
                              <w:rFonts w:hint="eastAsia"/>
                              <w:sz w:val="28"/>
                            </w:rPr>
                            <w:t xml:space="preserve"> －</w:t>
                          </w:r>
                        </w:p>
                      </w:txbxContent>
                    </wps:txbx>
                    <wps:bodyPr vert="horz" wrap="none" lIns="0" tIns="0" rIns="0" bIns="0" anchor="t" anchorCtr="0" upright="1">
                      <a:spAutoFit/>
                    </wps:bodyPr>
                  </wps:wsp>
                </a:graphicData>
              </a:graphic>
            </wp:anchor>
          </w:drawing>
        </mc:Choice>
        <mc:Fallback>
          <w:pict>
            <v:rect type="#_x0000_t1" id="矩形 6" o:spid="_x0000_s6" filled="f" stroked="f" style="position:absolute;margin-left:0.0pt;margin-top:0.0pt;width:49.0pt;height:20.989048pt;z-index:11;mso-position-horizontal:outside;mso-position-horizontal-relative:margin;mso-position-vertical:absolute;mso-wrap-distance-left:0.0pt;mso-wrap-distance-right:0.0pt;mso-wrap-style:none;">
              <v:stroke color="#000000"/>
              <v:textbox id="848" inset="0mm,0mm,0mm,0mm" o:insetmode="custom" style="layout-flow:horizontal;v-text-anchor:top;mso-fit-shape-to-text:t;">
                <w:txbxContent>
                  <w:p>
                    <w:pPr>
                      <w:pStyle w:val="33"/>
                      <w:tabs>
                        <w:tab w:val="center" w:pos="4153"/>
                        <w:tab w:val="right" w:pos="8306"/>
                      </w:tabs>
                      <w:rPr>
                        <w:rStyle w:val="42"/>
                        <w:rFonts w:hint="eastAsia"/>
                        <w:sz w:val="28"/>
                      </w:rPr>
                    </w:pPr>
                    <w:r>
                      <w:rPr>
                        <w:rStyle w:val="42"/>
                        <w:rFonts w:hint="eastAsia"/>
                        <w:sz w:val="28"/>
                      </w:rPr>
                      <w:t xml:space="preserve">－ </w:t>
                    </w:r>
                    <w:r>
                      <w:fldChar w:fldCharType="begin"/>
                    </w:r>
                    <w:r>
                      <w:rPr>
                        <w:rStyle w:val="42"/>
                        <w:sz w:val="28"/>
                      </w:rPr>
                      <w:instrText>Page</w:instrText>
                    </w:r>
                    <w:r>
                      <w:fldChar w:fldCharType="separate"/>
                    </w:r>
                    <w:r>
                      <w:rPr>
                        <w:rStyle w:val="42"/>
                        <w:sz w:val="28"/>
                      </w:rPr>
                      <w:t>1</w:t>
                    </w:r>
                    <w:r>
                      <w:fldChar w:fldCharType="end"/>
                    </w:r>
                    <w:r>
                      <w:rPr>
                        <w:rStyle w:val="42"/>
                        <w:rFonts w:hint="eastAsia"/>
                        <w:sz w:val="28"/>
                      </w:rPr>
                      <w:t xml:space="preserve"> －</w:t>
                    </w:r>
                  </w:p>
                </w:txbxContent>
              </v:textbox>
              <w10:wrap type="square"/>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8">
    <w:name w:val="index 8"/>
    <w:basedOn w:val="0"/>
    <w:autoRedefine/>
    <w:next w:val="0"/>
    <w:pPr>
      <w:ind w:left="2940"/>
    </w:pPr>
  </w:style>
  <w:style w:type="paragraph" w:styleId="33">
    <w:name w:val="footer"/>
    <w:next w:val="16"/>
    <w:pPr>
      <w:widowControl w:val="0"/>
      <w:tabs>
        <w:tab w:val="center" w:pos="4153"/>
        <w:tab w:val="right" w:pos="8306"/>
      </w:tabs>
      <w:snapToGrid w:val="0"/>
      <w:jc w:val="left"/>
    </w:pPr>
    <w:rPr>
      <w:rFonts w:ascii="Times New Roman" w:eastAsia="方正仿宋_GBK" w:cs="Times New Roman" w:hAnsi="Times New Roman"/>
      <w:kern w:val="2"/>
      <w:sz w:val="18"/>
      <w:lang w:val="en-US" w:eastAsia="zh-CN" w:bidi="ar-SA"/>
    </w:rPr>
  </w:style>
  <w:style w:type="character" w:styleId="42">
    <w:name w:val="page number"/>
  </w:style>
  <w:style w:type="paragraph" w:styleId="92">
    <w:name w:val="Normal (Web)"/>
    <w:next w:val="18"/>
    <w:pPr>
      <w:widowControl w:val="0"/>
      <w:spacing w:before="100" w:beforeAutospacing="1" w:after="100" w:afterAutospacing="1"/>
      <w:ind w:left="0" w:right="0"/>
      <w:jc w:val="left"/>
    </w:pPr>
    <w:rPr>
      <w:rFonts w:ascii="Times New Roman" w:eastAsia="方正仿宋_GBK" w:cs="Times New Roman" w:hAnsi="Times New Roman"/>
      <w:kern w:val="0"/>
      <w:sz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4</Pages>
  <Words>2367</Words>
  <Characters>2497</Characters>
  <Lines>101</Lines>
  <Paragraphs>23</Paragraphs>
  <CharactersWithSpaces>2497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2025-07-14T08:24:52Z</dcterms:created>
  <dcterms:modified xsi:type="dcterms:W3CDTF">2025-07-14T08:34:14Z</dcterms:modified>
</cp:coreProperties>
</file>