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600" w:lineRule="exact"/>
      </w:pPr>
    </w:p>
    <w:p>
      <w:pPr>
        <w:spacing w:line="600" w:lineRule="exact"/>
      </w:pPr>
    </w:p>
    <w:p>
      <w:pPr>
        <w:snapToGrid w:val="0"/>
        <w:spacing w:line="540" w:lineRule="exact"/>
        <w:ind w:left="0"/>
        <w:jc w:val="center"/>
        <w:rPr>
          <w:rFonts w:eastAsia="方正小标宋_GBK" w:cs="宋体" w:hint="eastAsia"/>
          <w:color w:val="000000"/>
          <w:kern w:val="0"/>
          <w:sz w:val="44"/>
          <w:szCs w:val="44"/>
          <w:lang w:bidi="ar-SA"/>
        </w:rPr>
      </w:pPr>
      <w:r>
        <w:rPr>
          <w:rFonts w:eastAsia="方正小标宋_GBK" w:cs="宋体" w:hint="eastAsia"/>
          <w:color w:val="000000"/>
          <w:kern w:val="0"/>
          <w:sz w:val="44"/>
          <w:szCs w:val="44"/>
          <w:lang w:bidi="ar-SA"/>
        </w:rPr>
        <w:t>重庆市江津区应急管理局</w:t>
      </w:r>
    </w:p>
    <w:p>
      <w:pPr>
        <w:snapToGrid w:val="0"/>
        <w:spacing w:line="540" w:lineRule="exact"/>
        <w:jc w:val="center"/>
        <w:rPr>
          <w:rFonts w:eastAsia="方正小标宋_GBK"/>
          <w:color w:val="000000"/>
          <w:spacing w:val="-10"/>
          <w:sz w:val="44"/>
          <w:szCs w:val="44"/>
        </w:rPr>
      </w:pPr>
      <w:r>
        <w:rPr>
          <w:rFonts w:eastAsia="方正小标宋_GBK" w:hint="eastAsia"/>
          <w:color w:val="000000"/>
          <w:spacing w:val="-10"/>
          <w:sz w:val="44"/>
          <w:szCs w:val="44"/>
        </w:rPr>
        <w:t>关于印发江津区工贸企业安全生产分类分级</w:t>
      </w:r>
    </w:p>
    <w:p>
      <w:pPr>
        <w:snapToGrid w:val="0"/>
        <w:spacing w:line="540" w:lineRule="exact"/>
        <w:jc w:val="center"/>
        <w:rPr>
          <w:rFonts w:eastAsia="方正小标宋_GBK"/>
          <w:color w:val="000000"/>
          <w:spacing w:val="-10"/>
          <w:sz w:val="44"/>
          <w:szCs w:val="44"/>
        </w:rPr>
      </w:pPr>
      <w:r>
        <w:rPr>
          <w:rFonts w:eastAsia="方正小标宋_GBK" w:hint="eastAsia"/>
          <w:color w:val="000000"/>
          <w:spacing w:val="-10"/>
          <w:sz w:val="44"/>
          <w:szCs w:val="44"/>
        </w:rPr>
        <w:t>监督检查办法（试行）的通知</w:t>
      </w:r>
    </w:p>
    <w:p>
      <w:pPr>
        <w:snapToGrid w:val="0"/>
        <w:spacing w:line="540" w:lineRule="exact"/>
        <w:jc w:val="center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津应急发〔2023〕87号</w:t>
      </w:r>
    </w:p>
    <w:p>
      <w:pPr>
        <w:snapToGrid w:val="0"/>
        <w:jc w:val="center"/>
        <w:rPr>
          <w:rFonts w:ascii="Times New Roman" w:eastAsia="方正仿宋_GBK" w:hAnsi="Times New Roman" w:hint="eastAsia"/>
          <w:color w:val="000000"/>
          <w:spacing w:val="-10"/>
          <w:sz w:val="32"/>
          <w:szCs w:val="32"/>
        </w:rPr>
      </w:pPr>
    </w:p>
    <w:p>
      <w:pPr>
        <w:snapToGrid/>
        <w:spacing w:line="600" w:lineRule="exac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各镇人民政府、街道办事处、工业（农业）园发展中心：</w:t>
      </w:r>
    </w:p>
    <w:p>
      <w:pPr>
        <w:snapToGrid/>
        <w:spacing w:line="600" w:lineRule="exact"/>
        <w:ind w:left="0"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现将《江津区工贸企业安全生产分类分级监督检查办法（试</w:t>
      </w:r>
      <w:bookmarkStart w:id="0" w:name="_GoBack"/>
      <w:bookmarkEnd w:id="0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行）》印发你们，请遵照执行。</w:t>
      </w:r>
    </w:p>
    <w:p>
      <w:pPr>
        <w:snapToGrid/>
        <w:spacing w:line="600" w:lineRule="exact"/>
        <w:ind w:firstLineChars="250" w:firstLine="80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>
      <w:pPr>
        <w:snapToGrid/>
        <w:spacing w:line="600" w:lineRule="exact"/>
        <w:ind w:firstLineChars="250" w:firstLine="800"/>
        <w:rPr>
          <w:rFonts w:ascii="Times New Roman" w:eastAsia="方正仿宋_GBK" w:hAnsi="Times New Roman" w:hint="eastAsia"/>
          <w:color w:val="000000"/>
          <w:sz w:val="32"/>
          <w:szCs w:val="32"/>
        </w:rPr>
      </w:pPr>
    </w:p>
    <w:p>
      <w:pPr>
        <w:wordWrap w:val="0"/>
        <w:snapToGrid/>
        <w:spacing w:line="600" w:lineRule="exact"/>
        <w:ind w:rightChars="200" w:right="420"/>
        <w:jc w:val="righ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重庆市江津区应急管理局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>
      <w:pPr>
        <w:wordWrap w:val="0"/>
        <w:snapToGrid/>
        <w:spacing w:line="600" w:lineRule="exact"/>
        <w:ind w:left="0" w:rightChars="200" w:right="420" w:firstLineChars="1700" w:firstLine="5440"/>
        <w:jc w:val="righ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2023年10月</w:t>
      </w:r>
      <w:r>
        <w:rPr>
          <w:rFonts w:ascii="Times New Roman" w:eastAsia="方正仿宋_GBK" w:hAnsi="Times New Roman" w:hint="eastAsia"/>
          <w:color w:val="000000"/>
          <w:sz w:val="32"/>
          <w:szCs w:val="32"/>
          <w:lang w:val="en-US" w:eastAsia="zh-CN"/>
        </w:rPr>
        <w:t>16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</w:p>
    <w:p>
      <w:pPr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  (此件公开发布）</w:t>
      </w:r>
    </w:p>
    <w:p>
      <w:pPr>
        <w:snapToGrid w:val="0"/>
        <w:spacing w:line="540" w:lineRule="exact"/>
        <w:jc w:val="center"/>
        <w:rPr>
          <w:rFonts w:eastAsia="方正小标宋_GBK"/>
          <w:color w:val="000000"/>
          <w:spacing w:val="-10"/>
          <w:sz w:val="44"/>
          <w:szCs w:val="44"/>
        </w:rPr>
      </w:pPr>
      <w:r>
        <w:rPr>
          <w:color w:val="000000"/>
        </w:rPr>
        <w:br w:type="column"/>
      </w:r>
      <w:r>
        <w:rPr>
          <w:rFonts w:eastAsia="方正小标宋_GBK" w:hint="eastAsia"/>
          <w:color w:val="000000"/>
          <w:spacing w:val="-10"/>
          <w:sz w:val="44"/>
          <w:szCs w:val="44"/>
        </w:rPr>
        <w:t>江津区工贸企业安全生产分类分级</w:t>
      </w:r>
    </w:p>
    <w:p>
      <w:pPr>
        <w:snapToGrid w:val="0"/>
        <w:spacing w:line="540" w:lineRule="exact"/>
        <w:jc w:val="center"/>
        <w:rPr>
          <w:rFonts w:eastAsia="方正小标宋_GBK"/>
          <w:color w:val="000000"/>
          <w:spacing w:val="-10"/>
          <w:sz w:val="44"/>
          <w:szCs w:val="44"/>
        </w:rPr>
      </w:pPr>
      <w:r>
        <w:rPr>
          <w:rFonts w:eastAsia="方正小标宋_GBK" w:hint="eastAsia"/>
          <w:color w:val="000000"/>
          <w:spacing w:val="-10"/>
          <w:sz w:val="44"/>
          <w:szCs w:val="44"/>
        </w:rPr>
        <w:t>监督检查办法（试行）</w:t>
      </w:r>
    </w:p>
    <w:p>
      <w:pPr>
        <w:snapToGrid w:val="0"/>
        <w:spacing w:line="600" w:lineRule="exact"/>
        <w:jc w:val="center"/>
        <w:rPr>
          <w:rFonts w:eastAsia="方正小标宋_GBK"/>
          <w:color w:val="000000"/>
          <w:spacing w:val="-1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黑体_GBK" w:eastAsia="方正黑体_GBK" w:cs="方正仿宋_GBK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  <w:lang w:bidi="ar-SA"/>
        </w:rPr>
        <w:t>第一章  总则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第一条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 xml:space="preserve">  为营造良好的营商环境并加强全区工贸企业安全生产监督检查工作，既避免重复检查或不必要的检查，又防止漏管失控，形成规范有序、重点突出、精准管理的监督检查模式，推动落实安全生产主体责任，预防和减少生产安全事故，根据《中华人民共和国安全生产法》、《应急管理部关于加强安全生产执法工作的意见》（应急〔2021〕23号）和《重庆市应急管理分类分级执法暂行办法》（渝应急发〔2023〕46号）等规定，结合江津实际，制定本办法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第二条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本办法适用于区应急局、镇街、工业（农业）园发展中心依法对冶金、有色、建材、机械、轻工、纺织、烟草、商贸企业（生产经营单位）实施的监督检查（现场检查、现场处理、执法检查、行政处罚、行政强制等）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第三条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本办法所称分类分级是指根据国民经济类型、隶属关系、安全生产标准化等级、生产工艺等进行分类，根据企业发生生产安全事故的风险程度进行分级。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第四条</w:t>
      </w:r>
      <w:r>
        <w:rPr>
          <w:rFonts w:ascii="Times New Roman" w:eastAsia="方正仿宋_GBK" w:cs="黑体" w:hAnsi="Times New Roman" w:hint="eastAsia"/>
          <w:color w:val="000000"/>
          <w:sz w:val="32"/>
          <w:szCs w:val="32"/>
          <w:lang w:bidi="ar-SA"/>
        </w:rPr>
        <w:t xml:space="preserve"> 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监督检查是安全监管的重要组成部分，监督检查工作不代替监管责任。</w:t>
      </w:r>
    </w:p>
    <w:p>
      <w:pPr>
        <w:snapToGrid w:val="0"/>
        <w:spacing w:line="600" w:lineRule="exact"/>
        <w:jc w:val="center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第二章  分类</w:t>
      </w:r>
    </w:p>
    <w:p>
      <w:pPr>
        <w:pStyle w:val="23"/>
        <w:spacing w:after="0" w:line="600" w:lineRule="exact"/>
        <w:ind w:firstLineChars="200" w:firstLine="640"/>
        <w:jc w:val="both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第五条</w:t>
      </w:r>
      <w:r>
        <w:rPr>
          <w:rFonts w:ascii="Times New Roman" w:eastAsia="方正仿宋_GBK" w:cs="黑体" w:hAnsi="Times New Roman" w:hint="eastAsia"/>
          <w:color w:val="000000"/>
          <w:sz w:val="32"/>
          <w:szCs w:val="32"/>
          <w:lang w:bidi="ar-SA"/>
        </w:rPr>
        <w:t xml:space="preserve">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根据国民经济类型、隶属关系，划分为在津中央企业、市属国企和其他企业。</w:t>
      </w:r>
    </w:p>
    <w:p>
      <w:pPr>
        <w:spacing w:line="600" w:lineRule="exact"/>
        <w:ind w:firstLineChars="200" w:firstLine="640"/>
        <w:rPr>
          <w:rFonts w:ascii="Times New Roman" w:eastAsia="方正仿宋_GBK" w:cs="黑体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第六条</w:t>
      </w:r>
      <w:r>
        <w:rPr>
          <w:rFonts w:ascii="Times New Roman" w:eastAsia="方正仿宋_GBK" w:cs="黑体" w:hAnsi="Times New Roman" w:hint="eastAsia"/>
          <w:color w:val="000000"/>
          <w:sz w:val="32"/>
          <w:szCs w:val="32"/>
          <w:lang w:bidi="ar-SA"/>
        </w:rPr>
        <w:t xml:space="preserve">  依据《工贸企业重大事故隐患判定标准》（第10号令），按照生产工艺危险程度划分为金属冶炼（熔融金属）、粉尘涉爆、液氨制冷、中毒风险的有限空间作业和其他企业。</w:t>
      </w:r>
    </w:p>
    <w:p>
      <w:pPr>
        <w:snapToGrid w:val="0"/>
        <w:spacing w:line="600" w:lineRule="exact"/>
        <w:jc w:val="center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第三章  分级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cs="黑体" w:hAnsi="Times New Roman" w:hint="eastAsia"/>
          <w:color w:val="000000"/>
          <w:sz w:val="32"/>
          <w:szCs w:val="32"/>
          <w:lang w:bidi="ar-SA"/>
        </w:rPr>
        <w:t xml:space="preserve">第七条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满足下列条件之一的，企业安全风险等级从低到高划分为A、B、C、D四级，A级为低风险、B级为一般风险、C级为较大风险、D级为重大风险。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A级企业：在津中央企业、市属国企、安全生产标准化二级以上、安全生产标准化三级不满一年、安全管理体系健全、安全生产条件好等企业。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B级企业：近三年内未发生生产安全亡人事故、安全生产标准化三级满一年、安全管理体系基本健全、安全生产条件较好等企业。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C级企业：金属冶炼（熔炼和铸造场所单班最高作业人数）3人以下、液氨制冷（</w:t>
      </w:r>
      <w:r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  <w:t>快速冻结装置作业间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单班最高作业人数</w:t>
      </w:r>
      <w:r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  <w:t>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3人以下、粉尘涉爆（除尘系统关联场所单班最高涉粉作业人数）3人以下的铝镁金属粉尘企业和单班作业10人以下的其他粉尘企业、非安全生产标准化等级（规上）、</w:t>
      </w:r>
      <w:r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  <w:t>试生产或者复工复产、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安全生产条件较差等企业。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D级企业：金属冶炼3人以上、液氨制冷3人以上的、粉尘涉爆3人以上铝镁金属粉尘企业和10人以上的其他粉尘企业、重大危险源、中毒风险的有限空间作业（</w:t>
      </w:r>
      <w:r>
        <w:rPr>
          <w:rFonts w:ascii="Times New Roman" w:eastAsia="方正仿宋_GBK" w:cs="Arial" w:hAnsi="Times New Roman" w:hint="eastAsia"/>
          <w:color w:val="000000"/>
          <w:sz w:val="32"/>
          <w:szCs w:val="32"/>
          <w:shd w:val="clear" w:color="auto" w:fill="FFFFFF"/>
          <w:lang w:bidi="ar-SA"/>
        </w:rPr>
        <w:t>蔬菜腌制、皮革、毛皮、羽毛（绒）加工、造纸和印染）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、纳入安全生产失信惩戒对象、近三年内曾发生生产安全亡人事故、存在重大事故隐患未按期整改销号、停产整顿、技改基建等企业。</w:t>
      </w:r>
    </w:p>
    <w:p>
      <w:pPr>
        <w:spacing w:line="600" w:lineRule="exact"/>
        <w:ind w:firstLineChars="200" w:firstLine="640"/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同时满足不同等级的，</w:t>
      </w:r>
      <w:r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  <w:t>依据事故可能发生的程度和事故后果的危害程度，按照“靠近”高风险等级确定（如A+D确定为C，A+C确定为B，A+B确定为B）。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cs="宋体" w:hAnsi="Times New Roman" w:hint="eastAsia"/>
          <w:color w:val="000000"/>
          <w:sz w:val="32"/>
          <w:szCs w:val="32"/>
          <w:lang w:bidi="ar-SA"/>
        </w:rPr>
        <w:t>涉及危险化学品、消防（火灾）、燃气、特种设备等方面的企业根据相关标准规范参照确定。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 xml:space="preserve">第八条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各镇街、工业（农业）园发展中心根据摸底排查、监督检查或依托服务机构（专家）检查情况，按照第七条进行分级。发现有新增D级企业，应当立即报区应急管理局。及时更新工贸企业安全生产分类分级台账并报区应急管理局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第九条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企业安全风险分级实行动态管理，原则上一年内调级不超过一次。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（一）存在下列情形之一的，可对其安全风险予以降低一级。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1. 获得安全生产标准化等级；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2. 安全生产标准化等级提高的。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（二）存在下列情形之一的，对其安全风险予以上调一级。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1. 当年发生导致人员重伤的生产安全责任事故，且在事故中承担主要责任的；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2. 一年内受到2次以上安全生产行政处罚的； 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3. 同类型企业发生较大及以上事故，本企业仍存在类似安全隐患的。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（三）存在下列情形之一的，安全风险直接上调为D级。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1. 发生导致人员死亡的生产安全责任事故，且在事故中承担主要责任的；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2. 挂牌督办的重大事故隐患整改经验收不合格擅自恢复生产的；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3. 存在重大事故隐患未按期整改销号的。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存在有下列情形之一的，退出安全生产分级监督检查。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（一）依法被吊销工商营业执照或者被注销登记的；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（二）被依法宣告破产或者被撤销、解散的；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（三）被依法责令关闭或者取缔的；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（四）歇业或者停止生产经营活动满1年的；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（五）已搬离辖区的；</w:t>
      </w:r>
    </w:p>
    <w:p>
      <w:pPr>
        <w:spacing w:line="600" w:lineRule="exact"/>
        <w:ind w:firstLineChars="200" w:firstLine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（六）其他应当退出安全生产分类分级监管的。</w:t>
      </w:r>
    </w:p>
    <w:p>
      <w:pPr>
        <w:snapToGrid w:val="0"/>
        <w:spacing w:line="600" w:lineRule="exact"/>
        <w:jc w:val="center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第四章  监督检查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第十一条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区应急局和各镇街、工业（农业）园发展中心应当根据安全风险分级情况，对A、B、C、D级企业在监督检查频次、执法检查重点事项等方面实行差异化。</w:t>
      </w:r>
    </w:p>
    <w:p>
      <w:pPr>
        <w:pStyle w:val="23"/>
        <w:spacing w:after="0" w:line="600" w:lineRule="exact"/>
        <w:ind w:firstLineChars="200" w:firstLine="640"/>
        <w:jc w:val="both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（一）A级企业：实行自我管理为主，可以不进行监督检查；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（二）B级企业：实行服务指导和抽查检查，原则上不得在一年内安排多次监督检查，3年内不少于1次监督检查； 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（三）C级企业：实行动态监督检查，推动企业改善安全生产条件，原则上每年不少于1次监督检查，必要时可适当增加频次；</w:t>
      </w:r>
    </w:p>
    <w:p>
      <w:pPr>
        <w:spacing w:line="60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（四）D级企业：实行重点盯守，不具备安全生产条件或重大事故隐患未落实整改措施不得生产作业，原则上每年不少于2次监督检查，督促企业采取有效的安全风险管控措施，努力降低安全风险。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第十二条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编制年度安全生产监督检查（不限于执法）计划时，应加强沟通、有效衔接，及时征求上下级意见建议，避免重复检查和检查缺位。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第十三条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 xml:space="preserve">  监督检查频次全区总体不得低于最低频次，对C级、D级企业，每年全区总体实现监督检查“全覆盖”，区应急局没有纳入监督检查计划的，各镇街、工业（农业）园发展中心应当纳入监督检查计划。对B级企业，按照每年不少于三分之一的要求纳入监督检查计划。辖区企业少的单位可适当增加频次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第十四条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 xml:space="preserve">  区应急局于每年将监督检查计划的企业名单告知各镇街、工业（农业）园发展中心。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各镇街、工业（农业）园发展中心及时将本单位年度监督检查计划的企业名单（区应急局告知名单之外的企业）报区应急局备案。</w:t>
      </w:r>
    </w:p>
    <w:p>
      <w:pPr>
        <w:spacing w:line="600" w:lineRule="exact"/>
        <w:ind w:firstLineChars="200" w:firstLine="640"/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第十五条</w:t>
      </w:r>
      <w:r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  <w:t xml:space="preserve">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对暴露出的严重违法行为或落实临时性重点任务、专项整治行动以及通过投诉举报、转办交办等发现的问题，要及时开展监督检查，不受监督检查计划和分类分级对象限制。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第十六条</w:t>
      </w:r>
      <w:r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  <w:t xml:space="preserve"> 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各镇街、工业（农业）园发展中心认为案情重大、复杂，需由区应急局办理的行政处罚案件，可以移送区应急管理局办理。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第十七条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 xml:space="preserve">  分类分级监督检查情况列为区安委会综合督导检查、专项督导检查重要内容，并纳入年度安全生产考核。</w:t>
      </w:r>
    </w:p>
    <w:p>
      <w:pPr>
        <w:snapToGrid w:val="0"/>
        <w:spacing w:line="600" w:lineRule="exact"/>
        <w:jc w:val="center"/>
        <w:rPr>
          <w:rFonts w:ascii="方正黑体_GBK" w:eastAsia="方正黑体_GBK" w:cs="方正仿宋_GBK" w:hint="eastAsia"/>
          <w:color w:val="000000"/>
          <w:sz w:val="32"/>
          <w:szCs w:val="32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第五章 附则</w:t>
      </w:r>
    </w:p>
    <w:p>
      <w:pPr>
        <w:spacing w:line="600" w:lineRule="exact"/>
        <w:ind w:firstLineChars="200" w:firstLine="640"/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第十八条</w:t>
      </w:r>
      <w:r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  <w:t xml:space="preserve">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本办法自发布之日起实施，法律法规规章和上级规范性文件另有规定的，从其规定。</w:t>
      </w:r>
    </w:p>
    <w:p>
      <w:pPr>
        <w:spacing w:line="600" w:lineRule="exact"/>
        <w:ind w:firstLineChars="200" w:firstLine="640"/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</w:pPr>
      <w:r>
        <w:rPr>
          <w:rFonts w:ascii="方正黑体_GBK" w:eastAsia="方正黑体_GBK" w:cs="方正仿宋_GBK" w:hint="eastAsia"/>
          <w:color w:val="000000"/>
          <w:sz w:val="32"/>
          <w:szCs w:val="32"/>
        </w:rPr>
        <w:t>第十九条</w:t>
      </w:r>
      <w:r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  <w:t xml:space="preserve"> 本办法所称“以下”不含本数、“以上”含本数。</w:t>
      </w:r>
    </w:p>
    <w:p>
      <w:pPr>
        <w:spacing w:line="600" w:lineRule="exact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cs="方正黑体_GBK" w:hAnsi="Times New Roman" w:hint="eastAsia"/>
          <w:color w:val="000000"/>
          <w:sz w:val="32"/>
          <w:szCs w:val="32"/>
          <w:lang w:bidi="ar-SA"/>
        </w:rPr>
        <w:t xml:space="preserve">第二十条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  <w:lang w:bidi="ar-SA"/>
        </w:rPr>
        <w:t>本办法由重庆市江津区应急管理局负责解释。</w:t>
      </w:r>
    </w:p>
    <w:sectPr>
      <w:headerReference w:type="default" r:id="rId2"/>
      <w:headerReference w:type="even" r:id="rId3"/>
      <w:footerReference w:type="default" r:id="rId4"/>
      <w:footerReference w:type="even" r:id="rId5"/>
      <w:pgSz w:w="11906" w:h="16838"/>
      <w:pgMar w:top="1962" w:right="1474" w:bottom="1848" w:left="1588" w:header="851" w:footer="992" w:gutter="0"/>
      <w:pgNumType w:fmt="numberInDash"/>
      <w:docGrid w:type="lines" w:linePitch="31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rPr>
        <w:rFonts w:ascii="宋体" w:cs="宋体"/>
        <w:b/>
        <w:bCs/>
        <w:color w:val="005192"/>
        <w:sz w:val="32"/>
        <w:szCs w:val="44"/>
      </w:rPr>
    </w:pPr>
    <w:r>
      <w:rPr>
        <w:sz w:val="32"/>
      </w:rPr>
      <mc:AlternateContent>
        <mc:Choice Requires="wps">
          <w:drawing>
            <wp:anchor distT="0" distB="0" distL="114297" distR="114297" simplePos="0" relativeHeight="18" behindDoc="0" locked="0" layoutInCell="1" hidden="0" allowOverlap="1">
              <wp:simplePos x="0" y="0"/>
              <wp:positionH relativeFrom="margin">
                <wp:posOffset>5142850</wp:posOffset>
              </wp:positionH>
              <wp:positionV relativeFrom="paragraph">
                <wp:posOffset>31146</wp:posOffset>
              </wp:positionV>
              <wp:extent cx="444499" cy="230505"/>
              <wp:effectExtent l="0" t="0" r="0" b="0"/>
              <wp:wrapNone/>
              <wp:docPr id="11" name="文本框 1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1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3" o:spid="_x0000_s13" filled="f" stroked="f" style="position:absolute;margin-left:404.94882pt;margin-top:2.4524772pt;width:34.999985pt;height:18.15pt;z-index:18;mso-position-horizontal:absolute;mso-position-horizontal-relative:margin;mso-position-vertical:absolute;mso-wrap-distance-left:8.99983pt;mso-wrap-distance-right:8.9998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  <w:tabs>
        <w:tab w:val="center" w:pos="4153"/>
        <w:tab w:val="right" w:pos="8306"/>
      </w:tabs>
      <w:rPr>
        <w:rFonts w:ascii="宋体" w:cs="宋体"/>
        <w:b/>
        <w:bCs/>
        <w:color w:val="005192"/>
        <w:sz w:val="32"/>
        <w:szCs w:val="44"/>
      </w:rPr>
    </w:pPr>
    <w:r>
      <w:rPr>
        <w:rFonts w:ascii="宋体" w:cs="宋体"/>
        <w:b/>
        <w:bCs/>
        <w:color w:val="005192"/>
        <w:sz w:val="32"/>
        <w:szCs w:val="44"/>
      </w:rPr>
      <mc:AlternateContent>
        <mc:Choice Requires="wps">
          <w:drawing>
            <wp:anchor distT="0" distB="0" distL="114297" distR="114297" simplePos="0" relativeHeight="20" behindDoc="0" locked="0" layoutInCell="1" hidden="0" allowOverlap="1">
              <wp:simplePos x="0" y="0"/>
              <wp:positionH relativeFrom="column">
                <wp:posOffset>5143</wp:posOffset>
              </wp:positionH>
              <wp:positionV relativeFrom="paragraph">
                <wp:posOffset>137824</wp:posOffset>
              </wp:positionV>
              <wp:extent cx="5616575" cy="1904"/>
              <wp:effectExtent l="0" t="0" r="0" b="0"/>
              <wp:wrapNone/>
              <wp:docPr id="14" name="直线 1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6575" cy="1904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5" o:spid="_x0000_s15" from="0.40499452pt,10.852359pt" to="442.655pt,11.002358pt" filled="f" stroked="t" strokeweight="1.75pt" style="position:absolute;z-index:20;mso-position-horizontal:absolute;mso-position-vertical:absolute;mso-wrap-distance-left:8.99983pt;mso-wrap-distance-right:8.99983pt;">
              <v:stroke color="#005192"/>
            </v:line>
          </w:pict>
        </mc:Fallback>
      </mc:AlternateContent>
    </w:r>
  </w:p>
  <w:p>
    <w:pPr>
      <w:pStyle w:val="17"/>
      <w:tabs>
        <w:tab w:val="center" w:pos="4153"/>
        <w:tab w:val="right" w:pos="8306"/>
      </w:tabs>
      <w:wordWrap w:val="0"/>
      <w:jc w:val="right"/>
      <w:rPr>
        <w:rFonts w:ascii="宋体" w:cs="宋体"/>
        <w:b/>
        <w:bCs/>
        <w:color w:val="005192"/>
        <w:sz w:val="32"/>
        <w:szCs w:val="44"/>
      </w:rPr>
    </w:pPr>
    <w:r>
      <w:rPr>
        <w:rFonts w:ascii="宋体" w:cs="宋体"/>
        <w:b/>
        <w:bCs/>
        <w:color w:val="005192"/>
        <w:sz w:val="28"/>
        <w:szCs w:val="44"/>
      </w:rPr>
      <w:t>重庆市江津区应急管理局</w:t>
    </w:r>
    <w:r>
      <w:rPr>
        <w:rFonts w:ascii="宋体" w:cs="宋体" w:hint="eastAsia"/>
        <w:b/>
        <w:bCs/>
        <w:color w:val="005192"/>
        <w:sz w:val="28"/>
        <w:szCs w:val="44"/>
      </w:rPr>
      <w:t>发布</w:t>
    </w:r>
    <w:r>
      <w:rPr>
        <w:rFonts w:ascii="宋体" w:cs="宋体"/>
        <w:b/>
        <w:bCs/>
        <w:color w:val="005192"/>
        <w:sz w:val="28"/>
        <w:szCs w:val="44"/>
      </w:rPr>
      <w:t xml:space="preserve">  </w:t>
    </w:r>
  </w:p>
  <w:p>
    <w:pPr>
      <w:pStyle w:val="17"/>
      <w:tabs>
        <w:tab w:val="center" w:pos="4153"/>
        <w:tab w:val="right" w:pos="8306"/>
      </w:tabs>
      <w:rPr>
        <w:rFonts w:ascii="宋体" w:cs="宋体"/>
        <w:b/>
        <w:bCs/>
        <w:color w:val="005192"/>
        <w:sz w:val="32"/>
        <w:szCs w:val="44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</w:rPr>
      <w:t>- 2 -</w:t>
    </w:r>
    <w:r>
      <w:rPr>
        <w:rFonts w:ascii="宋体" w:hint="eastAsia"/>
        <w:sz w:val="28"/>
        <w:szCs w:val="28"/>
      </w:rPr>
      <w:fldChar w:fldCharType="end"/>
    </w:r>
  </w:p>
  <w:p>
    <w:pPr>
      <w:pStyle w:val="16"/>
      <w:tabs>
        <w:tab w:val="center" w:pos="4153"/>
        <w:tab w:val="right" w:pos="8306"/>
      </w:tabs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297" distR="114297" simplePos="0" relativeHeight="21" behindDoc="0" locked="0" layoutInCell="1" hidden="0" allowOverlap="1">
              <wp:simplePos x="0" y="0"/>
              <wp:positionH relativeFrom="column">
                <wp:posOffset>5143</wp:posOffset>
              </wp:positionH>
              <wp:positionV relativeFrom="paragraph">
                <wp:posOffset>109821</wp:posOffset>
              </wp:positionV>
              <wp:extent cx="5616575" cy="1905"/>
              <wp:effectExtent l="0" t="0" r="0" b="0"/>
              <wp:wrapNone/>
              <wp:docPr id="16" name="直线 1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16575" cy="1905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17" o:spid="_x0000_s17" from="0.40499452pt,8.64739pt" to="442.655pt,8.797391pt" filled="f" stroked="t" strokeweight="1.75pt" style="position:absolute;z-index:21;mso-position-horizontal:absolute;mso-position-vertical:absolute;mso-wrap-distance-left:8.99983pt;mso-wrap-distance-right:8.99983pt;">
              <v:stroke color="#005192"/>
            </v:line>
          </w:pict>
        </mc:Fallback>
      </mc:AlternateContent>
    </w:r>
  </w:p>
  <w:p>
    <w:pPr>
      <w:pStyle w:val="16"/>
      <w:tabs>
        <w:tab w:val="center" w:pos="4153"/>
        <w:tab w:val="right" w:pos="8306"/>
      </w:tabs>
      <w:wordWrap w:val="0"/>
      <w:spacing w:line="560" w:lineRule="exact"/>
      <w:jc w:val="right"/>
      <w:rPr>
        <w:rFonts w:ascii="宋体" w:cs="宋体"/>
        <w:b/>
        <w:bCs/>
        <w:color w:val="005192"/>
        <w:sz w:val="28"/>
        <w:szCs w:val="44"/>
      </w:rPr>
    </w:pPr>
    <w:r>
      <w:rPr>
        <w:rFonts w:ascii="宋体" w:cs="宋体"/>
        <w:b/>
        <w:bCs/>
        <w:color w:val="005192"/>
        <w:sz w:val="28"/>
        <w:szCs w:val="44"/>
      </w:rPr>
      <w:t>重庆市江津区应急管理局</w:t>
    </w:r>
    <w:r>
      <w:rPr>
        <w:rFonts w:ascii="宋体" w:cs="宋体" w:hint="eastAsia"/>
        <w:b/>
        <w:bCs/>
        <w:color w:val="005192"/>
        <w:sz w:val="28"/>
        <w:szCs w:val="44"/>
      </w:rPr>
      <w:t>发布</w:t>
    </w:r>
    <w:r>
      <w:rPr>
        <w:rFonts w:ascii="宋体" w:cs="宋体"/>
        <w:b/>
        <w:bCs/>
        <w:color w:val="005192"/>
        <w:sz w:val="28"/>
        <w:szCs w:val="44"/>
      </w:rPr>
      <w:t xml:space="preserve">  </w:t>
    </w:r>
  </w:p>
  <w:p>
    <w:pPr>
      <w:pStyle w:val="16"/>
      <w:tabs>
        <w:tab w:val="center" w:pos="4153"/>
        <w:tab w:val="right" w:pos="8306"/>
      </w:tabs>
      <w:wordWrap w:val="0"/>
      <w:jc w:val="right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textAlignment w:val="center"/>
      <w:rPr>
        <w:rFonts w:ascii="宋体" w:cs="宋体"/>
        <w:b/>
        <w:bCs/>
        <w:color w:val="005192"/>
        <w:sz w:val="32"/>
      </w:rPr>
    </w:pPr>
  </w:p>
  <w:p>
    <w:pPr>
      <w:pStyle w:val="17"/>
      <w:tabs>
        <w:tab w:val="center" w:pos="4153"/>
        <w:tab w:val="right" w:pos="8306"/>
      </w:tabs>
      <w:textAlignment w:val="center"/>
      <w:rPr>
        <w:rFonts w:ascii="宋体" w:cs="宋体"/>
        <w:b/>
        <w:bCs/>
        <w:color w:val="005192"/>
        <w:sz w:val="32"/>
        <w:szCs w:val="32"/>
      </w:rPr>
    </w:pPr>
    <w:r>
      <w:rPr>
        <w:rFonts w:ascii="宋体" w:cs="宋体"/>
        <w:b/>
        <w:bCs/>
        <w:color w:val="005192"/>
        <w:sz w:val="32"/>
        <w:szCs w:val="32"/>
      </w:rPr>
      <mc:AlternateContent>
        <mc:Choice Requires="wps">
          <w:drawing>
            <wp:anchor distT="0" distB="0" distL="114297" distR="114297" simplePos="0" relativeHeight="19" behindDoc="0" locked="0" layoutInCell="1" hidden="0" allowOverlap="1">
              <wp:simplePos x="0" y="0"/>
              <wp:positionH relativeFrom="column">
                <wp:posOffset>6381</wp:posOffset>
              </wp:positionH>
              <wp:positionV relativeFrom="paragraph">
                <wp:posOffset>372040</wp:posOffset>
              </wp:positionV>
              <wp:extent cx="5620385" cy="1269"/>
              <wp:effectExtent l="0" t="0" r="0" b="0"/>
              <wp:wrapNone/>
              <wp:docPr id="1" name="直线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20385" cy="1269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2" o:spid="_x0000_s2" from="0.502491pt,29.294552pt" to="443.0525pt,29.394552pt" filled="f" stroked="t" strokeweight="1.75pt" style="position:absolute;z-index:19;mso-position-horizontal:absolute;mso-position-vertical:absolute;mso-wrap-distance-left:8.99983pt;mso-wrap-distance-right:8.99983pt;">
              <v:stroke color="#005192"/>
            </v:line>
          </w:pict>
        </mc:Fallback>
      </mc:AlternateContent>
    </w:r>
    <w:r>
      <w:rPr>
        <w:rFonts w:ascii="宋体" w:cs="宋体" w:hint="eastAsia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3" name="图片 3" descr="国徽10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" name="图片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8610" cy="30861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cs="宋体"/>
        <w:b/>
        <w:bCs/>
        <w:color w:val="005192"/>
        <w:sz w:val="32"/>
      </w:rPr>
      <w:t>重庆市江津区应急管理局行政</w:t>
    </w:r>
    <w:r>
      <w:rPr>
        <w:rFonts w:ascii="宋体" w:cs="宋体" w:hint="eastAsia"/>
        <w:b/>
        <w:bCs/>
        <w:color w:val="005192"/>
        <w:sz w:val="32"/>
        <w:szCs w:val="32"/>
      </w:rPr>
      <w:t>规范性文件</w: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tabs>
        <w:tab w:val="center" w:pos="4153"/>
        <w:tab w:val="right" w:pos="8306"/>
      </w:tabs>
      <w:textAlignment w:val="center"/>
      <w:rPr>
        <w:rFonts w:ascii="宋体" w:cs="宋体"/>
        <w:b/>
        <w:bCs/>
        <w:color w:val="005192"/>
        <w:sz w:val="32"/>
      </w:rPr>
    </w:pPr>
  </w:p>
  <w:p>
    <w:pPr>
      <w:pStyle w:val="17"/>
      <w:tabs>
        <w:tab w:val="center" w:pos="4153"/>
        <w:tab w:val="right" w:pos="8306"/>
      </w:tabs>
      <w:textAlignment w:val="center"/>
      <w:rPr>
        <w:rFonts w:ascii="宋体" w:cs="宋体"/>
        <w:b/>
        <w:bCs/>
        <w:color w:val="005192"/>
        <w:sz w:val="32"/>
        <w:szCs w:val="32"/>
      </w:rPr>
    </w:pPr>
    <w:r>
      <w:rPr>
        <w:rFonts w:ascii="宋体" w:cs="宋体"/>
        <w:b/>
        <w:bCs/>
        <w:color w:val="005192"/>
        <w:sz w:val="32"/>
        <w:szCs w:val="32"/>
      </w:rPr>
      <mc:AlternateContent>
        <mc:Choice Requires="wps">
          <w:drawing>
            <wp:anchor distT="0" distB="0" distL="114297" distR="114297" simplePos="0" relativeHeight="22" behindDoc="0" locked="0" layoutInCell="1" hidden="0" allowOverlap="1">
              <wp:simplePos x="0" y="0"/>
              <wp:positionH relativeFrom="column">
                <wp:posOffset>6381</wp:posOffset>
              </wp:positionH>
              <wp:positionV relativeFrom="paragraph">
                <wp:posOffset>372040</wp:posOffset>
              </wp:positionV>
              <wp:extent cx="5620385" cy="1269"/>
              <wp:effectExtent l="0" t="0" r="0" b="0"/>
              <wp:wrapNone/>
              <wp:docPr id="6" name="直线 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620385" cy="1269"/>
                      </a:xfrm>
                      <a:prstGeom prst="line"/>
                      <a:noFill/>
                      <a:ln w="22225" cmpd="sng" cap="flat">
                        <a:solidFill>
                          <a:srgbClr val="005192"/>
                        </a:solidFill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type="#_x0000_t20" id="直线 7" o:spid="_x0000_s7" from="0.502491pt,29.294552pt" to="443.0525pt,29.394552pt" filled="f" stroked="t" strokeweight="1.75pt" style="position:absolute;z-index:22;mso-position-horizontal:absolute;mso-position-vertical:absolute;mso-wrap-distance-left:8.99983pt;mso-wrap-distance-right:8.99983pt;">
              <v:stroke color="#005192"/>
            </v:line>
          </w:pict>
        </mc:Fallback>
      </mc:AlternateContent>
    </w:r>
    <w:r>
      <w:rPr>
        <w:rFonts w:ascii="宋体" w:cs="宋体" w:hint="eastAsia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8" name="图片 8" descr="国徽1024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图片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308610" cy="308610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ascii="宋体" w:cs="宋体"/>
        <w:b/>
        <w:bCs/>
        <w:color w:val="005192"/>
        <w:sz w:val="32"/>
      </w:rPr>
      <w:t>重庆市江津区应急管理局行政</w:t>
    </w:r>
    <w:r>
      <w:rPr>
        <w:rFonts w:ascii="宋体" w:cs="宋体" w:hint="eastAsia"/>
        <w:b/>
        <w:bCs/>
        <w:color w:val="005192"/>
        <w:sz w:val="32"/>
        <w:szCs w:val="32"/>
      </w:rPr>
      <w:t>规范性文件</w:t>
    </w:r>
  </w:p>
  <w:p>
    <w:pPr>
      <w:pStyle w:val="17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9">
    <w:name w:val="Strong"/>
    <w:basedOn w:val="10"/>
    <w:rPr>
      <w:b/>
      <w:bCs/>
    </w:rPr>
  </w:style>
  <w:style w:type="paragraph" w:customStyle="1" w:styleId="20">
    <w:name w:val="p0"/>
    <w:basedOn w:val="0"/>
    <w:pPr>
      <w:widowControl/>
    </w:pPr>
    <w:rPr>
      <w:rFonts w:cs="宋体"/>
      <w:kern w:val="0"/>
      <w:szCs w:val="32"/>
    </w:rPr>
  </w:style>
  <w:style w:type="character" w:styleId="21">
    <w:name w:val="annotation reference"/>
    <w:basedOn w:val="10"/>
    <w:rPr>
      <w:sz w:val="21"/>
      <w:szCs w:val="21"/>
    </w:rPr>
  </w:style>
  <w:style w:type="paragraph" w:styleId="22">
    <w:name w:val="Balloon Text"/>
    <w:basedOn w:val="0"/>
    <w:rPr>
      <w:sz w:val="18"/>
      <w:szCs w:val="18"/>
    </w:rPr>
  </w:style>
  <w:style w:type="paragraph" w:styleId="23">
    <w:name w:val="Body Text"/>
    <w:basedOn w:val="0"/>
    <w:pPr>
      <w:spacing w:after="120"/>
    </w:pPr>
  </w:style>
  <w:style w:type="paragraph" w:styleId="24">
    <w:name w:val="Date"/>
    <w:basedOn w:val="0"/>
    <w:next w:val="0"/>
    <w:pPr>
      <w:ind w:leftChars="2500" w:left="2500"/>
    </w:pPr>
  </w:style>
  <w:style w:type="character" w:styleId="25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9.png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8</Pages>
  <Words>2725</Words>
  <Characters>2759</Characters>
  <Lines>140</Lines>
  <Paragraphs>63</Paragraphs>
  <CharactersWithSpaces>2823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</dc:creator>
  <cp:lastModifiedBy>Microsoft</cp:lastModifiedBy>
  <cp:revision>3</cp:revision>
  <cp:lastPrinted>2022-06-06T16:09:00Z</cp:lastPrinted>
  <dcterms:created xsi:type="dcterms:W3CDTF">2023-09-26T06:50:00Z</dcterms:created>
  <dcterms:modified xsi:type="dcterms:W3CDTF">2023-11-09T08:36:58Z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48C61CB29D3F4D9384F5922CF0F7FFB4</vt:lpwstr>
  </property>
</Properties>
</file>