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重庆市江津区应急管理综合行政执法支队</w:t>
      </w:r>
    </w:p>
    <w:p>
      <w:pPr>
        <w:spacing w:line="579"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2024年度决算公开说明</w:t>
      </w:r>
    </w:p>
    <w:p>
      <w:pPr>
        <w:spacing w:line="579" w:lineRule="exact"/>
        <w:ind w:firstLine="1100" w:firstLineChars="250"/>
        <w:rPr>
          <w:rFonts w:ascii="宋体" w:hAnsi="宋体" w:eastAsia="方正仿宋_GBK" w:cs="方正仿宋_GBK"/>
          <w:sz w:val="44"/>
          <w:szCs w:val="44"/>
        </w:rPr>
      </w:pPr>
    </w:p>
    <w:p>
      <w:pPr>
        <w:pStyle w:val="9"/>
        <w:keepNext w:val="0"/>
        <w:keepLines w:val="0"/>
        <w:pageBreakBefore w:val="0"/>
        <w:tabs>
          <w:tab w:val="center" w:pos="4153"/>
          <w:tab w:val="left" w:pos="7275"/>
        </w:tabs>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一、单位基本情况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（一）职能职责</w:t>
      </w:r>
    </w:p>
    <w:p>
      <w:pPr>
        <w:keepNext w:val="0"/>
        <w:keepLines w:val="0"/>
        <w:pageBreakBefore w:val="0"/>
        <w:kinsoku/>
        <w:wordWrap/>
        <w:overflowPunct/>
        <w:topLinePunct w:val="0"/>
        <w:autoSpaceDN/>
        <w:bidi w:val="0"/>
        <w:spacing w:line="579" w:lineRule="exact"/>
        <w:ind w:firstLine="640" w:firstLineChars="200"/>
        <w:jc w:val="both"/>
        <w:textAlignment w:val="auto"/>
        <w:rPr>
          <w:rFonts w:ascii="方正仿宋_GBK" w:eastAsia="方正仿宋_GBK" w:cs="方正仿宋_GBK"/>
          <w:sz w:val="32"/>
        </w:rPr>
      </w:pPr>
      <w:r>
        <w:rPr>
          <w:rFonts w:hint="eastAsia" w:ascii="方正仿宋_GBK" w:eastAsia="方正仿宋_GBK" w:cs="仿宋_GB2312"/>
          <w:sz w:val="32"/>
          <w:szCs w:val="32"/>
        </w:rPr>
        <w:t>承担法律法规规定由区级承担的安全生产、防灾减灾、应急救援等应急管理行政执法职责，以区应急局的名义统一执法。参与拟定应急管理综合行政执法管理制度、执法标准规范。承担有关危险化学品、烟花爆竹、矿山、工贸等行业领域安全生产监管等方面的行政处罚、行政强制职能。承担地质灾害、水旱灾害、森林草原火灾等有关应急抢险和灾害救助、防震减灾等方面的行政处罚、行政强制职能。承担全区应急管理综合行政执法的组织协调和一般事故案件的查处，组织开展有关专项执法、交叉执法、异地执法。监督指导镇（街道）应急管理综合行政执法工作。承担与应急管理综合行政执法有关的应急工作。完成区委、区政府和区应急局交办的其他任务。</w:t>
      </w:r>
    </w:p>
    <w:p>
      <w:pPr>
        <w:keepNext w:val="0"/>
        <w:keepLines w:val="0"/>
        <w:pageBreakBefore w:val="0"/>
        <w:numPr>
          <w:ilvl w:val="0"/>
          <w:numId w:val="1"/>
        </w:numPr>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机构设置</w:t>
      </w:r>
    </w:p>
    <w:p>
      <w:pPr>
        <w:keepNext w:val="0"/>
        <w:keepLines w:val="0"/>
        <w:pageBreakBefore w:val="0"/>
        <w:kinsoku/>
        <w:wordWrap/>
        <w:overflowPunct/>
        <w:topLinePunct w:val="0"/>
        <w:autoSpaceDN/>
        <w:bidi w:val="0"/>
        <w:spacing w:line="579" w:lineRule="exact"/>
        <w:ind w:firstLine="640" w:firstLineChars="200"/>
        <w:jc w:val="both"/>
        <w:textAlignment w:val="auto"/>
        <w:rPr>
          <w:rFonts w:ascii="方正仿宋_GBK" w:eastAsia="方正仿宋_GBK" w:cs="仿宋_GB2312"/>
          <w:sz w:val="32"/>
          <w:szCs w:val="32"/>
        </w:rPr>
      </w:pPr>
      <w:r>
        <w:rPr>
          <w:rFonts w:hint="eastAsia" w:ascii="方正仿宋_GBK" w:eastAsia="方正仿宋_GBK" w:cs="仿宋_GB2312"/>
          <w:sz w:val="32"/>
          <w:szCs w:val="32"/>
        </w:rPr>
        <w:t>本单位是区应急管理局下属全额参公事业单位（副处级），下设5个大队：勤务大队、工矿商贸大队、危化品大队、自然灾害大队、事故调查大队。人员编制20人，年末实有人数19人。</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二、单位决算情况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（一）单位收支总体情况</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1.收入支出总体情况。</w:t>
      </w:r>
      <w:r>
        <w:rPr>
          <w:rFonts w:hint="eastAsia" w:ascii="宋体" w:hAnsi="宋体" w:eastAsia="方正仿宋_GBK" w:cs="方正仿宋_GBK"/>
          <w:sz w:val="32"/>
          <w:szCs w:val="32"/>
        </w:rPr>
        <w:t>2024年度收入总计606.65万元，支出总计606.65万元。收支较上年增加114.37万元，增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23.23%，主要原因一是人员调资及补发津贴补贴；二是增加项目经费18.62万元。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2.收入情况。</w:t>
      </w:r>
      <w:r>
        <w:rPr>
          <w:rFonts w:hint="eastAsia" w:ascii="宋体" w:hAnsi="宋体" w:eastAsia="方正仿宋_GBK" w:cs="方正仿宋_GBK"/>
          <w:sz w:val="32"/>
          <w:szCs w:val="32"/>
        </w:rPr>
        <w:t>2024年度本年收入合计606.65万元，较上年增加114.37万元，增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23.23%，主要原因为人员调资、补发津补贴及增加项目经费，所以本年度收入增加。其中：财政拨款收入606.65万元，占比100%。</w:t>
      </w:r>
      <w:r>
        <w:rPr>
          <w:rFonts w:ascii="方正仿宋_GBK" w:hAnsi="方正仿宋_GBK" w:eastAsia="方正仿宋_GBK" w:cs="方正仿宋_GBK"/>
          <w:sz w:val="32"/>
          <w:szCs w:val="32"/>
          <w:shd w:val="clear" w:color="auto" w:fill="FFFFFF"/>
        </w:rPr>
        <w:t>此外，使用年初结转和结余</w:t>
      </w:r>
      <w:r>
        <w:rPr>
          <w:rFonts w:hint="eastAsia"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3.支出情况。</w:t>
      </w:r>
      <w:r>
        <w:rPr>
          <w:rFonts w:hint="eastAsia" w:ascii="宋体" w:hAnsi="宋体" w:eastAsia="方正仿宋_GBK" w:cs="方正仿宋_GBK"/>
          <w:sz w:val="32"/>
          <w:szCs w:val="32"/>
        </w:rPr>
        <w:t>2024年度本年支出合计606.65万元，较上年增加114.37万元，增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23.23%，主要原因为人员调资、补发津补贴及增加项目经费，所以本年度支出增加。其中：基本支出588.03万元，占比96.93%；项目支出18.62万元，占比3.07%。</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4.</w:t>
      </w:r>
      <w:r>
        <w:rPr>
          <w:rFonts w:hint="eastAsia" w:ascii="宋体" w:hAnsi="宋体" w:eastAsia="方正仿宋_GBK" w:cs="方正仿宋_GBK"/>
          <w:b/>
          <w:bCs/>
          <w:sz w:val="32"/>
          <w:szCs w:val="32"/>
        </w:rPr>
        <w:t>结转结余情况。</w:t>
      </w:r>
      <w:r>
        <w:rPr>
          <w:rFonts w:hint="eastAsia" w:ascii="宋体" w:hAnsi="宋体" w:eastAsia="方正仿宋_GBK" w:cs="方正仿宋_GBK"/>
          <w:sz w:val="32"/>
          <w:szCs w:val="32"/>
        </w:rPr>
        <w:t>2024年度年末结转和结余0万元，与2023年度持平</w:t>
      </w:r>
      <w:r>
        <w:rPr>
          <w:rFonts w:hint="eastAsia" w:ascii="宋体" w:hAnsi="宋体" w:eastAsia="方正仿宋_GBK" w:cs="方正仿宋_GBK"/>
          <w:kern w:val="0"/>
          <w:sz w:val="32"/>
          <w:szCs w:val="32"/>
        </w:rPr>
        <w:t>。</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（二）财政拨款收支总体情况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2024年度财政拨款收入总计606.65万元，支出总计606.65万元。</w:t>
      </w:r>
      <w:r>
        <w:rPr>
          <w:rFonts w:hint="eastAsia" w:ascii="宋体" w:hAnsi="宋体" w:eastAsia="方正仿宋_GBK" w:cs="方正仿宋_GBK"/>
          <w:sz w:val="32"/>
          <w:szCs w:val="32"/>
        </w:rPr>
        <w:t>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23.23%，主要原因一是人员调资及补发津贴补贴；二是增加项目经费18.62万元，所以本年财政拨款收支增加</w:t>
      </w:r>
      <w:r>
        <w:rPr>
          <w:rFonts w:hint="eastAsia" w:ascii="宋体" w:hAnsi="宋体" w:eastAsia="方正仿宋_GBK" w:cs="方正仿宋_GBK"/>
          <w:sz w:val="32"/>
        </w:rPr>
        <w:t>。</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（三）一般公共预算财政拨款收支总体情况</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1.收入情况。</w:t>
      </w:r>
      <w:r>
        <w:rPr>
          <w:rFonts w:hint="eastAsia" w:ascii="宋体" w:hAnsi="宋体" w:eastAsia="方正仿宋_GBK" w:cs="方正仿宋_GBK"/>
          <w:sz w:val="32"/>
        </w:rPr>
        <w:t>2024年度一般公共预算财政拨款收入606.65万元，</w:t>
      </w:r>
      <w:r>
        <w:rPr>
          <w:rFonts w:hint="eastAsia" w:ascii="宋体" w:hAnsi="宋体" w:eastAsia="方正仿宋_GBK" w:cs="方正仿宋_GBK"/>
          <w:sz w:val="32"/>
          <w:szCs w:val="32"/>
        </w:rPr>
        <w:t>较上年增加114.37万元，增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23.23%，主要原因为人员调资、补发津补贴及增加项目经费，所以本年度收入增加。</w:t>
      </w:r>
      <w:r>
        <w:rPr>
          <w:rFonts w:hint="eastAsia" w:ascii="宋体" w:hAnsi="宋体" w:eastAsia="方正仿宋_GBK" w:cs="方正仿宋_GBK"/>
          <w:sz w:val="32"/>
        </w:rPr>
        <w:t>较年初预算数增加46.88万元，增长8.37%，主要原因是</w:t>
      </w:r>
      <w:r>
        <w:rPr>
          <w:rFonts w:hint="eastAsia" w:ascii="宋体" w:hAnsi="宋体" w:eastAsia="方正仿宋_GBK" w:cs="方正仿宋_GBK"/>
          <w:sz w:val="32"/>
          <w:szCs w:val="32"/>
        </w:rPr>
        <w:t>补发应急津补贴和增加在职人员死亡抚恤费，所以本年度收入增加。</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2.支出情况。</w:t>
      </w:r>
      <w:r>
        <w:rPr>
          <w:rFonts w:hint="eastAsia" w:ascii="宋体" w:hAnsi="宋体" w:eastAsia="方正仿宋_GBK" w:cs="方正仿宋_GBK"/>
          <w:sz w:val="32"/>
        </w:rPr>
        <w:t>2024年度一般公共预算财政拨款支出606.65万元，</w:t>
      </w:r>
      <w:r>
        <w:rPr>
          <w:rFonts w:hint="eastAsia" w:ascii="宋体" w:hAnsi="宋体" w:eastAsia="方正仿宋_GBK" w:cs="方正仿宋_GBK"/>
          <w:sz w:val="32"/>
          <w:szCs w:val="32"/>
        </w:rPr>
        <w:t>较上年增加114.37万元，增</w:t>
      </w:r>
      <w:r>
        <w:rPr>
          <w:rFonts w:hint="eastAsia" w:ascii="宋体" w:hAnsi="宋体" w:eastAsia="方正仿宋_GBK" w:cs="方正仿宋_GBK"/>
          <w:sz w:val="32"/>
          <w:szCs w:val="32"/>
          <w:lang w:val="en-US" w:eastAsia="zh-CN"/>
        </w:rPr>
        <w:t>长</w:t>
      </w:r>
      <w:r>
        <w:rPr>
          <w:rFonts w:hint="eastAsia" w:ascii="宋体" w:hAnsi="宋体" w:eastAsia="方正仿宋_GBK" w:cs="方正仿宋_GBK"/>
          <w:sz w:val="32"/>
          <w:szCs w:val="32"/>
        </w:rPr>
        <w:t>23.23%，主要原因为人员调资、补发津补贴及增加项目经费，所以本年度支出增加。</w:t>
      </w:r>
      <w:r>
        <w:rPr>
          <w:rFonts w:hint="eastAsia" w:ascii="宋体" w:hAnsi="宋体" w:eastAsia="方正仿宋_GBK" w:cs="方正仿宋_GBK"/>
          <w:sz w:val="32"/>
        </w:rPr>
        <w:t>较年初预算数增加46.88万元，增长8.37%，主要原因是</w:t>
      </w:r>
      <w:r>
        <w:rPr>
          <w:rFonts w:hint="eastAsia" w:ascii="宋体" w:hAnsi="宋体" w:eastAsia="方正仿宋_GBK" w:cs="方正仿宋_GBK"/>
          <w:sz w:val="32"/>
          <w:szCs w:val="32"/>
        </w:rPr>
        <w:t>补发应急津补贴和增加在职人员死亡抚恤费支出，所以本年度支出增加。</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3.结转结余情况。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持平。</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w:t>
      </w:r>
      <w:r>
        <w:rPr>
          <w:rFonts w:hint="eastAsia" w:ascii="宋体" w:hAnsi="宋体" w:eastAsia="方正仿宋_GBK" w:cs="方正仿宋_GBK"/>
          <w:b/>
          <w:bCs/>
          <w:kern w:val="2"/>
          <w:sz w:val="32"/>
        </w:rPr>
        <w:t>比较情况。</w:t>
      </w:r>
      <w:r>
        <w:rPr>
          <w:rFonts w:hint="eastAsia" w:ascii="宋体" w:hAnsi="宋体" w:eastAsia="方正仿宋_GBK" w:cs="方正仿宋_GBK"/>
          <w:sz w:val="32"/>
        </w:rPr>
        <w:t>本单位2024年度一般公共预算财政拨款支出主要用于以下几个方面：</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（1）教育支出0.11万元，占比0.02%。较年初预算数减少2.47万元，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95.74%，主要原因是为节省财政开支，培训教育多采用网上模式，教育培训支出减少。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（2）社会保障和就业支出105.90万元，占比17.46%，较年初预算数增加43.65万元，增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70.12%，主要原因一是补发应急津补贴后调增社保缴费基数，社保缴费支出增加；二是在职人员死亡后增加死亡抚恤金支出32.63万元。</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（3）卫生健康支出31.08万元，占5.12%，较年初预算数减少1.15万元，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3.57%，主要原因是单位一在职员工死亡，卫生健康支出减少。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（4）住房保障支出33.74万元，占5.56%，较年初预算数减少2.19万元，下降6.07%，主要原因单位一在职员工死亡，住房保障支出减少。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（5）灾害防治及应急管理支出435.82万元，占71.84%，较年初预算数增加9.03万元，增</w:t>
      </w:r>
      <w:r>
        <w:rPr>
          <w:rFonts w:hint="eastAsia" w:ascii="宋体" w:hAnsi="宋体" w:eastAsia="方正仿宋_GBK" w:cs="方正仿宋_GBK"/>
          <w:sz w:val="32"/>
          <w:lang w:val="en-US" w:eastAsia="zh-CN"/>
        </w:rPr>
        <w:t>长</w:t>
      </w:r>
      <w:r>
        <w:rPr>
          <w:rFonts w:hint="eastAsia" w:ascii="宋体" w:hAnsi="宋体" w:eastAsia="方正仿宋_GBK" w:cs="方正仿宋_GBK"/>
          <w:sz w:val="32"/>
        </w:rPr>
        <w:t>2.11%，主要原因是工资调资和补发津补贴增加工资性支出。</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（四）</w:t>
      </w:r>
      <w:r>
        <w:rPr>
          <w:rStyle w:val="14"/>
          <w:rFonts w:hint="eastAsia" w:ascii="宋体" w:hAnsi="宋体" w:eastAsia="方正楷体_GBK" w:cs="方正楷体_GBK"/>
          <w:b w:val="0"/>
          <w:bCs/>
          <w:sz w:val="32"/>
          <w:szCs w:val="32"/>
          <w:shd w:val="clear" w:color="auto" w:fill="FFFFFF"/>
        </w:rPr>
        <w:t>一般公共预算财政拨款基本支出情况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一般公共预算财政拨款基本支出588.03万元。其中：人员经费519.22万元，人员经费用途主要包括：基本工资124.71万元、津贴补贴68.17万元、奖金134.88万元、伙食补助费17.00万元、基本养老保险缴费48.78万元、职业年金缴费24.48万元、基本医保缴费21.52万元、公务员医疗补助缴费6.30万元、其他社保保障缴费7.01万元、住房公积金33.74万元、对个人和家庭的补助支出32.63万元。较上年决算数增加109.41万元，增长26.70%，主要原因是人员工资调增、补发津补贴和在职人员死亡，增加人员工资、社会保障等经费和个人家庭补助支出。公用经费68.81万元，主要用于办公费6.44万元、水电费1.13万元、邮电费6.10万元、差旅费0.67万元、维修（护）费0.20万元、培训费0.11万元、公务接待费0.98万元、工会经费15.31万元、福利费5.16万元、其他交通费用16.42万元、其他商品和服务支出16.29万元。较上年决算数减少13.66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16.57%，主要原因</w:t>
      </w:r>
      <w:r>
        <w:rPr>
          <w:rFonts w:hint="eastAsia" w:ascii="宋体" w:hAnsi="宋体" w:eastAsia="方正仿宋_GBK" w:cs="方正仿宋_GBK"/>
          <w:sz w:val="32"/>
          <w:lang w:eastAsia="zh-CN"/>
        </w:rPr>
        <w:t>是</w:t>
      </w:r>
      <w:r>
        <w:rPr>
          <w:rFonts w:hint="eastAsia" w:ascii="宋体" w:hAnsi="宋体" w:eastAsia="方正仿宋_GBK" w:cs="方正仿宋_GBK"/>
          <w:sz w:val="32"/>
        </w:rPr>
        <w:t>响应政府号召，调减人均公用经费支出。</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（五）政府性基金预算收支决算情况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度无政府性基金预算财政拨款收支</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（六）国有资本经营预算财政拨款支出决算情况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度无国有资本经营预算财政拨款支出。</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三、“三公”经费情况</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（一）“三公”经费支出总体情况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2024年度“三公”经费支出共计0.98万元，较年初预算数减少0.52万元，下降34.67%，主要原因是响应政府号召，节省“三公”经费支出。较上年支出数减少0.01万元，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1.31%。</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shd w:val="clear" w:color="auto" w:fill="FFFFFF"/>
        </w:rPr>
      </w:pPr>
      <w:r>
        <w:rPr>
          <w:rFonts w:eastAsia="方正仿宋_GBK" w:cs="方正仿宋_GBK"/>
          <w:sz w:val="32"/>
          <w:szCs w:val="32"/>
          <w:shd w:val="clear" w:color="auto" w:fill="FFFFFF"/>
        </w:rPr>
        <w:t>202</w:t>
      </w:r>
      <w:r>
        <w:rPr>
          <w:rFonts w:hint="eastAsia" w:eastAsia="方正仿宋_GBK" w:cs="方正仿宋_GBK"/>
          <w:sz w:val="32"/>
          <w:szCs w:val="32"/>
          <w:shd w:val="clear" w:color="auto" w:fill="FFFFFF"/>
        </w:rPr>
        <w:t>4</w:t>
      </w:r>
      <w:r>
        <w:rPr>
          <w:rFonts w:hint="eastAsia" w:ascii="宋体" w:hAnsi="宋体" w:eastAsia="方正仿宋_GBK" w:cs="方正仿宋_GBK"/>
          <w:sz w:val="32"/>
          <w:szCs w:val="32"/>
          <w:shd w:val="clear" w:color="auto" w:fill="FFFFFF"/>
        </w:rPr>
        <w:t>年度本单位因公出国（境）费用</w:t>
      </w:r>
      <w:r>
        <w:rPr>
          <w:rFonts w:eastAsia="方正仿宋_GBK" w:cs="方正仿宋_GBK"/>
          <w:sz w:val="32"/>
          <w:szCs w:val="32"/>
        </w:rPr>
        <w:t>0.00</w:t>
      </w:r>
      <w:r>
        <w:rPr>
          <w:rFonts w:hint="eastAsia" w:ascii="宋体" w:hAnsi="宋体" w:eastAsia="方正仿宋_GBK" w:cs="方正仿宋_GBK"/>
          <w:sz w:val="32"/>
          <w:szCs w:val="32"/>
          <w:shd w:val="clear" w:color="auto" w:fill="FFFFFF"/>
        </w:rPr>
        <w:t>万元，较年初预算数无增减，与去年持平。</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16" w:firstLineChars="200"/>
        <w:jc w:val="both"/>
        <w:textAlignment w:val="auto"/>
        <w:rPr>
          <w:rFonts w:ascii="宋体" w:hAnsi="宋体" w:eastAsia="方正仿宋_GBK" w:cs="方正仿宋_GBK"/>
          <w:spacing w:val="-6"/>
          <w:sz w:val="32"/>
          <w:szCs w:val="32"/>
          <w:shd w:val="clear" w:color="auto" w:fill="FFFFFF"/>
        </w:rPr>
      </w:pPr>
      <w:r>
        <w:rPr>
          <w:rFonts w:hint="eastAsia" w:ascii="宋体" w:hAnsi="宋体" w:eastAsia="方正仿宋_GBK" w:cs="方正仿宋_GBK"/>
          <w:spacing w:val="-6"/>
          <w:sz w:val="32"/>
          <w:szCs w:val="32"/>
          <w:shd w:val="clear" w:color="auto" w:fill="FFFFFF"/>
        </w:rPr>
        <w:t>公务车购置费</w:t>
      </w:r>
      <w:r>
        <w:rPr>
          <w:rFonts w:hint="eastAsia" w:ascii="宋体" w:hAnsi="宋体" w:eastAsia="方正仿宋_GBK" w:cs="方正仿宋_GBK"/>
          <w:spacing w:val="-6"/>
          <w:sz w:val="32"/>
          <w:szCs w:val="32"/>
        </w:rPr>
        <w:t>0.00</w:t>
      </w:r>
      <w:r>
        <w:rPr>
          <w:rFonts w:hint="eastAsia" w:ascii="宋体" w:hAnsi="宋体" w:eastAsia="方正仿宋_GBK" w:cs="方正仿宋_GBK"/>
          <w:spacing w:val="-6"/>
          <w:sz w:val="32"/>
          <w:szCs w:val="32"/>
          <w:shd w:val="clear" w:color="auto" w:fill="FFFFFF"/>
        </w:rPr>
        <w:t>万元，较年初预算数无增减，与去年持平。</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pacing w:val="-6"/>
          <w:sz w:val="32"/>
          <w:szCs w:val="32"/>
          <w:shd w:val="clear" w:color="auto" w:fill="FFFFFF"/>
        </w:rPr>
      </w:pPr>
      <w:r>
        <w:rPr>
          <w:rFonts w:hint="eastAsia" w:ascii="宋体" w:hAnsi="宋体" w:eastAsia="方正仿宋_GBK" w:cs="方正仿宋_GBK"/>
          <w:sz w:val="32"/>
        </w:rPr>
        <w:t>公务车运行维护费</w:t>
      </w:r>
      <w:r>
        <w:rPr>
          <w:rFonts w:hint="eastAsia" w:ascii="宋体" w:hAnsi="宋体" w:eastAsia="方正仿宋_GBK" w:cs="方正仿宋_GBK"/>
          <w:sz w:val="32"/>
          <w:szCs w:val="32"/>
          <w:shd w:val="clear" w:color="auto" w:fill="FFFFFF"/>
        </w:rPr>
        <w:t>0.00万元，</w:t>
      </w:r>
      <w:r>
        <w:rPr>
          <w:rFonts w:hint="eastAsia" w:ascii="宋体" w:hAnsi="宋体" w:eastAsia="方正仿宋_GBK" w:cs="方正仿宋_GBK"/>
          <w:spacing w:val="-6"/>
          <w:sz w:val="32"/>
          <w:szCs w:val="32"/>
          <w:shd w:val="clear" w:color="auto" w:fill="FFFFFF"/>
        </w:rPr>
        <w:t>较年初预算数无增减，与去年持平。</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公务接待费0.98万元，</w:t>
      </w:r>
      <w:r>
        <w:rPr>
          <w:rFonts w:hint="eastAsia" w:ascii="宋体" w:hAnsi="宋体" w:eastAsia="方正仿宋_GBK" w:cs="方正仿宋_GBK"/>
          <w:sz w:val="32"/>
          <w:szCs w:val="32"/>
          <w:shd w:val="clear" w:color="auto" w:fill="FFFFFF"/>
        </w:rPr>
        <w:t>主要用于区县之间交叉检查市局督办案子的接待支</w:t>
      </w:r>
      <w:r>
        <w:rPr>
          <w:rFonts w:ascii="宋体" w:hAnsi="宋体" w:eastAsia="方正仿宋_GBK" w:cs="方正仿宋_GBK"/>
          <w:sz w:val="32"/>
          <w:szCs w:val="32"/>
          <w:shd w:val="clear" w:color="auto" w:fill="FFFFFF"/>
        </w:rPr>
        <w:t>出</w:t>
      </w:r>
      <w:r>
        <w:rPr>
          <w:rFonts w:hint="eastAsia" w:ascii="宋体" w:hAnsi="宋体" w:eastAsia="方正仿宋_GBK" w:cs="方正仿宋_GBK"/>
          <w:sz w:val="32"/>
          <w:szCs w:val="32"/>
          <w:shd w:val="clear" w:color="auto" w:fill="FFFFFF"/>
        </w:rPr>
        <w:t>。</w:t>
      </w:r>
      <w:r>
        <w:rPr>
          <w:rFonts w:hint="eastAsia" w:ascii="宋体" w:hAnsi="宋体" w:eastAsia="方正仿宋_GBK" w:cs="方正仿宋_GBK"/>
          <w:sz w:val="32"/>
        </w:rPr>
        <w:t>费用支出较年初预算数减少0.52万元，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34.67%；较上年支出数减少0.01万元，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1.31%，主要原因是执行中央八项规定，调减接待费餐标，接待费用减少。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本单位因公出国（境）共计0个团组，0人；公务用车购置0辆，公务车保有量为0辆；国内公务接待18批次110人，其中：国内外事接待0批次，0人；国（境）外公务接待0批次，0人。人均接待费89.09元，车均购置费0万元，车均维护费0万元。</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四、其他需要说明的事项</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增加0.06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增</w:t>
      </w:r>
      <w:r>
        <w:rPr>
          <w:rFonts w:hint="eastAsia" w:ascii="方正仿宋_GBK" w:hAnsi="方正仿宋_GBK" w:eastAsia="方正仿宋_GBK" w:cs="方正仿宋_GBK"/>
          <w:sz w:val="32"/>
          <w:szCs w:val="32"/>
          <w:shd w:val="clear" w:color="auto" w:fill="FFFFFF"/>
          <w:lang w:val="en-US" w:eastAsia="zh-CN"/>
        </w:rPr>
        <w:t>长</w:t>
      </w:r>
      <w:r>
        <w:rPr>
          <w:rFonts w:hint="eastAsia" w:ascii="方正仿宋_GBK" w:hAnsi="方正仿宋_GBK" w:eastAsia="方正仿宋_GBK" w:cs="方正仿宋_GBK"/>
          <w:sz w:val="32"/>
          <w:szCs w:val="32"/>
          <w:shd w:val="clear" w:color="auto" w:fill="FFFFFF"/>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单位召开一次全区执法监管工作会，产生会议费用</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rPr>
        <w:t>增加0.11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增</w:t>
      </w:r>
      <w:r>
        <w:rPr>
          <w:rFonts w:hint="eastAsia" w:ascii="方正仿宋_GBK" w:hAnsi="方正仿宋_GBK" w:eastAsia="方正仿宋_GBK" w:cs="方正仿宋_GBK"/>
          <w:sz w:val="32"/>
          <w:szCs w:val="32"/>
          <w:shd w:val="clear" w:color="auto" w:fill="FFFFFF"/>
          <w:lang w:val="en-US" w:eastAsia="zh-CN"/>
        </w:rPr>
        <w:t>长</w:t>
      </w:r>
      <w:r>
        <w:rPr>
          <w:rFonts w:hint="eastAsia" w:ascii="方正仿宋_GBK" w:hAnsi="方正仿宋_GBK" w:eastAsia="方正仿宋_GBK" w:cs="方正仿宋_GBK"/>
          <w:sz w:val="32"/>
          <w:szCs w:val="32"/>
          <w:shd w:val="clear" w:color="auto" w:fill="FFFFFF"/>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单位派人参加全市执法干部培训，产生培训费用。</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（二）机关运行经费情况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2024年度本单位机关运行经费支出68.81万元，较上年减少13.66万元，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16.57%，主要原因是响应政府“过紧日子苦日子”号召，节约开支，调减人均公用经费支出。比年初预算数减少20.24万元，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22.73%，主要原因是厉行节约，减少各项经费支出。机关运动经费主要用于</w:t>
      </w:r>
      <w:r>
        <w:rPr>
          <w:rFonts w:hint="eastAsia" w:ascii="宋体" w:hAnsi="宋体" w:eastAsia="方正仿宋_GBK" w:cs="方正仿宋_GBK"/>
          <w:sz w:val="32"/>
        </w:rPr>
        <w:t>办公费21.75万元、水电费1.13万元、邮电费6.10万元、差旅费0.67万元、维修（护）费0.20万元、培训费0.11万元、公务接待费0.98万元、福利费5.16万元、其他交通费用16.42万元、其他商品和服务支出16.29万元。</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（三）国有资产占用情况说明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截至2024年12月31日，单位共有车辆0辆。单价100万元（含）以上设备（不含车辆）0台（套）。</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（四）政府采购支出说明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度我单位未发生政府采购事项，无相关经费支出。</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0"/>
        <w:rPr>
          <w:rFonts w:ascii="宋体" w:hAnsi="宋体" w:eastAsia="方正黑体_GBK" w:cs="方正黑体_GBK"/>
          <w:bCs/>
          <w:sz w:val="32"/>
          <w:szCs w:val="32"/>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（一）预算绩效管理工作开展情况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rPr>
          <w:rFonts w:ascii="宋体" w:hAnsi="宋体" w:eastAsia="方正仿宋_GBK" w:cs="方正仿宋_GBK"/>
        </w:rPr>
      </w:pPr>
      <w:r>
        <w:rPr>
          <w:rFonts w:hint="eastAsia" w:ascii="宋体" w:hAnsi="宋体" w:eastAsia="方正仿宋_GBK" w:cs="方正仿宋_GBK"/>
          <w:sz w:val="32"/>
          <w:szCs w:val="32"/>
        </w:rPr>
        <w:t>根据预算绩效管理要求，我单位对1个项目开展了绩效自评，其中，以填报目标自评表形式开展自评1项，涉及资金18.62万元。</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（二）绩效自评结果</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3" w:firstLineChars="200"/>
        <w:jc w:val="both"/>
        <w:textAlignment w:val="auto"/>
        <w:rPr>
          <w:rFonts w:ascii="方正黑体_GBK" w:eastAsia="方正黑体_GBK" w:cs="方正黑体_GBK"/>
          <w:color w:val="000000"/>
          <w:sz w:val="36"/>
          <w:szCs w:val="36"/>
        </w:rPr>
      </w:pPr>
      <w:r>
        <w:rPr>
          <w:rFonts w:hint="eastAsia" w:ascii="宋体" w:hAnsi="宋体" w:eastAsia="方正仿宋_GBK" w:cs="方正仿宋_GBK"/>
          <w:b/>
          <w:bCs/>
          <w:sz w:val="32"/>
        </w:rPr>
        <w:t>1. 绩效目标自评表</w:t>
      </w:r>
    </w:p>
    <w:p>
      <w:pPr>
        <w:pStyle w:val="9"/>
        <w:tabs>
          <w:tab w:val="center" w:pos="4153"/>
          <w:tab w:val="left" w:pos="7275"/>
        </w:tabs>
        <w:spacing w:line="579" w:lineRule="exact"/>
        <w:ind w:firstLine="0" w:firstLineChars="0"/>
        <w:jc w:val="center"/>
        <w:rPr>
          <w:rFonts w:ascii="方正黑体_GBK" w:eastAsia="方正黑体_GBK" w:cs="方正黑体_GBK"/>
          <w:color w:val="000000"/>
          <w:kern w:val="0"/>
          <w:sz w:val="36"/>
          <w:szCs w:val="36"/>
        </w:rPr>
      </w:pPr>
      <w:r>
        <w:rPr>
          <w:rFonts w:hint="eastAsia" w:ascii="方正黑体_GBK" w:eastAsia="方正黑体_GBK" w:cs="方正黑体_GBK"/>
          <w:color w:val="000000"/>
          <w:kern w:val="0"/>
          <w:sz w:val="36"/>
          <w:szCs w:val="36"/>
        </w:rPr>
        <w:t>2024年度项目绩效自评表</w:t>
      </w:r>
    </w:p>
    <w:tbl>
      <w:tblPr>
        <w:tblStyle w:val="6"/>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224"/>
        <w:gridCol w:w="850"/>
        <w:gridCol w:w="830"/>
        <w:gridCol w:w="619"/>
        <w:gridCol w:w="220"/>
        <w:gridCol w:w="840"/>
        <w:gridCol w:w="840"/>
        <w:gridCol w:w="839"/>
        <w:gridCol w:w="419"/>
        <w:gridCol w:w="420"/>
        <w:gridCol w:w="629"/>
        <w:gridCol w:w="21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986" w:type="dxa"/>
            <w:gridSpan w:val="5"/>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安全执法监管经费</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32" w:type="dxa"/>
            <w:gridSpan w:val="7"/>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4"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项目主管</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603-重庆市江津区应急管理局</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财政归口科室</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006-产业发展科</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周晓容</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34"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13594325861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46" w:type="dxa"/>
            <w:vMerge w:val="restart"/>
            <w:noWrap/>
            <w:textDirection w:val="tbRlV"/>
            <w:vAlign w:val="center"/>
          </w:tcPr>
          <w:p>
            <w:pPr>
              <w:widowControl/>
              <w:snapToGrid w:val="0"/>
              <w:ind w:left="113" w:right="113"/>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3" w:type="dxa"/>
            <w:vMerge w:val="restart"/>
            <w:noWrap/>
            <w:vAlign w:val="center"/>
          </w:tcPr>
          <w:p>
            <w:pPr>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全年（调整）预算数</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846" w:type="dxa"/>
            <w:vMerge w:val="continue"/>
            <w:noWrap/>
            <w:vAlign w:val="center"/>
          </w:tcPr>
          <w:p/>
        </w:tc>
        <w:tc>
          <w:tcPr>
            <w:tcW w:w="1463" w:type="dxa"/>
            <w:vMerge w:val="continue"/>
            <w:noWrap/>
            <w:vAlign w:val="center"/>
          </w:tcP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37.24</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18.62</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18.62</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46" w:type="dxa"/>
            <w:vMerge w:val="continue"/>
            <w:noWrap/>
            <w:vAlign w:val="center"/>
          </w:tcP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财政拨款</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37.24</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18.62</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18.62</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46" w:type="dxa"/>
            <w:vMerge w:val="restart"/>
            <w:noWrap/>
            <w:vAlign w:val="center"/>
          </w:tcPr>
          <w:p>
            <w:pPr>
              <w:widowControl/>
              <w:snapToGrid w:val="0"/>
              <w:jc w:val="center"/>
              <w:rPr>
                <w:rFonts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当年绩效目标</w:t>
            </w:r>
          </w:p>
        </w:tc>
        <w:tc>
          <w:tcPr>
            <w:tcW w:w="3367"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519"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392" w:type="dxa"/>
            <w:gridSpan w:val="6"/>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846" w:type="dxa"/>
            <w:vMerge w:val="continue"/>
            <w:noWrap/>
            <w:vAlign w:val="center"/>
          </w:tcPr>
          <w:p/>
        </w:tc>
        <w:tc>
          <w:tcPr>
            <w:tcW w:w="3367"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防较大及较大以上事故，实现生产安全事故起数人死亡人数同比双下降，切实提高安全生产水平。以“十五条硬措施”为抓手，狠抓重点行业专项整治和企业安全生产隐患排查治理，严格督导检查，确保全区安全生产形势逐年向好。</w:t>
            </w:r>
          </w:p>
        </w:tc>
        <w:tc>
          <w:tcPr>
            <w:tcW w:w="2519"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严防较大及较大以上事故，实现生产安全事故起数</w:t>
            </w:r>
            <w:r>
              <w:rPr>
                <w:rFonts w:hint="eastAsia" w:ascii="宋体" w:hAnsi="宋体" w:eastAsia="方正仿宋_GBK" w:cs="方正仿宋_GBK"/>
                <w:color w:val="000000"/>
                <w:kern w:val="0"/>
                <w:sz w:val="24"/>
                <w:szCs w:val="24"/>
                <w:lang w:eastAsia="zh-CN"/>
              </w:rPr>
              <w:t>和</w:t>
            </w:r>
            <w:r>
              <w:rPr>
                <w:rFonts w:hint="eastAsia" w:ascii="宋体" w:hAnsi="宋体" w:eastAsia="方正仿宋_GBK" w:cs="方正仿宋_GBK"/>
                <w:color w:val="000000"/>
                <w:kern w:val="0"/>
                <w:sz w:val="24"/>
                <w:szCs w:val="24"/>
              </w:rPr>
              <w:t>死亡人数同比双下降，切实提高安全生产水平。以“十五条硬措施”为抓手，狠抓重点行业专项整治和企业安全生产隐患排查治理，严格督导检查，确保全区安全生产形势逐年向好。</w:t>
            </w:r>
          </w:p>
        </w:tc>
        <w:tc>
          <w:tcPr>
            <w:tcW w:w="3392" w:type="dxa"/>
            <w:gridSpan w:val="6"/>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全年开展专项督查6次，执法检查企业505家次，排查出重大事故隐患632条，整改630</w:t>
            </w:r>
            <w:r>
              <w:rPr>
                <w:rFonts w:hint="eastAsia" w:ascii="宋体" w:hAnsi="宋体" w:eastAsia="方正仿宋_GBK" w:cs="方正仿宋_GBK"/>
                <w:color w:val="000000"/>
                <w:kern w:val="0"/>
                <w:sz w:val="24"/>
                <w:szCs w:val="24"/>
                <w:lang w:eastAsia="zh-CN"/>
              </w:rPr>
              <w:t>条</w:t>
            </w:r>
            <w:r>
              <w:rPr>
                <w:rFonts w:hint="eastAsia" w:ascii="宋体" w:hAnsi="宋体" w:eastAsia="方正仿宋_GBK" w:cs="方正仿宋_GBK"/>
                <w:color w:val="000000"/>
                <w:kern w:val="0"/>
                <w:sz w:val="24"/>
                <w:szCs w:val="24"/>
              </w:rPr>
              <w:t>，整改率99.7%。行政处罚45起，收缴罚没款780万元。无较大及以上事故发生，无因灾死亡人员。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jc w:val="center"/>
        </w:trPr>
        <w:tc>
          <w:tcPr>
            <w:tcW w:w="846" w:type="dxa"/>
            <w:vMerge w:val="restart"/>
            <w:noWrap/>
            <w:textDirection w:val="tbRlV"/>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偏离度（%）</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督查次数</w:t>
            </w:r>
          </w:p>
        </w:tc>
        <w:tc>
          <w:tcPr>
            <w:tcW w:w="85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次</w:t>
            </w:r>
          </w:p>
        </w:tc>
        <w:tc>
          <w:tcPr>
            <w:tcW w:w="83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6</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6</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0</w:t>
            </w:r>
          </w:p>
        </w:tc>
        <w:tc>
          <w:tcPr>
            <w:tcW w:w="839"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较大事故起数</w:t>
            </w:r>
          </w:p>
        </w:tc>
        <w:tc>
          <w:tcPr>
            <w:tcW w:w="85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起</w:t>
            </w:r>
          </w:p>
        </w:tc>
        <w:tc>
          <w:tcPr>
            <w:tcW w:w="83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0</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20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20</w:t>
            </w:r>
          </w:p>
        </w:tc>
        <w:tc>
          <w:tcPr>
            <w:tcW w:w="875" w:type="dxa"/>
            <w:noWrap/>
            <w:vAlign w:val="center"/>
          </w:tcPr>
          <w:p>
            <w:pPr>
              <w:widowControl/>
              <w:snapToGrid w:val="0"/>
              <w:jc w:val="center"/>
              <w:rPr>
                <w:rFonts w:ascii="宋体" w:hAnsi="宋体" w:eastAsia="方正仿宋_GBK" w:cs="方正仿宋_GBK"/>
                <w:color w:val="000000"/>
                <w:kern w:val="0"/>
                <w:sz w:val="18"/>
                <w:szCs w:val="18"/>
              </w:rPr>
            </w:pPr>
            <w:r>
              <w:rPr>
                <w:rFonts w:hint="eastAsia" w:ascii="宋体" w:hAnsi="宋体" w:eastAsia="方正仿宋_GBK" w:cs="方正仿宋_GBK"/>
                <w:color w:val="000000"/>
                <w:kern w:val="0"/>
                <w:sz w:val="18"/>
                <w:szCs w:val="18"/>
              </w:rPr>
              <w:t>未发生较大及以上生产安全事故。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案件办结率</w:t>
            </w:r>
          </w:p>
        </w:tc>
        <w:tc>
          <w:tcPr>
            <w:tcW w:w="85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90</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90</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0</w:t>
            </w:r>
          </w:p>
        </w:tc>
        <w:tc>
          <w:tcPr>
            <w:tcW w:w="839"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隐患整治合格率</w:t>
            </w:r>
          </w:p>
        </w:tc>
        <w:tc>
          <w:tcPr>
            <w:tcW w:w="85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90</w:t>
            </w:r>
          </w:p>
        </w:tc>
        <w:tc>
          <w:tcPr>
            <w:tcW w:w="840" w:type="dxa"/>
            <w:noWrap/>
            <w:vAlign w:val="center"/>
          </w:tcPr>
          <w:p>
            <w:pPr>
              <w:widowControl/>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99.7</w:t>
            </w:r>
          </w:p>
        </w:tc>
        <w:tc>
          <w:tcPr>
            <w:tcW w:w="840" w:type="dxa"/>
            <w:noWrap/>
            <w:vAlign w:val="center"/>
          </w:tcPr>
          <w:p>
            <w:pPr>
              <w:widowControl/>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10.78</w:t>
            </w:r>
          </w:p>
        </w:tc>
        <w:tc>
          <w:tcPr>
            <w:tcW w:w="839"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案件调查时间</w:t>
            </w:r>
          </w:p>
        </w:tc>
        <w:tc>
          <w:tcPr>
            <w:tcW w:w="85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天</w:t>
            </w:r>
          </w:p>
        </w:tc>
        <w:tc>
          <w:tcPr>
            <w:tcW w:w="830" w:type="dxa"/>
            <w:noWrap/>
            <w:vAlign w:val="center"/>
          </w:tcPr>
          <w:p>
            <w:pPr>
              <w:widowControl/>
              <w:ind w:firstLine="220" w:firstLineChars="100"/>
              <w:jc w:val="lef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60</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60</w:t>
            </w:r>
          </w:p>
        </w:tc>
        <w:tc>
          <w:tcPr>
            <w:tcW w:w="840"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0</w:t>
            </w:r>
          </w:p>
        </w:tc>
        <w:tc>
          <w:tcPr>
            <w:tcW w:w="839" w:type="dxa"/>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eastAsia="方正仿宋_GBK" w:cs="方正仿宋_GBK"/>
                <w:color w:val="000000"/>
                <w:kern w:val="0"/>
                <w:sz w:val="24"/>
                <w:szCs w:val="24"/>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安全生产事故起数下降率</w:t>
            </w:r>
          </w:p>
        </w:tc>
        <w:tc>
          <w:tcPr>
            <w:tcW w:w="85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40" w:type="dxa"/>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14.3</w:t>
            </w:r>
          </w:p>
        </w:tc>
        <w:tc>
          <w:tcPr>
            <w:tcW w:w="840"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43</w:t>
            </w:r>
          </w:p>
        </w:tc>
        <w:tc>
          <w:tcPr>
            <w:tcW w:w="839"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18"/>
                <w:szCs w:val="18"/>
              </w:rPr>
            </w:pPr>
            <w:r>
              <w:rPr>
                <w:rFonts w:hint="eastAsia" w:ascii="宋体" w:hAnsi="宋体" w:eastAsia="方正仿宋_GBK" w:cs="方正仿宋_GBK"/>
                <w:color w:val="000000"/>
                <w:kern w:val="0"/>
                <w:sz w:val="18"/>
                <w:szCs w:val="18"/>
              </w:rPr>
              <w:t>生产安全亡人事故同比减少2起、下降14.3%。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各类事故死亡人数下降率</w:t>
            </w:r>
          </w:p>
        </w:tc>
        <w:tc>
          <w:tcPr>
            <w:tcW w:w="85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15</w:t>
            </w:r>
          </w:p>
        </w:tc>
        <w:tc>
          <w:tcPr>
            <w:tcW w:w="840"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20</w:t>
            </w:r>
          </w:p>
        </w:tc>
        <w:tc>
          <w:tcPr>
            <w:tcW w:w="840" w:type="dxa"/>
            <w:noWrap/>
            <w:vAlign w:val="center"/>
          </w:tcPr>
          <w:p>
            <w:pPr>
              <w:widowControl/>
              <w:jc w:val="right"/>
              <w:textAlignment w:val="center"/>
              <w:rPr>
                <w:rFonts w:ascii="宋体" w:hAnsi="宋体" w:cs="宋体"/>
                <w:color w:val="000000"/>
                <w:kern w:val="0"/>
                <w:sz w:val="22"/>
              </w:rPr>
            </w:pPr>
            <w:r>
              <w:rPr>
                <w:rFonts w:hint="eastAsia" w:ascii="宋体" w:hAnsi="宋体" w:cs="宋体"/>
                <w:color w:val="000000"/>
                <w:kern w:val="0"/>
                <w:sz w:val="22"/>
              </w:rPr>
              <w:t>33.33</w:t>
            </w:r>
          </w:p>
        </w:tc>
        <w:tc>
          <w:tcPr>
            <w:tcW w:w="839"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18"/>
                <w:szCs w:val="18"/>
              </w:rPr>
            </w:pPr>
            <w:r>
              <w:rPr>
                <w:rFonts w:hint="eastAsia" w:ascii="宋体" w:hAnsi="宋体" w:eastAsia="方正仿宋_GBK" w:cs="方正仿宋_GBK"/>
                <w:color w:val="000000"/>
                <w:kern w:val="0"/>
                <w:sz w:val="18"/>
                <w:szCs w:val="18"/>
              </w:rPr>
              <w:t>生产安全死亡人数同比减少3人，下降20%。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846" w:type="dxa"/>
            <w:vMerge w:val="continue"/>
            <w:noWrap/>
            <w:vAlign w:val="center"/>
          </w:tcPr>
          <w:p/>
        </w:tc>
        <w:tc>
          <w:tcPr>
            <w:tcW w:w="1687" w:type="dxa"/>
            <w:gridSpan w:val="2"/>
            <w:noWrap/>
            <w:vAlign w:val="center"/>
          </w:tcPr>
          <w:p>
            <w:pPr>
              <w:widowControl/>
              <w:jc w:val="left"/>
              <w:textAlignment w:val="center"/>
              <w:rPr>
                <w:rFonts w:ascii="宋体" w:hAnsi="宋体" w:cs="宋体"/>
                <w:color w:val="000000"/>
                <w:kern w:val="0"/>
                <w:sz w:val="22"/>
              </w:rPr>
            </w:pPr>
            <w:r>
              <w:rPr>
                <w:rFonts w:hint="eastAsia" w:ascii="宋体" w:hAnsi="宋体" w:cs="宋体"/>
                <w:color w:val="000000"/>
                <w:kern w:val="0"/>
                <w:sz w:val="22"/>
              </w:rPr>
              <w:t>调查对象上诉率</w:t>
            </w:r>
          </w:p>
        </w:tc>
        <w:tc>
          <w:tcPr>
            <w:tcW w:w="85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0" w:type="dxa"/>
            <w:noWrap/>
            <w:vAlign w:val="center"/>
          </w:tcPr>
          <w:p>
            <w:pPr>
              <w:widowControl/>
              <w:ind w:firstLine="220" w:firstLineChars="100"/>
              <w:jc w:val="left"/>
              <w:textAlignment w:val="center"/>
              <w:rPr>
                <w:rFonts w:ascii="宋体" w:hAnsi="宋体" w:cs="宋体"/>
                <w:color w:val="000000"/>
                <w:kern w:val="0"/>
                <w:sz w:val="22"/>
              </w:rPr>
            </w:pPr>
            <w:r>
              <w:rPr>
                <w:rFonts w:hint="eastAsia" w:ascii="宋体" w:hAnsi="宋体" w:cs="宋体"/>
                <w:color w:val="000000"/>
                <w:kern w:val="0"/>
                <w:sz w:val="22"/>
              </w:rPr>
              <w:t>≤</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w:t>
            </w:r>
          </w:p>
        </w:tc>
        <w:tc>
          <w:tcPr>
            <w:tcW w:w="840"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0</w:t>
            </w:r>
          </w:p>
        </w:tc>
        <w:tc>
          <w:tcPr>
            <w:tcW w:w="840"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100</w:t>
            </w:r>
          </w:p>
        </w:tc>
        <w:tc>
          <w:tcPr>
            <w:tcW w:w="839" w:type="dxa"/>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39" w:type="dxa"/>
            <w:gridSpan w:val="2"/>
            <w:noWrap/>
            <w:vAlign w:val="center"/>
          </w:tcPr>
          <w:p>
            <w:pPr>
              <w:widowControl/>
              <w:ind w:firstLine="220" w:firstLineChars="100"/>
              <w:jc w:val="right"/>
              <w:textAlignment w:val="center"/>
              <w:rPr>
                <w:rFonts w:ascii="宋体" w:hAnsi="宋体" w:cs="宋体"/>
                <w:color w:val="000000"/>
                <w:kern w:val="0"/>
                <w:sz w:val="22"/>
              </w:rPr>
            </w:pPr>
            <w:r>
              <w:rPr>
                <w:rFonts w:hint="eastAsia" w:ascii="宋体" w:hAnsi="宋体" w:cs="宋体"/>
                <w:color w:val="000000"/>
                <w:kern w:val="0"/>
                <w:sz w:val="22"/>
              </w:rPr>
              <w:t>10</w:t>
            </w:r>
          </w:p>
        </w:tc>
        <w:tc>
          <w:tcPr>
            <w:tcW w:w="875"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18"/>
                <w:szCs w:val="18"/>
              </w:rPr>
              <w:t>今年没有调查对象上诉案件。</w:t>
            </w:r>
          </w:p>
        </w:tc>
      </w:tr>
    </w:tbl>
    <w:p>
      <w:pPr>
        <w:pStyle w:val="9"/>
        <w:tabs>
          <w:tab w:val="center" w:pos="4153"/>
          <w:tab w:val="left" w:pos="7275"/>
        </w:tabs>
        <w:spacing w:line="579" w:lineRule="exact"/>
        <w:ind w:firstLine="0" w:firstLineChars="0"/>
        <w:jc w:val="center"/>
        <w:rPr>
          <w:rFonts w:ascii="方正黑体_GBK" w:hAnsi="方正黑体_GBK" w:eastAsia="方正黑体_GBK" w:cs="方正黑体_GBK"/>
          <w:color w:val="000000"/>
          <w:kern w:val="0"/>
          <w:sz w:val="36"/>
          <w:szCs w:val="36"/>
        </w:rPr>
      </w:pPr>
    </w:p>
    <w:p>
      <w:pPr>
        <w:pStyle w:val="9"/>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kern w:val="0"/>
          <w:sz w:val="32"/>
          <w:szCs w:val="32"/>
        </w:rPr>
      </w:pPr>
      <w:r>
        <w:rPr>
          <w:rFonts w:hint="eastAsia" w:ascii="宋体" w:hAnsi="宋体" w:eastAsia="方正仿宋_GBK" w:cs="方正仿宋_GBK"/>
          <w:b/>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firstLine="643"/>
        <w:textAlignment w:val="auto"/>
        <w:rPr>
          <w:rFonts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该项目资金主要用于保障单位开展全区安全生产执法检查和督查所需经费支出。2024年开展专项督查6次，执法检查企业505家次，排查出重大事故隐患632条，整改630</w:t>
      </w:r>
      <w:r>
        <w:rPr>
          <w:rFonts w:hint="eastAsia" w:ascii="方正仿宋_GBK" w:hAnsi="方正仿宋_GBK" w:eastAsia="方正仿宋_GBK" w:cs="方正仿宋_GBK"/>
          <w:color w:val="000000"/>
          <w:kern w:val="0"/>
          <w:sz w:val="32"/>
          <w:szCs w:val="32"/>
          <w:lang w:eastAsia="zh-CN"/>
        </w:rPr>
        <w:t>条</w:t>
      </w:r>
      <w:bookmarkStart w:id="0" w:name="_GoBack"/>
      <w:bookmarkEnd w:id="0"/>
      <w:r>
        <w:rPr>
          <w:rFonts w:hint="eastAsia" w:ascii="方正仿宋_GBK" w:hAnsi="方正仿宋_GBK" w:eastAsia="方正仿宋_GBK" w:cs="方正仿宋_GBK"/>
          <w:color w:val="000000"/>
          <w:kern w:val="0"/>
          <w:sz w:val="32"/>
          <w:szCs w:val="32"/>
        </w:rPr>
        <w:t>，整改率99.7%。行政处罚45起，收缴罚没款780万元。无较大及以上事故发生，无因灾死亡人员。年末绩效评价达到年初预设的各项指标。</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numPr>
          <w:ilvl w:val="0"/>
          <w:numId w:val="3"/>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（一）财政拨款收入：指本年度从本级财政单位取得的财政拨款，包括一般公共预算财政拨款和政府性基金预算财政拨款。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（二）年初结转和结余：指单位上年结转本年使用的基本支出结转、项目支出结转和结余、经营结余。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（三）年末结转和结余：指单位结转下年的基本支出结转、项目支出结转和结余、经营结余。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（五）项目支出：指在基本支出之外为完成特定行政任务和事业发展目标所发生的支出。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六）“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七）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（八）工资福利支出（支出经济分类科目类级）：反映单位开支的在职职工和编制外长期聘用人员的各类劳动报酬，以及为上述人员缴纳的各项社会保险费等。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（九）商品和服务支出（支出经济分类科目类级）：反映单位购买商品和服务的支出（不包括用于购置固定资产的支出、战略性和应急储备支出）。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eastAsia="方正仿宋_GBK" w:cs="方正仿宋_GBK"/>
          <w:sz w:val="32"/>
          <w:szCs w:val="32"/>
        </w:rPr>
      </w:pPr>
      <w:r>
        <w:rPr>
          <w:rFonts w:hint="eastAsia" w:ascii="宋体" w:hAnsi="宋体" w:eastAsia="方正仿宋_GBK" w:cs="方正仿宋_GBK"/>
          <w:sz w:val="32"/>
          <w:szCs w:val="32"/>
        </w:rPr>
        <w:t>（十）对个人和家庭的补助（支出经济分类科目类级）：反映用于对个人和家庭的补助支出。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 xml:space="preserve">联系人：李剑冰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联系电话：13637711699</w:t>
      </w:r>
    </w:p>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36AF54E0"/>
    <w:multiLevelType w:val="singleLevel"/>
    <w:tmpl w:val="36AF54E0"/>
    <w:lvl w:ilvl="0" w:tentative="0">
      <w:start w:val="2"/>
      <w:numFmt w:val="decimal"/>
      <w:suff w:val="space"/>
      <w:lvlText w:val="%1."/>
      <w:lvlJc w:val="left"/>
    </w:lvl>
  </w:abstractNum>
  <w:abstractNum w:abstractNumId="2">
    <w:nsid w:val="7FC6D37E"/>
    <w:multiLevelType w:val="singleLevel"/>
    <w:tmpl w:val="7FC6D37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evenAndOddHeaders w:val="true"/>
  <w:drawingGridHorizontalSpacing w:val="21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43BC"/>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1674"/>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59EB"/>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1385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AF5332"/>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80241B"/>
    <w:rsid w:val="07A34544"/>
    <w:rsid w:val="07FF2D3A"/>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66A94"/>
    <w:rsid w:val="0C994F52"/>
    <w:rsid w:val="0CB6160D"/>
    <w:rsid w:val="0D4A231C"/>
    <w:rsid w:val="0DBA0DC1"/>
    <w:rsid w:val="0DCE605A"/>
    <w:rsid w:val="0E5158C5"/>
    <w:rsid w:val="0E686F94"/>
    <w:rsid w:val="0E7C4EE8"/>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22C2E"/>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657D26"/>
    <w:rsid w:val="18C66253"/>
    <w:rsid w:val="18CD5743"/>
    <w:rsid w:val="19102702"/>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81B2A"/>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E21CDC"/>
    <w:rsid w:val="2BFF60E5"/>
    <w:rsid w:val="2C0042E3"/>
    <w:rsid w:val="2C0D59AC"/>
    <w:rsid w:val="2C2D5D74"/>
    <w:rsid w:val="2C334F61"/>
    <w:rsid w:val="2C3D20DB"/>
    <w:rsid w:val="2C71221F"/>
    <w:rsid w:val="2C715093"/>
    <w:rsid w:val="2CF75D34"/>
    <w:rsid w:val="2CFD5E81"/>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00E56"/>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157AA9"/>
    <w:rsid w:val="3E247857"/>
    <w:rsid w:val="3E984240"/>
    <w:rsid w:val="3EAD34C3"/>
    <w:rsid w:val="3EBE7C37"/>
    <w:rsid w:val="3F120426"/>
    <w:rsid w:val="3F1976B6"/>
    <w:rsid w:val="3F5E6431"/>
    <w:rsid w:val="3F8C0907"/>
    <w:rsid w:val="3F9B5E29"/>
    <w:rsid w:val="400454FD"/>
    <w:rsid w:val="40552C1F"/>
    <w:rsid w:val="4057229F"/>
    <w:rsid w:val="405F7DEE"/>
    <w:rsid w:val="409749EB"/>
    <w:rsid w:val="40992FB0"/>
    <w:rsid w:val="40DB7824"/>
    <w:rsid w:val="410115DD"/>
    <w:rsid w:val="418A21AD"/>
    <w:rsid w:val="41A212A1"/>
    <w:rsid w:val="41EC42BB"/>
    <w:rsid w:val="420936C7"/>
    <w:rsid w:val="42224789"/>
    <w:rsid w:val="4239228E"/>
    <w:rsid w:val="428A1304"/>
    <w:rsid w:val="42E44C98"/>
    <w:rsid w:val="431B6113"/>
    <w:rsid w:val="438834DF"/>
    <w:rsid w:val="43A20A3C"/>
    <w:rsid w:val="44051FB1"/>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105B2D"/>
    <w:rsid w:val="48206AB3"/>
    <w:rsid w:val="4849652E"/>
    <w:rsid w:val="487415C1"/>
    <w:rsid w:val="48813383"/>
    <w:rsid w:val="48994869"/>
    <w:rsid w:val="489B6E47"/>
    <w:rsid w:val="48B91344"/>
    <w:rsid w:val="48C3403D"/>
    <w:rsid w:val="4901682D"/>
    <w:rsid w:val="491F1E3E"/>
    <w:rsid w:val="497E4D40"/>
    <w:rsid w:val="498D6EB3"/>
    <w:rsid w:val="49932C9F"/>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AF78F2"/>
    <w:rsid w:val="4CBA3F1B"/>
    <w:rsid w:val="4CC1550E"/>
    <w:rsid w:val="4CCB5B06"/>
    <w:rsid w:val="4D0A37F3"/>
    <w:rsid w:val="4D380018"/>
    <w:rsid w:val="4D585803"/>
    <w:rsid w:val="4D7D0483"/>
    <w:rsid w:val="4D8712EF"/>
    <w:rsid w:val="4DA22C22"/>
    <w:rsid w:val="4DCF7EBB"/>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24389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2402A0"/>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9D7CBB"/>
    <w:rsid w:val="63B16DA6"/>
    <w:rsid w:val="64325BAA"/>
    <w:rsid w:val="6474563E"/>
    <w:rsid w:val="64DD2E2F"/>
    <w:rsid w:val="650C79CC"/>
    <w:rsid w:val="651F0B40"/>
    <w:rsid w:val="652A3DEE"/>
    <w:rsid w:val="654A3BA1"/>
    <w:rsid w:val="65720792"/>
    <w:rsid w:val="65727ED4"/>
    <w:rsid w:val="658D11B9"/>
    <w:rsid w:val="65A15618"/>
    <w:rsid w:val="660467A7"/>
    <w:rsid w:val="66471D7C"/>
    <w:rsid w:val="667D6EFB"/>
    <w:rsid w:val="66B23A7E"/>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5A64AC"/>
    <w:rsid w:val="6E904287"/>
    <w:rsid w:val="6EA83056"/>
    <w:rsid w:val="6EB55F1D"/>
    <w:rsid w:val="6EBE51FD"/>
    <w:rsid w:val="6EF364B6"/>
    <w:rsid w:val="6F2540A9"/>
    <w:rsid w:val="700B56BF"/>
    <w:rsid w:val="700F5C73"/>
    <w:rsid w:val="70817FC6"/>
    <w:rsid w:val="70AF0E0B"/>
    <w:rsid w:val="70C87CAA"/>
    <w:rsid w:val="70CF179B"/>
    <w:rsid w:val="716940B2"/>
    <w:rsid w:val="71723BF8"/>
    <w:rsid w:val="71B459C5"/>
    <w:rsid w:val="71CB4143"/>
    <w:rsid w:val="721C092E"/>
    <w:rsid w:val="723D7934"/>
    <w:rsid w:val="727266B8"/>
    <w:rsid w:val="72804A5F"/>
    <w:rsid w:val="72C81D24"/>
    <w:rsid w:val="73510736"/>
    <w:rsid w:val="73772C48"/>
    <w:rsid w:val="73B34B68"/>
    <w:rsid w:val="73C87749"/>
    <w:rsid w:val="740A5F00"/>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A67F14"/>
    <w:rsid w:val="7EB36D53"/>
    <w:rsid w:val="7EF23A73"/>
    <w:rsid w:val="7F523D4E"/>
    <w:rsid w:val="7F7D4793"/>
    <w:rsid w:val="E7BB4284"/>
    <w:rsid w:val="F3FD6B2F"/>
    <w:rsid w:val="FDCF36B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4688</Words>
  <Characters>5409</Characters>
  <Lines>39</Lines>
  <Paragraphs>11</Paragraphs>
  <TotalTime>7</TotalTime>
  <ScaleCrop>false</ScaleCrop>
  <LinksUpToDate>false</LinksUpToDate>
  <CharactersWithSpaces>5412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2025-08-21T09:42:57Z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y fmtid="{D5CDD505-2E9C-101B-9397-08002B2CF9AE}" pid="4" name="KSOTemplateDocerSaveRecord">
    <vt:lpwstr>eyJoZGlkIjoiNzY5ZTA2M2M4NGI0MjM3MWRhYTlmNTZlYTNiYTcxNzYiLCJ1c2VySWQiOiI0NTA3MzA0MjAifQ==</vt:lpwstr>
  </property>
</Properties>
</file>