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重庆市江津区应急管理局（本级）</w:t>
      </w:r>
    </w:p>
    <w:p>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2024年度决算公开说明</w:t>
      </w:r>
    </w:p>
    <w:p>
      <w:pPr>
        <w:spacing w:line="579" w:lineRule="exact"/>
        <w:ind w:firstLine="1100" w:firstLineChars="250"/>
        <w:rPr>
          <w:rFonts w:ascii="宋体" w:hAnsi="宋体" w:eastAsia="方正仿宋_GBK" w:cs="方正仿宋_GBK"/>
          <w:sz w:val="44"/>
          <w:szCs w:val="44"/>
        </w:rPr>
      </w:pPr>
    </w:p>
    <w:p>
      <w:pPr>
        <w:pStyle w:val="9"/>
        <w:keepNext w:val="0"/>
        <w:keepLines w:val="0"/>
        <w:pageBreakBefore w:val="0"/>
        <w:tabs>
          <w:tab w:val="center" w:pos="4153"/>
          <w:tab w:val="left" w:pos="7275"/>
        </w:tabs>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（一）职能职责</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方正仿宋_GBK" w:eastAsia="方正仿宋_GBK" w:cs="仿宋_GB2312"/>
          <w:sz w:val="32"/>
          <w:szCs w:val="32"/>
        </w:rPr>
        <w:t>负责全区应急管理工作，指导各级各部门应对安全生产类、自然灾害类等突发事件和综合防灾减灾救灾工作。负责安全生产综合监督管理工作和工矿商贸行业安全生产监督管理工作；危险化学品安全监督管理综合工作和烟花爆竹安全生产监督管理工作。牵头建立全区统一的应急管理信息系统，建立监测预警和灾情报告制度,依法统一发布灾情。组织指导协调安全生产类、自然灾害类等突发事件应急救援，承担全区应对灾害指挥协调工作，协助区委、区政府指定的负责同志组织灾害应急处置工作。负责提出区级救灾物资、安全生产应急救援物资的储备需求和动用决策，组织编制区级救灾物资、安全生产应急救援装备储备规划、品种目录和标准；负责事故灾害救援装备的收储、轮换和日常管理。指导协调森林火灾、水旱灾害、地震和地质灾害等防治工作；组织协调灾害救助工作。依法行使安全生产综合监督管理职权，组织开展安全生产巡查、考核工作。承担区政府安全生产委员会日常工作。</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（二）机构设置</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方正仿宋_GBK" w:eastAsia="方正仿宋_GBK" w:cs="仿宋_GB2312"/>
          <w:sz w:val="32"/>
          <w:szCs w:val="32"/>
        </w:rPr>
        <w:t>单位内设7个科室：办公室、应急指挥中心、综合防治科、安全生产综合协调科（重庆市江津区安全生产委员会办公室）、危险化学品安全监督管理科（行政审批科）、工矿商贸安全监督管理科、装备财务科。人员编制19人，年末实有人数15人。</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二、单位决算情况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（一）单位收支总体情况</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1.收入支出总体情况。</w:t>
      </w:r>
      <w:r>
        <w:rPr>
          <w:rFonts w:hint="eastAsia" w:ascii="宋体" w:hAnsi="宋体" w:eastAsia="方正仿宋_GBK" w:cs="方正仿宋_GBK"/>
          <w:sz w:val="32"/>
          <w:szCs w:val="32"/>
        </w:rPr>
        <w:t>2024年度收入总计798.20万元，支出总计798.20万元。收支较上年减少110.43万元，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12.15%，主要原因为减少了森林防火救灾和执法监管两个项目资金，所以本年收支总体下降。</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2.收入情况。</w:t>
      </w:r>
      <w:r>
        <w:rPr>
          <w:rFonts w:hint="eastAsia" w:ascii="宋体" w:hAnsi="宋体" w:eastAsia="方正仿宋_GBK" w:cs="方正仿宋_GBK"/>
          <w:sz w:val="32"/>
          <w:szCs w:val="32"/>
        </w:rPr>
        <w:t>2024年度本年收入合计798.20万元，较上年减少110.43万元，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12.15%，主要原因为今年没有森林防火救灾和执法监管两个项目资金收入，所以收入下降。其中：财政拨款收入798.20万元，占比100%。</w:t>
      </w:r>
      <w:r>
        <w:rPr>
          <w:rFonts w:ascii="方正仿宋_GBK" w:hAnsi="方正仿宋_GBK" w:eastAsia="方正仿宋_GBK" w:cs="方正仿宋_GBK"/>
          <w:sz w:val="32"/>
          <w:szCs w:val="32"/>
          <w:shd w:val="clear" w:color="auto" w:fill="FFFFFF"/>
        </w:rPr>
        <w:t>此外，使用年初结转和结余</w:t>
      </w:r>
      <w:r>
        <w:rPr>
          <w:rFonts w:hint="eastAsia"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3.支出情况。</w:t>
      </w:r>
      <w:r>
        <w:rPr>
          <w:rFonts w:hint="eastAsia" w:ascii="宋体" w:hAnsi="宋体" w:eastAsia="方正仿宋_GBK" w:cs="方正仿宋_GBK"/>
          <w:sz w:val="32"/>
          <w:szCs w:val="32"/>
        </w:rPr>
        <w:t>2024年度本年支出合计798.20万元，较上年减少110.43万元，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12.15%，主要原因为减少了森林防火救灾和执法监管两个项目经费支出，所以本年支出下降。其中：基本支出581.60万元，占比72.86%；项目支出216.60万元，占比27.14%。</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4.</w:t>
      </w:r>
      <w:r>
        <w:rPr>
          <w:rFonts w:hint="eastAsia" w:ascii="宋体" w:hAnsi="宋体" w:eastAsia="方正仿宋_GBK" w:cs="方正仿宋_GBK"/>
          <w:b/>
          <w:bCs/>
          <w:sz w:val="32"/>
          <w:szCs w:val="32"/>
        </w:rPr>
        <w:t>结转结余情况。</w:t>
      </w:r>
      <w:r>
        <w:rPr>
          <w:rFonts w:hint="eastAsia" w:ascii="宋体" w:hAnsi="宋体" w:eastAsia="方正仿宋_GBK" w:cs="方正仿宋_GBK"/>
          <w:sz w:val="32"/>
          <w:szCs w:val="32"/>
        </w:rPr>
        <w:t>2024年度年末结转和结余0万元，与2023年度持平</w:t>
      </w:r>
      <w:r>
        <w:rPr>
          <w:rFonts w:hint="eastAsia" w:ascii="宋体" w:hAnsi="宋体" w:eastAsia="方正仿宋_GBK" w:cs="方正仿宋_GBK"/>
          <w:kern w:val="0"/>
          <w:sz w:val="32"/>
          <w:szCs w:val="32"/>
        </w:rPr>
        <w:t>。</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（二）财政拨款收支总体情况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2024年度财政拨款收入总计798.20万元，支出总计798.20万元。收支较上年</w:t>
      </w:r>
      <w:r>
        <w:rPr>
          <w:rFonts w:hint="eastAsia" w:ascii="宋体" w:hAnsi="宋体" w:eastAsia="方正仿宋_GBK" w:cs="方正仿宋_GBK"/>
          <w:sz w:val="32"/>
          <w:szCs w:val="32"/>
        </w:rPr>
        <w:t>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12.15%，主要原因为减少了森林防火救灾和执法监管两个项目财政拨款资金，所以本年财政拨款收支总体下降</w:t>
      </w:r>
      <w:r>
        <w:rPr>
          <w:rFonts w:hint="eastAsia" w:ascii="宋体" w:hAnsi="宋体" w:eastAsia="方正仿宋_GBK" w:cs="方正仿宋_GBK"/>
          <w:sz w:val="32"/>
        </w:rPr>
        <w:t>。</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（三）一般公共预算财政拨款收支总体情况</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1.收入情况。</w:t>
      </w:r>
      <w:r>
        <w:rPr>
          <w:rFonts w:hint="eastAsia" w:ascii="宋体" w:hAnsi="宋体" w:eastAsia="方正仿宋_GBK" w:cs="方正仿宋_GBK"/>
          <w:sz w:val="32"/>
        </w:rPr>
        <w:t>2024年度一般公共预算财政拨款收入798.20万元，较上年决算数</w:t>
      </w:r>
      <w:r>
        <w:rPr>
          <w:rFonts w:hint="eastAsia" w:ascii="宋体" w:hAnsi="宋体" w:eastAsia="方正仿宋_GBK" w:cs="方正仿宋_GBK"/>
          <w:sz w:val="32"/>
          <w:szCs w:val="32"/>
        </w:rPr>
        <w:t>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w:t>
      </w:r>
      <w:r>
        <w:rPr>
          <w:rFonts w:hint="eastAsia" w:ascii="宋体" w:hAnsi="宋体" w:eastAsia="方正仿宋_GBK" w:cs="方正仿宋_GBK"/>
          <w:sz w:val="32"/>
        </w:rPr>
        <w:t>，主要原因为</w:t>
      </w:r>
      <w:r>
        <w:rPr>
          <w:rFonts w:hint="eastAsia" w:ascii="宋体" w:hAnsi="宋体" w:eastAsia="方正仿宋_GBK" w:cs="方正仿宋_GBK"/>
          <w:sz w:val="32"/>
          <w:szCs w:val="32"/>
        </w:rPr>
        <w:t>减少了森林防火救灾和执法监管两个项目收入资金，所以本年一般公共预算财政拨款收入下降。</w:t>
      </w:r>
      <w:r>
        <w:rPr>
          <w:rFonts w:hint="eastAsia" w:ascii="宋体" w:hAnsi="宋体" w:eastAsia="方正仿宋_GBK" w:cs="方正仿宋_GBK"/>
          <w:sz w:val="32"/>
        </w:rPr>
        <w:t>较年初预算数增加159.03万元，增长24.88%，主要原因是当年新增全市“互联网+执法”行动、“柴油一件事”平台运用前期准备工作及全区自然灾害综合应急演练等工作，增加了专项资金收入。</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2.支出情况。</w:t>
      </w:r>
      <w:r>
        <w:rPr>
          <w:rFonts w:hint="eastAsia" w:ascii="宋体" w:hAnsi="宋体" w:eastAsia="方正仿宋_GBK" w:cs="方正仿宋_GBK"/>
          <w:sz w:val="32"/>
        </w:rPr>
        <w:t>2024年度一般公共预算财政拨款支出798.20万元，较上年决算数</w:t>
      </w:r>
      <w:r>
        <w:rPr>
          <w:rFonts w:hint="eastAsia" w:ascii="宋体" w:hAnsi="宋体" w:eastAsia="方正仿宋_GBK" w:cs="方正仿宋_GBK"/>
          <w:sz w:val="32"/>
          <w:szCs w:val="32"/>
        </w:rPr>
        <w:t>减少110.43万元，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12.15%</w:t>
      </w:r>
      <w:r>
        <w:rPr>
          <w:rFonts w:hint="eastAsia" w:ascii="宋体" w:hAnsi="宋体" w:eastAsia="方正仿宋_GBK" w:cs="方正仿宋_GBK"/>
          <w:sz w:val="32"/>
        </w:rPr>
        <w:t>，主要原因为</w:t>
      </w:r>
      <w:r>
        <w:rPr>
          <w:rFonts w:hint="eastAsia" w:ascii="宋体" w:hAnsi="宋体" w:eastAsia="方正仿宋_GBK" w:cs="方正仿宋_GBK"/>
          <w:sz w:val="32"/>
          <w:szCs w:val="32"/>
        </w:rPr>
        <w:t>减少了森林防火救灾和执法监管两个项目经费支出，所以本年</w:t>
      </w:r>
      <w:r>
        <w:rPr>
          <w:rFonts w:hint="eastAsia" w:ascii="宋体" w:hAnsi="宋体" w:eastAsia="方正仿宋_GBK" w:cs="方正仿宋_GBK"/>
          <w:sz w:val="32"/>
        </w:rPr>
        <w:t>一般公共预算财政拨款</w:t>
      </w:r>
      <w:r>
        <w:rPr>
          <w:rFonts w:hint="eastAsia" w:ascii="宋体" w:hAnsi="宋体" w:eastAsia="方正仿宋_GBK" w:cs="方正仿宋_GBK"/>
          <w:sz w:val="32"/>
          <w:szCs w:val="32"/>
        </w:rPr>
        <w:t>支出下降。</w:t>
      </w:r>
      <w:r>
        <w:rPr>
          <w:rFonts w:hint="eastAsia" w:ascii="宋体" w:hAnsi="宋体" w:eastAsia="方正仿宋_GBK" w:cs="方正仿宋_GBK"/>
          <w:sz w:val="32"/>
        </w:rPr>
        <w:t>较年初预算数增加159.03万元，增长24.88%，主要原因是当年新增全市“互联网+执法”行动、“柴油一件事”平台运用前期准备工作及全区自然灾害综合应急演练等工作，增加了专项经费支出。</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3.结转结余情况。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持平。</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w:t>
      </w:r>
      <w:r>
        <w:rPr>
          <w:rFonts w:hint="eastAsia" w:ascii="宋体" w:hAnsi="宋体" w:eastAsia="方正仿宋_GBK" w:cs="方正仿宋_GBK"/>
          <w:b/>
          <w:bCs/>
          <w:kern w:val="2"/>
          <w:sz w:val="32"/>
        </w:rPr>
        <w:t>比较情况。</w:t>
      </w:r>
      <w:r>
        <w:rPr>
          <w:rFonts w:hint="eastAsia" w:ascii="宋体" w:hAnsi="宋体" w:eastAsia="方正仿宋_GBK" w:cs="方正仿宋_GBK"/>
          <w:sz w:val="32"/>
        </w:rPr>
        <w:t>本单位2024年度一般公共预算财政拨款支出主要用于以下几个方面：</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（1）教育支出2.21万元，占比0.28%。较年初预算数减少0.22万元，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9.05%，主要原因是为节省单位开支，开展线上网络培训，减少教育培训支出。</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（2）社会保障和就业支出129.91万元，占比16.28%，较年初预算数增加24.24万元，</w:t>
      </w:r>
      <w:r>
        <w:rPr>
          <w:rFonts w:hint="eastAsia" w:ascii="宋体" w:hAnsi="宋体" w:eastAsia="方正仿宋_GBK" w:cs="方正仿宋_GBK"/>
          <w:sz w:val="32"/>
          <w:lang w:val="en-US" w:eastAsia="zh-CN"/>
        </w:rPr>
        <w:t>增长</w:t>
      </w:r>
      <w:r>
        <w:rPr>
          <w:rFonts w:hint="eastAsia" w:ascii="宋体" w:hAnsi="宋体" w:eastAsia="方正仿宋_GBK" w:cs="方正仿宋_GBK"/>
          <w:sz w:val="32"/>
        </w:rPr>
        <w:t>22.94%，主要原因是工资调资、社会保障和就业支出增加。</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（3）卫生健康支出32.77万元，占比4.11%，较年初预算数减少3.01万元，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8.41%，主要原因是单位年中有人员退休，该项支出减少。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（4）住房保障支出31.35万元，占比3.92%，较年初预算数减少4.09万元，下降11.54%，主要原因单位年中有人员退休，该项支出减少。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（5）灾害防治及应急管理支出601.96万元，占比75.41%，较年初预算数增加142.11万元，增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30.90%，主要原因是当年新增全市“互联网+执法”行动、“柴油一件事”平台运用前期准备工作及全区自然灾害综合应急演练等工作，增加了专项经费支出。</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（四）</w:t>
      </w:r>
      <w:r>
        <w:rPr>
          <w:rStyle w:val="14"/>
          <w:rFonts w:hint="eastAsia" w:ascii="宋体" w:hAnsi="宋体" w:eastAsia="方正楷体_GBK" w:cs="方正楷体_GBK"/>
          <w:b w:val="0"/>
          <w:bCs/>
          <w:sz w:val="32"/>
          <w:szCs w:val="32"/>
          <w:shd w:val="clear" w:color="auto" w:fill="FFFFFF"/>
        </w:rPr>
        <w:t>一般公共预算财政拨款基本支出情况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一般公共预算财政拨款基本支出581.60万元。其中：人员经费505.56万元，人员经费用途主要包括：基本工资115.35万元、津贴补贴66.51万元、奖金119.17万元、伙食补助费3.00万元、基本养老保险缴费48.45万元、职业年金缴费24.37万元、基本医保缴费19.45万元、公务员医疗补助缴费5.04万元、其他社保保障缴费6.04万元、住房公积金31.35万元、对个人和家庭的补助支出66.83万元。较上年决算数增加19.11万元，增长3.93%，主要原因是人员工资调增和补发津补贴，增加人员工资和社会保障等经费支出。公用经费76.04万元，主要用于办公费3.77万元、水电费0.93万元、邮电费4.39万元、物业管理费0.08万元、差旅费0.34万元、会议费0.18万元、培训费2.21万元、公务接待费1.38万元、劳务费0.5万元、工会经费20.07万元、福利费6.44万元、公务用车运行维护费6万元、其他交通费用17.6万元、其他商品和服务支出12.15万元。较上年决算数减少25.44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25.07%，主要原因</w:t>
      </w:r>
      <w:r>
        <w:rPr>
          <w:rFonts w:hint="eastAsia" w:ascii="宋体" w:hAnsi="宋体" w:eastAsia="方正仿宋_GBK" w:cs="方正仿宋_GBK"/>
          <w:sz w:val="32"/>
          <w:lang w:eastAsia="zh-CN"/>
        </w:rPr>
        <w:t>是</w:t>
      </w:r>
      <w:r>
        <w:rPr>
          <w:rFonts w:hint="eastAsia" w:ascii="宋体" w:hAnsi="宋体" w:eastAsia="方正仿宋_GBK" w:cs="方正仿宋_GBK"/>
          <w:sz w:val="32"/>
        </w:rPr>
        <w:t>响应政府号召，减少公用经费支出。</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（五）政府性基金预算收支决算情况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度无政府性基金预算财政拨款收支</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（六）国有资本经营预算财政拨款支出决算情况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度无国有资本经营预算财政拨款支出。</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三、“三公”经费情况</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（一）“三公”经费支出总体情况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2024年度“三公”经费支出共计7.38万元，较年初预算数减少0.62万元，下降7.75%，主要原因是响应政府号召，节省“三公”经费支出。较上年支出数减少4.61万元，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38.44%，主要原因是响应政府过“紧日子苦日子”号召，减少公务车运行维护费和接待费用，“三公”经费减少。</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shd w:val="clear" w:color="auto" w:fill="FFFFFF"/>
        </w:rPr>
      </w:pPr>
      <w:r>
        <w:rPr>
          <w:rFonts w:eastAsia="方正仿宋_GBK" w:cs="方正仿宋_GBK"/>
          <w:sz w:val="32"/>
          <w:szCs w:val="32"/>
          <w:shd w:val="clear" w:color="auto" w:fill="FFFFFF"/>
        </w:rPr>
        <w:t>202</w:t>
      </w:r>
      <w:r>
        <w:rPr>
          <w:rFonts w:hint="eastAsia" w:eastAsia="方正仿宋_GBK" w:cs="方正仿宋_GBK"/>
          <w:sz w:val="32"/>
          <w:szCs w:val="32"/>
          <w:shd w:val="clear" w:color="auto" w:fill="FFFFFF"/>
        </w:rPr>
        <w:t>4</w:t>
      </w:r>
      <w:r>
        <w:rPr>
          <w:rFonts w:hint="eastAsia" w:ascii="宋体" w:hAnsi="宋体" w:eastAsia="方正仿宋_GBK" w:cs="方正仿宋_GBK"/>
          <w:sz w:val="32"/>
          <w:szCs w:val="32"/>
          <w:shd w:val="clear" w:color="auto" w:fill="FFFFFF"/>
        </w:rPr>
        <w:t>年度本单位因公出国（境）费用</w:t>
      </w:r>
      <w:r>
        <w:rPr>
          <w:rFonts w:hint="eastAsia" w:eastAsia="方正仿宋_GBK" w:cs="方正仿宋_GBK"/>
          <w:sz w:val="32"/>
          <w:szCs w:val="32"/>
        </w:rPr>
        <w:t>0</w:t>
      </w:r>
      <w:r>
        <w:rPr>
          <w:rFonts w:hint="eastAsia" w:ascii="宋体" w:hAnsi="宋体" w:eastAsia="方正仿宋_GBK" w:cs="方正仿宋_GBK"/>
          <w:sz w:val="32"/>
          <w:szCs w:val="32"/>
          <w:shd w:val="clear" w:color="auto" w:fill="FFFFFF"/>
        </w:rPr>
        <w:t>万元，较年初预算数无增减，与去年持平。</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16" w:firstLineChars="200"/>
        <w:jc w:val="both"/>
        <w:textAlignment w:val="auto"/>
        <w:rPr>
          <w:rFonts w:ascii="宋体" w:hAnsi="宋体" w:eastAsia="方正仿宋_GBK" w:cs="方正仿宋_GBK"/>
          <w:sz w:val="32"/>
          <w:szCs w:val="32"/>
          <w:shd w:val="clear" w:color="auto" w:fill="FFFFFF"/>
        </w:rPr>
      </w:pPr>
      <w:r>
        <w:rPr>
          <w:rFonts w:hint="eastAsia" w:ascii="宋体" w:hAnsi="宋体" w:eastAsia="方正仿宋_GBK" w:cs="方正仿宋_GBK"/>
          <w:spacing w:val="-6"/>
          <w:sz w:val="32"/>
          <w:szCs w:val="32"/>
          <w:shd w:val="clear" w:color="auto" w:fill="FFFFFF"/>
        </w:rPr>
        <w:t>公务车购置费</w:t>
      </w:r>
      <w:r>
        <w:rPr>
          <w:rFonts w:hint="eastAsia" w:ascii="宋体" w:hAnsi="宋体" w:eastAsia="方正仿宋_GBK" w:cs="方正仿宋_GBK"/>
          <w:spacing w:val="-6"/>
          <w:sz w:val="32"/>
          <w:szCs w:val="32"/>
        </w:rPr>
        <w:t>0</w:t>
      </w:r>
      <w:r>
        <w:rPr>
          <w:rFonts w:hint="eastAsia" w:ascii="宋体" w:hAnsi="宋体" w:eastAsia="方正仿宋_GBK" w:cs="方正仿宋_GBK"/>
          <w:spacing w:val="-6"/>
          <w:sz w:val="32"/>
          <w:szCs w:val="32"/>
          <w:shd w:val="clear" w:color="auto" w:fill="FFFFFF"/>
        </w:rPr>
        <w:t>万元，较年初预算数无增减，与去年持平。</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公务车运行维护费</w:t>
      </w:r>
      <w:r>
        <w:rPr>
          <w:rFonts w:hint="eastAsia" w:ascii="宋体" w:hAnsi="宋体" w:eastAsia="方正仿宋_GBK" w:cs="方正仿宋_GBK"/>
          <w:sz w:val="32"/>
          <w:szCs w:val="32"/>
          <w:shd w:val="clear" w:color="auto" w:fill="FFFFFF"/>
        </w:rPr>
        <w:t>6.00万元，主要用于单位公务车维修维护费、停车费、高速路过路费、洗车费和油费。费用支出与年初预算</w:t>
      </w:r>
      <w:r>
        <w:rPr>
          <w:rFonts w:hint="eastAsia" w:ascii="宋体" w:hAnsi="宋体" w:eastAsia="方正仿宋_GBK" w:cs="方正仿宋_GBK"/>
          <w:sz w:val="32"/>
        </w:rPr>
        <w:t>数持平，较上年支出数减少4.00万元，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40.01%，主要原因是为减轻财政负担，减少车均公务车运行维护费。</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公务接待费1.38万元，</w:t>
      </w:r>
      <w:r>
        <w:rPr>
          <w:rFonts w:hint="eastAsia" w:ascii="宋体" w:hAnsi="宋体" w:eastAsia="方正仿宋_GBK" w:cs="方正仿宋_GBK"/>
          <w:sz w:val="32"/>
          <w:szCs w:val="32"/>
          <w:shd w:val="clear" w:color="auto" w:fill="FFFFFF"/>
        </w:rPr>
        <w:t>主要用于上级部门督查、调研、友邻区县交叉检查等接待支出。</w:t>
      </w:r>
      <w:r>
        <w:rPr>
          <w:rFonts w:hint="eastAsia" w:ascii="宋体" w:hAnsi="宋体" w:eastAsia="方正仿宋_GBK" w:cs="方正仿宋_GBK"/>
          <w:sz w:val="32"/>
        </w:rPr>
        <w:t>费用支出较年初预算数减少0.62万元，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31.00%；较上年支出数减少0.61万元，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30.56%，主要原因是执行中央八项规定，减少接待费支出。</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本单位因公出国（境）共计0个团组，0人；公务用车购置0辆，公务车保有量为2辆；国内公务接待19批次148人，其中：国内外事接待0批次，0人；国（境）外公务接待0批次，0人。人均接待费93.24元，车均购置费0万元，车均维护费3万元。</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四、其他需要说明的事项</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增加0.15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增</w:t>
      </w:r>
      <w:r>
        <w:rPr>
          <w:rFonts w:hint="eastAsia" w:ascii="方正仿宋_GBK" w:hAnsi="方正仿宋_GBK" w:eastAsia="方正仿宋_GBK" w:cs="方正仿宋_GBK"/>
          <w:sz w:val="32"/>
          <w:szCs w:val="32"/>
          <w:shd w:val="clear" w:color="auto" w:fill="FFFFFF"/>
          <w:lang w:val="en-US" w:eastAsia="zh-CN"/>
        </w:rPr>
        <w:t>长</w:t>
      </w:r>
      <w:r>
        <w:rPr>
          <w:rFonts w:hint="eastAsia" w:ascii="方正仿宋_GBK" w:hAnsi="方正仿宋_GBK" w:eastAsia="方正仿宋_GBK" w:cs="方正仿宋_GBK"/>
          <w:sz w:val="32"/>
          <w:szCs w:val="32"/>
          <w:shd w:val="clear" w:color="auto" w:fill="FFFFFF"/>
        </w:rPr>
        <w:t>100.82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考核任务加重，全区应急综合业务会议比去年增加，会议费增加</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3.03</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减少0.13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w:t>
      </w:r>
      <w:r>
        <w:rPr>
          <w:rFonts w:hint="eastAsia" w:ascii="方正仿宋_GBK" w:hAnsi="方正仿宋_GBK" w:eastAsia="方正仿宋_GBK" w:cs="方正仿宋_GBK"/>
          <w:sz w:val="32"/>
          <w:szCs w:val="32"/>
          <w:shd w:val="clear" w:color="auto" w:fill="FFFFFF"/>
        </w:rPr>
        <w:t>4.08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调减培训伙食费餐标，缩短培训天数，培训费降低</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（二）机关运行经费情况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2024年度本单位机关运行经费支出76.04万元，较上年减少25.44万元，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25.07%，主要原因是响应政府“过紧日子苦日子”号召，节约各项开支，减少不必要的支出，降低机关运行成本。比年初预算数减少11.72万元，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13.35%，主要原因是厉行节约，减少各项经费支出。机关运动经费主要用于</w:t>
      </w:r>
      <w:r>
        <w:rPr>
          <w:rFonts w:hint="eastAsia" w:ascii="宋体" w:hAnsi="宋体" w:eastAsia="方正仿宋_GBK" w:cs="方正仿宋_GBK"/>
          <w:sz w:val="32"/>
        </w:rPr>
        <w:t>办公费24.34万元、水电费0.93万元、邮电费4.39万元、物业管理费0.08万元、差旅费0.34万元、会议费0.18万元、培训费2.21万元、公务接待费1.38万元、福利费6.44万元、公务用车运行维护费6万元、其他交通费用17.6万元、其他商品和服务支出12.15万元</w:t>
      </w:r>
      <w:r>
        <w:rPr>
          <w:rFonts w:hint="eastAsia" w:ascii="宋体" w:hAnsi="宋体" w:eastAsia="方正仿宋_GBK" w:cs="方正仿宋_GBK"/>
          <w:kern w:val="0"/>
          <w:sz w:val="32"/>
          <w:szCs w:val="32"/>
        </w:rPr>
        <w:t>。</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（三）国有资产占用情况说明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截至2024年12月31日，本单位共有车辆2辆。其中：应急保障用车2辆。单价100万元（含）以上设备（不含车辆）0台（套）。</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（四）政府采购支出说明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0"/>
        <w:rPr>
          <w:rFonts w:ascii="宋体" w:hAnsi="宋体" w:eastAsia="方正黑体_GBK" w:cs="方正黑体_GBK"/>
          <w:bCs/>
          <w:sz w:val="32"/>
          <w:szCs w:val="32"/>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（一）预算绩效管理工作开展情况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rPr>
          <w:rFonts w:ascii="宋体" w:hAnsi="宋体" w:eastAsia="方正仿宋_GBK" w:cs="方正仿宋_GBK"/>
        </w:rPr>
      </w:pPr>
      <w:r>
        <w:rPr>
          <w:rFonts w:hint="eastAsia" w:ascii="宋体" w:hAnsi="宋体" w:eastAsia="方正仿宋_GBK" w:cs="方正仿宋_GBK"/>
          <w:sz w:val="32"/>
          <w:szCs w:val="32"/>
        </w:rPr>
        <w:t>根据预算绩效管理要求，我单位对6个项目开展了绩效自评，其中，以填报目标自评表形式开展自评6项，涉及资金216.60万元。</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（二）绩效自评结果</w:t>
      </w:r>
    </w:p>
    <w:p>
      <w:pPr>
        <w:pStyle w:val="5"/>
        <w:widowControl/>
        <w:adjustRightInd w:val="0"/>
        <w:spacing w:before="0" w:beforeAutospacing="0" w:after="0" w:afterAutospacing="0" w:line="579" w:lineRule="exact"/>
        <w:ind w:firstLine="643" w:firstLineChars="200"/>
        <w:rPr>
          <w:rFonts w:ascii="方正黑体_GBK" w:eastAsia="方正黑体_GBK" w:cs="方正黑体_GBK"/>
          <w:color w:val="000000"/>
          <w:sz w:val="36"/>
          <w:szCs w:val="36"/>
        </w:rPr>
      </w:pPr>
      <w:r>
        <w:rPr>
          <w:rFonts w:hint="eastAsia" w:ascii="宋体" w:hAnsi="宋体" w:eastAsia="方正仿宋_GBK" w:cs="方正仿宋_GBK"/>
          <w:b/>
          <w:bCs/>
          <w:sz w:val="32"/>
        </w:rPr>
        <w:t>1. 绩效目标自评表</w:t>
      </w:r>
    </w:p>
    <w:p>
      <w:pPr>
        <w:pStyle w:val="9"/>
        <w:tabs>
          <w:tab w:val="center" w:pos="4153"/>
          <w:tab w:val="left" w:pos="7275"/>
        </w:tabs>
        <w:spacing w:line="579" w:lineRule="exact"/>
        <w:ind w:firstLine="0" w:firstLineChars="0"/>
        <w:jc w:val="center"/>
        <w:rPr>
          <w:rFonts w:ascii="方正黑体_GBK" w:eastAsia="方正黑体_GBK" w:cs="方正黑体_GBK"/>
          <w:color w:val="000000"/>
          <w:kern w:val="0"/>
          <w:sz w:val="36"/>
          <w:szCs w:val="36"/>
        </w:rPr>
      </w:pPr>
      <w:r>
        <w:rPr>
          <w:rFonts w:hint="eastAsia" w:ascii="方正黑体_GBK" w:eastAsia="方正黑体_GBK" w:cs="方正黑体_GBK"/>
          <w:color w:val="000000"/>
          <w:kern w:val="0"/>
          <w:sz w:val="36"/>
          <w:szCs w:val="36"/>
        </w:rPr>
        <w:t>2024年度项目绩效自评表</w:t>
      </w:r>
    </w:p>
    <w:tbl>
      <w:tblPr>
        <w:tblStyle w:val="6"/>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224"/>
        <w:gridCol w:w="850"/>
        <w:gridCol w:w="830"/>
        <w:gridCol w:w="619"/>
        <w:gridCol w:w="220"/>
        <w:gridCol w:w="840"/>
        <w:gridCol w:w="840"/>
        <w:gridCol w:w="839"/>
        <w:gridCol w:w="419"/>
        <w:gridCol w:w="420"/>
        <w:gridCol w:w="629"/>
        <w:gridCol w:w="21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986" w:type="dxa"/>
            <w:gridSpan w:val="5"/>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2023年市级危化品烟花爆竹“打非治违”专项补助</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32" w:type="dxa"/>
            <w:gridSpan w:val="7"/>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项目主管</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603-重庆市江津区应急管理局</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财政归口科室</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006-产业发展科</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李辉亮</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34"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15086908680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textDirection w:val="tbRlV"/>
            <w:vAlign w:val="center"/>
          </w:tcPr>
          <w:p>
            <w:pPr>
              <w:widowControl/>
              <w:snapToGrid w:val="0"/>
              <w:ind w:left="113" w:right="113"/>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3" w:type="dxa"/>
            <w:vMerge w:val="restart"/>
            <w:noWrap/>
            <w:vAlign w:val="center"/>
          </w:tcPr>
          <w:p>
            <w:pPr>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全年（调整）预算数</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tc>
        <w:tc>
          <w:tcPr>
            <w:tcW w:w="1463" w:type="dxa"/>
            <w:vMerge w:val="continue"/>
            <w:noWrap/>
            <w:vAlign w:val="center"/>
          </w:tcP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财政拨款</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3.30</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vAlign w:val="center"/>
          </w:tcPr>
          <w:p>
            <w:pPr>
              <w:widowControl/>
              <w:snapToGrid w:val="0"/>
              <w:jc w:val="center"/>
              <w:rPr>
                <w:rFonts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当年绩效目标</w:t>
            </w:r>
          </w:p>
        </w:tc>
        <w:tc>
          <w:tcPr>
            <w:tcW w:w="3367"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519"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392" w:type="dxa"/>
            <w:gridSpan w:val="6"/>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6" w:type="dxa"/>
            <w:vMerge w:val="continue"/>
            <w:noWrap/>
            <w:vAlign w:val="center"/>
          </w:tcPr>
          <w:p/>
        </w:tc>
        <w:tc>
          <w:tcPr>
            <w:tcW w:w="3367"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用于补助省界检查站在打非治违活动</w:t>
            </w:r>
            <w:r>
              <w:rPr>
                <w:rFonts w:hint="eastAsia" w:ascii="宋体" w:hAnsi="宋体" w:eastAsia="方正仿宋_GBK" w:cs="方正仿宋_GBK"/>
                <w:color w:val="000000"/>
                <w:kern w:val="0"/>
                <w:sz w:val="24"/>
                <w:szCs w:val="24"/>
                <w:lang w:val="en-US" w:eastAsia="zh-CN"/>
              </w:rPr>
              <w:t>中</w:t>
            </w:r>
            <w:r>
              <w:rPr>
                <w:rFonts w:hint="eastAsia" w:ascii="宋体" w:hAnsi="宋体" w:eastAsia="方正仿宋_GBK" w:cs="方正仿宋_GBK"/>
                <w:color w:val="000000"/>
                <w:kern w:val="0"/>
                <w:sz w:val="24"/>
                <w:szCs w:val="24"/>
              </w:rPr>
              <w:t>的费用。</w:t>
            </w:r>
          </w:p>
        </w:tc>
        <w:tc>
          <w:tcPr>
            <w:tcW w:w="2519"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用于开展打非治违整治活动经费支出。</w:t>
            </w:r>
          </w:p>
        </w:tc>
        <w:tc>
          <w:tcPr>
            <w:tcW w:w="3392" w:type="dxa"/>
            <w:gridSpan w:val="6"/>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2024年开展大型打非治违专项行动3次，查获非法违</w:t>
            </w:r>
            <w:r>
              <w:rPr>
                <w:rFonts w:hint="eastAsia" w:ascii="宋体" w:hAnsi="宋体" w:eastAsia="方正仿宋_GBK" w:cs="方正仿宋_GBK"/>
                <w:color w:val="000000"/>
                <w:kern w:val="0"/>
                <w:sz w:val="24"/>
                <w:szCs w:val="24"/>
                <w:lang w:eastAsia="zh-CN"/>
              </w:rPr>
              <w:t>法</w:t>
            </w:r>
            <w:r>
              <w:rPr>
                <w:rFonts w:hint="eastAsia" w:ascii="宋体" w:hAnsi="宋体" w:eastAsia="方正仿宋_GBK" w:cs="方正仿宋_GBK"/>
                <w:color w:val="000000"/>
                <w:kern w:val="0"/>
                <w:sz w:val="24"/>
                <w:szCs w:val="24"/>
              </w:rPr>
              <w:t>行为17次，暂扣汽油7.31吨，柴油59.27吨，立案5起，行政罚款28.9万元，没收违法所得6.086万元。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6" w:type="dxa"/>
            <w:vMerge w:val="restart"/>
            <w:noWrap/>
            <w:textDirection w:val="tbRlV"/>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偏离度（%）</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开展打非治违活动次数</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次</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13.33</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打非治违效果</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20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20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打非治违工作安全程度</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优化营商环境</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定性</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优</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20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20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 w:type="dxa"/>
            <w:vMerge w:val="continue"/>
            <w:noWrap/>
            <w:vAlign w:val="center"/>
          </w:tcP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服务对象满意度</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bl>
    <w:p>
      <w:pPr>
        <w:pStyle w:val="9"/>
        <w:tabs>
          <w:tab w:val="center" w:pos="4153"/>
          <w:tab w:val="left" w:pos="7275"/>
        </w:tabs>
        <w:spacing w:line="579" w:lineRule="exact"/>
        <w:ind w:firstLine="0" w:firstLineChars="0"/>
        <w:jc w:val="center"/>
        <w:rPr>
          <w:rFonts w:ascii="方正黑体_GBK" w:hAnsi="方正黑体_GBK" w:eastAsia="方正黑体_GBK" w:cs="方正黑体_GBK"/>
          <w:color w:val="000000"/>
          <w:kern w:val="0"/>
          <w:sz w:val="36"/>
          <w:szCs w:val="36"/>
        </w:rPr>
      </w:pPr>
    </w:p>
    <w:p>
      <w:pPr>
        <w:pStyle w:val="9"/>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kern w:val="0"/>
          <w:sz w:val="32"/>
          <w:szCs w:val="32"/>
        </w:rPr>
      </w:pPr>
      <w:r>
        <w:rPr>
          <w:rFonts w:hint="eastAsia" w:ascii="宋体" w:hAnsi="宋体" w:eastAsia="方正仿宋_GBK" w:cs="方正仿宋_GBK"/>
          <w:b/>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该项目资金主要用于保障单位开展全区“打非治违”专项行动所需各项经费支出。2024年全区开展大型打非治违专项行动3次，查获非法违</w:t>
      </w:r>
      <w:r>
        <w:rPr>
          <w:rFonts w:hint="eastAsia" w:ascii="方正仿宋_GBK" w:hAnsi="方正仿宋_GBK" w:eastAsia="方正仿宋_GBK" w:cs="方正仿宋_GBK"/>
          <w:color w:val="000000"/>
          <w:kern w:val="0"/>
          <w:sz w:val="32"/>
          <w:szCs w:val="32"/>
          <w:lang w:eastAsia="zh-CN"/>
        </w:rPr>
        <w:t>法</w:t>
      </w:r>
      <w:bookmarkStart w:id="0" w:name="_GoBack"/>
      <w:bookmarkEnd w:id="0"/>
      <w:r>
        <w:rPr>
          <w:rFonts w:hint="eastAsia" w:ascii="方正仿宋_GBK" w:hAnsi="方正仿宋_GBK" w:eastAsia="方正仿宋_GBK" w:cs="方正仿宋_GBK"/>
          <w:color w:val="000000"/>
          <w:kern w:val="0"/>
          <w:sz w:val="32"/>
          <w:szCs w:val="32"/>
        </w:rPr>
        <w:t>行为17次，暂扣汽油7.31吨，柴油59.27吨，立案5起，行政罚款28.9万元，没收违法所得6.086万元。年末绩效评价达到年初预设的各项指标。</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（一）财政拨款收入：指本年度从本级财政单位取得的财政拨款，包括一般公共预算财政拨款和政府性基金预算财政拨款。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（二）年初结转和结余：指单位上年结转本年使用的基本支出结转、项目支出结转和结余、经营结余。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（三）年末结转和结余：指单位结转下年的基本支出结转、项目支出结转和结余、经营结余。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（五）项目支出：指在基本支出之外为完成特定行政任务和事业发展目标所发生的支出。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（八）工资福利支出（支出经济分类科目类级）：反映单位开支的在职职工和编制外长期聘用人员的各类劳动报酬，以及为上述人员缴纳的各项社会保险费等。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（九）商品和服务支出（支出经济分类科目类级）：反映单位购买商品和服务的支出（不包括用于购置固定资产的支出、战略性和应急储备支出）。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（十）对个人和家庭的补助（支出经济分类科目类级）：反映用于对个人和家庭的补助支出。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联系人：李剑冰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联系电话：13637711699</w:t>
      </w:r>
    </w:p>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36AF54E0"/>
    <w:multiLevelType w:val="singleLevel"/>
    <w:tmpl w:val="36AF54E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420"/>
  <w:evenAndOddHeaders w:val="true"/>
  <w:drawingGridHorizontalSpacing w:val="21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0F7859"/>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825F5"/>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55B77"/>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2DC2"/>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C74740"/>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7C4EE8"/>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6F4E3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3310E0"/>
    <w:rsid w:val="197B50D2"/>
    <w:rsid w:val="19926875"/>
    <w:rsid w:val="19C534ED"/>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AC3027"/>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8786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865FCA"/>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65960"/>
    <w:rsid w:val="40992FB0"/>
    <w:rsid w:val="40DB7824"/>
    <w:rsid w:val="410115DD"/>
    <w:rsid w:val="41061B71"/>
    <w:rsid w:val="418A21AD"/>
    <w:rsid w:val="41A212A1"/>
    <w:rsid w:val="41EC42BB"/>
    <w:rsid w:val="42322D85"/>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9559FD"/>
    <w:rsid w:val="47C21415"/>
    <w:rsid w:val="47F2657A"/>
    <w:rsid w:val="48206AB3"/>
    <w:rsid w:val="4849652E"/>
    <w:rsid w:val="487415C1"/>
    <w:rsid w:val="48813383"/>
    <w:rsid w:val="48994869"/>
    <w:rsid w:val="489B6E47"/>
    <w:rsid w:val="48B91344"/>
    <w:rsid w:val="48C3403D"/>
    <w:rsid w:val="4901682D"/>
    <w:rsid w:val="491F1E3E"/>
    <w:rsid w:val="497E4D40"/>
    <w:rsid w:val="498D6EB3"/>
    <w:rsid w:val="49932C9F"/>
    <w:rsid w:val="49A14844"/>
    <w:rsid w:val="49A92FC8"/>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4C3002"/>
    <w:rsid w:val="4D585803"/>
    <w:rsid w:val="4D7D0483"/>
    <w:rsid w:val="4D8712EF"/>
    <w:rsid w:val="4DFC778B"/>
    <w:rsid w:val="4E2D0EEC"/>
    <w:rsid w:val="4E4C4964"/>
    <w:rsid w:val="4E5F365E"/>
    <w:rsid w:val="4E91728C"/>
    <w:rsid w:val="4EF42EFE"/>
    <w:rsid w:val="4FC60E49"/>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24389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08508AD"/>
    <w:rsid w:val="61431576"/>
    <w:rsid w:val="61B07674"/>
    <w:rsid w:val="61D16983"/>
    <w:rsid w:val="63B16DA6"/>
    <w:rsid w:val="63CB4253"/>
    <w:rsid w:val="64325BAA"/>
    <w:rsid w:val="6474563E"/>
    <w:rsid w:val="64DD2E2F"/>
    <w:rsid w:val="650C79CC"/>
    <w:rsid w:val="651F0B40"/>
    <w:rsid w:val="652A3DEE"/>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217424"/>
    <w:rsid w:val="6B7060C6"/>
    <w:rsid w:val="6C60029B"/>
    <w:rsid w:val="6C927168"/>
    <w:rsid w:val="6D8C5247"/>
    <w:rsid w:val="6E904287"/>
    <w:rsid w:val="6EA83056"/>
    <w:rsid w:val="6EB55F1D"/>
    <w:rsid w:val="6EBE51FD"/>
    <w:rsid w:val="6EF364B6"/>
    <w:rsid w:val="6EFD6FC5"/>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5995021"/>
    <w:rsid w:val="764C7835"/>
    <w:rsid w:val="76606237"/>
    <w:rsid w:val="76BC0040"/>
    <w:rsid w:val="76E97240"/>
    <w:rsid w:val="77547F95"/>
    <w:rsid w:val="77581BDC"/>
    <w:rsid w:val="77D71DF2"/>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2F34C5"/>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EBB10421"/>
    <w:rsid w:val="F3FD6B2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4823</Words>
  <Characters>5525</Characters>
  <Lines>40</Lines>
  <Paragraphs>11</Paragraphs>
  <TotalTime>30</TotalTime>
  <ScaleCrop>false</ScaleCrop>
  <LinksUpToDate>false</LinksUpToDate>
  <CharactersWithSpaces>5529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2025-08-21T09:37:11Z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y fmtid="{D5CDD505-2E9C-101B-9397-08002B2CF9AE}" pid="4" name="KSOTemplateDocerSaveRecord">
    <vt:lpwstr>eyJoZGlkIjoiNzY5ZTA2M2M4NGI0MjM3MWRhYTlmNTZlYTNiYTcxNzYiLCJ1c2VySWQiOiI0NTA3MzA0MjAifQ==</vt:lpwstr>
  </property>
</Properties>
</file>