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重庆市江津区应急管理局</w:t>
      </w:r>
    </w:p>
    <w:p>
      <w:pPr>
        <w:spacing w:line="579" w:lineRule="exact"/>
        <w:jc w:val="center"/>
        <w:rPr>
          <w:rFonts w:ascii="宋体" w:hAnsi="宋体" w:eastAsia="方正仿宋_GBK" w:cs="方正仿宋_GBK"/>
          <w:sz w:val="44"/>
          <w:szCs w:val="44"/>
        </w:rPr>
      </w:pPr>
      <w:bookmarkStart w:id="0" w:name="_GoBack"/>
      <w:bookmarkEnd w:id="0"/>
      <w:r>
        <w:rPr>
          <w:rFonts w:hint="eastAsia" w:ascii="宋体" w:hAnsi="宋体" w:eastAsia="方正小标宋_GBK" w:cs="方正小标宋_GBK"/>
          <w:sz w:val="44"/>
          <w:szCs w:val="44"/>
        </w:rPr>
        <w:t>2024年度部门决算公开说明</w:t>
      </w:r>
    </w:p>
    <w:p>
      <w:pPr>
        <w:pStyle w:val="9"/>
        <w:keepNext w:val="0"/>
        <w:keepLines w:val="0"/>
        <w:pageBreakBefore w:val="0"/>
        <w:tabs>
          <w:tab w:val="center" w:pos="4153"/>
          <w:tab w:val="left" w:pos="7275"/>
        </w:tabs>
        <w:kinsoku/>
        <w:wordWrap/>
        <w:overflowPunct/>
        <w:topLinePunct w:val="0"/>
        <w:autoSpaceDN/>
        <w:bidi w:val="0"/>
        <w:spacing w:line="579" w:lineRule="exact"/>
        <w:ind w:firstLine="640" w:firstLineChars="200"/>
        <w:jc w:val="both"/>
        <w:textAlignment w:val="auto"/>
        <w:outlineLvl w:val="0"/>
        <w:rPr>
          <w:rFonts w:hint="eastAsia" w:ascii="宋体" w:hAnsi="宋体" w:eastAsia="方正黑体_GBK" w:cs="方正黑体_GBK"/>
          <w:sz w:val="32"/>
          <w:szCs w:val="32"/>
        </w:rPr>
      </w:pPr>
    </w:p>
    <w:p>
      <w:pPr>
        <w:pStyle w:val="9"/>
        <w:keepNext w:val="0"/>
        <w:keepLines w:val="0"/>
        <w:pageBreakBefore w:val="0"/>
        <w:tabs>
          <w:tab w:val="center" w:pos="4153"/>
          <w:tab w:val="left" w:pos="7275"/>
        </w:tabs>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一、部门基本情况</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（一）职能职责</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方正仿宋_GBK" w:eastAsia="方正仿宋_GBK" w:cs="仿宋_GB2312"/>
          <w:sz w:val="32"/>
          <w:szCs w:val="32"/>
        </w:rPr>
        <w:t>负责全区应急管理工作，指导各级各部门应对安全生产类、自然灾害类等突发事件和综合防灾减灾救灾工作。负责安全生产综合监督管理工作和工矿商贸行业安全生产监督管理工作；危险化学品安全监督管理综合工作和烟花爆竹安全生产监督管理工作。组织编制全区应急体系建设</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指导应急预案体系建设，组织开展预案演练。牵头建立全区统一的应急管理信息系统，建立监测预警和灾情报告制度</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依法统一发布灾情。组织指导协调安全生产类、自然灾害类等突发事件应急救援，承担全区应对灾害指挥协调工作，协助区委、区政府指定的负责同志组织灾害应急处置工作。统一协调指挥全区各类应急专业队伍，建立应急协调联动机制。统筹应急救援力量建设，负责区委区政府对区综合性应急救援队伍业务建设。指导协调森林火灾、水旱灾害、地震和地质灾害等防治工作；</w:t>
      </w:r>
      <w:r>
        <w:rPr>
          <w:rFonts w:hint="eastAsia" w:ascii="方正仿宋_GBK" w:eastAsia="方正仿宋_GBK" w:cs="方正仿宋_GBK"/>
          <w:color w:val="000000"/>
          <w:sz w:val="32"/>
          <w:szCs w:val="32"/>
        </w:rPr>
        <w:t>组织编制本行政区域的防震减灾规划，负责地震观测环境审查、震情监测、地震宏观异常处置、防震减灾知识宣传教育和群测群防体系建设；</w:t>
      </w:r>
      <w:r>
        <w:rPr>
          <w:rFonts w:hint="eastAsia" w:ascii="方正仿宋_GBK" w:eastAsia="方正仿宋_GBK" w:cs="仿宋_GB2312"/>
          <w:sz w:val="32"/>
          <w:szCs w:val="32"/>
        </w:rPr>
        <w:t>组织协调灾害救助工作。依法行使安全生产综合监督管理职权，组织开展安全生产巡查、考核工作。承担区政府安全生产委员会日常工作。依法组织开展生产安全事故调查处理，监督事故查处和责任追究落实情况。</w:t>
      </w:r>
      <w:r>
        <w:rPr>
          <w:rFonts w:hint="eastAsia" w:ascii="方正仿宋_GBK" w:eastAsia="方正仿宋_GBK" w:cs="方正仿宋_GBK"/>
          <w:color w:val="000000"/>
          <w:sz w:val="32"/>
          <w:szCs w:val="32"/>
        </w:rPr>
        <w:t>负责提出区级救灾物资、安全生产应急救援物资的储备需求和动用决策，组织编制区级救灾物资、安全生产应急救援物资储备规划、品种目录和标准，会同区发展改革委等部门确定年度购置计划，根据需要下达动用指令；负责事故灾害救援装备的收储、轮换和日常管理。</w:t>
      </w:r>
      <w:r>
        <w:rPr>
          <w:rFonts w:hint="eastAsia" w:ascii="方正仿宋_GBK" w:eastAsia="方正仿宋_GBK" w:cs="仿宋_GB2312"/>
          <w:sz w:val="32"/>
          <w:szCs w:val="32"/>
        </w:rPr>
        <w:t>负责应急管理、安全生产宣传教育和培训工作。负责安全生产综合行政执法，具体执法交由相关执法队伍承担，并以部门的名义统一执法。</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kern w:val="0"/>
          <w:sz w:val="32"/>
          <w:szCs w:val="32"/>
        </w:rPr>
      </w:pPr>
      <w:r>
        <w:rPr>
          <w:rFonts w:hint="eastAsia" w:ascii="宋体" w:hAnsi="宋体" w:eastAsia="方正楷体_GBK" w:cs="方正楷体_GBK"/>
          <w:kern w:val="0"/>
          <w:sz w:val="32"/>
          <w:szCs w:val="32"/>
        </w:rPr>
        <w:t>（二）机构设置</w:t>
      </w:r>
    </w:p>
    <w:p>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方正仿宋_GBK" w:eastAsia="方正仿宋_GBK" w:cs="仿宋_GB2312"/>
          <w:sz w:val="32"/>
          <w:szCs w:val="32"/>
        </w:rPr>
      </w:pPr>
      <w:r>
        <w:rPr>
          <w:rFonts w:hint="eastAsia" w:eastAsia="方正仿宋_GBK"/>
          <w:sz w:val="32"/>
          <w:szCs w:val="32"/>
        </w:rPr>
        <w:t>部门</w:t>
      </w:r>
      <w:r>
        <w:rPr>
          <w:rFonts w:eastAsia="方正仿宋_GBK"/>
          <w:sz w:val="32"/>
          <w:szCs w:val="32"/>
        </w:rPr>
        <w:t>下设3个二级预算单位：</w:t>
      </w:r>
      <w:r>
        <w:rPr>
          <w:rFonts w:hint="eastAsia" w:eastAsia="方正仿宋_GBK"/>
          <w:sz w:val="32"/>
          <w:szCs w:val="32"/>
          <w:lang w:eastAsia="zh-CN"/>
        </w:rPr>
        <w:t>（</w:t>
      </w:r>
      <w:r>
        <w:rPr>
          <w:rFonts w:hint="eastAsia" w:eastAsia="方正仿宋_GBK"/>
          <w:sz w:val="32"/>
          <w:szCs w:val="32"/>
          <w:lang w:val="en-US" w:eastAsia="zh-CN"/>
        </w:rPr>
        <w:t>1</w:t>
      </w:r>
      <w:r>
        <w:rPr>
          <w:rFonts w:hint="eastAsia" w:eastAsia="方正仿宋_GBK"/>
          <w:sz w:val="32"/>
          <w:szCs w:val="32"/>
          <w:lang w:eastAsia="zh-CN"/>
        </w:rPr>
        <w:t>）</w:t>
      </w:r>
      <w:r>
        <w:rPr>
          <w:rFonts w:eastAsia="方正仿宋_GBK"/>
          <w:sz w:val="32"/>
          <w:szCs w:val="32"/>
        </w:rPr>
        <w:t>重庆市江津区应急管理</w:t>
      </w:r>
      <w:r>
        <w:rPr>
          <w:rFonts w:hint="eastAsia" w:eastAsia="方正仿宋_GBK"/>
          <w:sz w:val="32"/>
          <w:szCs w:val="32"/>
          <w:lang w:val="en-US" w:eastAsia="zh-CN"/>
        </w:rPr>
        <w:t>局</w:t>
      </w:r>
      <w:r>
        <w:rPr>
          <w:rFonts w:eastAsia="方正仿宋_GBK"/>
          <w:sz w:val="32"/>
          <w:szCs w:val="32"/>
        </w:rPr>
        <w:t>（</w:t>
      </w:r>
      <w:r>
        <w:rPr>
          <w:rFonts w:hint="eastAsia" w:eastAsia="方正仿宋_GBK"/>
          <w:sz w:val="32"/>
          <w:szCs w:val="32"/>
        </w:rPr>
        <w:t>本级</w:t>
      </w:r>
      <w:r>
        <w:rPr>
          <w:rFonts w:eastAsia="方正仿宋_GBK"/>
          <w:sz w:val="32"/>
          <w:szCs w:val="32"/>
        </w:rPr>
        <w:t>）</w:t>
      </w:r>
      <w:r>
        <w:rPr>
          <w:rFonts w:hint="eastAsia" w:eastAsia="方正仿宋_GBK"/>
          <w:sz w:val="32"/>
          <w:szCs w:val="32"/>
        </w:rPr>
        <w:t>内设机构</w:t>
      </w:r>
      <w:r>
        <w:rPr>
          <w:rFonts w:eastAsia="方正仿宋_GBK"/>
          <w:sz w:val="32"/>
          <w:szCs w:val="32"/>
        </w:rPr>
        <w:t>7</w:t>
      </w:r>
      <w:r>
        <w:rPr>
          <w:rFonts w:hint="eastAsia" w:eastAsia="方正仿宋_GBK"/>
          <w:sz w:val="32"/>
          <w:szCs w:val="32"/>
        </w:rPr>
        <w:t>个，</w:t>
      </w:r>
      <w:r>
        <w:rPr>
          <w:rFonts w:eastAsia="方正仿宋_GBK"/>
          <w:sz w:val="32"/>
          <w:szCs w:val="32"/>
        </w:rPr>
        <w:t>各机构规范简称</w:t>
      </w:r>
      <w:r>
        <w:rPr>
          <w:rFonts w:hint="eastAsia" w:eastAsia="方正仿宋_GBK"/>
          <w:sz w:val="32"/>
          <w:szCs w:val="32"/>
        </w:rPr>
        <w:t>依次为：</w:t>
      </w:r>
      <w:r>
        <w:rPr>
          <w:rFonts w:hint="eastAsia" w:ascii="方正仿宋_GBK" w:eastAsia="方正仿宋_GBK" w:cs="仿宋_GB2312"/>
          <w:sz w:val="32"/>
          <w:szCs w:val="32"/>
        </w:rPr>
        <w:t>办公室、应急指挥中心、综合防治科、安全生产综合协调科</w:t>
      </w:r>
      <w:r>
        <w:rPr>
          <w:rFonts w:hint="eastAsia" w:ascii="宋体" w:hAnsi="宋体" w:eastAsia="方正仿宋_GBK"/>
          <w:sz w:val="32"/>
          <w:szCs w:val="32"/>
        </w:rPr>
        <w:t>（重庆市江津区安全生产委员会办公室）</w:t>
      </w:r>
      <w:r>
        <w:rPr>
          <w:rFonts w:hint="eastAsia" w:ascii="方正仿宋_GBK" w:eastAsia="方正仿宋_GBK" w:cs="仿宋_GB2312"/>
          <w:sz w:val="32"/>
          <w:szCs w:val="32"/>
        </w:rPr>
        <w:t>、</w:t>
      </w:r>
      <w:r>
        <w:rPr>
          <w:rFonts w:hint="eastAsia" w:ascii="宋体" w:hAnsi="宋体" w:eastAsia="方正仿宋_GBK"/>
          <w:sz w:val="32"/>
          <w:szCs w:val="32"/>
        </w:rPr>
        <w:t>危险化学品安全监督管理科（行政审批科）</w:t>
      </w:r>
      <w:r>
        <w:rPr>
          <w:rFonts w:ascii="宋体" w:hAnsi="宋体" w:eastAsia="方正仿宋_GBK"/>
          <w:sz w:val="32"/>
          <w:szCs w:val="32"/>
        </w:rPr>
        <w:t>、</w:t>
      </w:r>
      <w:r>
        <w:rPr>
          <w:rFonts w:hint="eastAsia" w:ascii="宋体" w:hAnsi="宋体" w:eastAsia="方正仿宋_GBK"/>
          <w:sz w:val="32"/>
          <w:szCs w:val="32"/>
        </w:rPr>
        <w:t>工矿商贸安全监督管理科</w:t>
      </w:r>
      <w:r>
        <w:rPr>
          <w:rFonts w:ascii="宋体" w:hAnsi="宋体" w:eastAsia="方正仿宋_GBK"/>
          <w:sz w:val="32"/>
          <w:szCs w:val="32"/>
        </w:rPr>
        <w:t>、</w:t>
      </w:r>
      <w:r>
        <w:rPr>
          <w:rFonts w:hint="eastAsia" w:ascii="宋体" w:hAnsi="宋体" w:eastAsia="方正仿宋_GBK"/>
          <w:sz w:val="32"/>
          <w:szCs w:val="32"/>
        </w:rPr>
        <w:t>装备财务科</w:t>
      </w:r>
      <w:r>
        <w:rPr>
          <w:rFonts w:hint="eastAsia" w:eastAsia="方正仿宋_GBK"/>
          <w:sz w:val="32"/>
          <w:szCs w:val="32"/>
        </w:rPr>
        <w:t>。</w:t>
      </w: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w:t>
      </w:r>
      <w:r>
        <w:rPr>
          <w:rFonts w:hint="eastAsia" w:ascii="方正仿宋_GBK" w:eastAsia="方正仿宋_GBK" w:cs="仿宋_GB2312"/>
          <w:sz w:val="32"/>
          <w:szCs w:val="32"/>
        </w:rPr>
        <w:t>重庆市江津区应急管理综合行政执法支队内设机构5个，</w:t>
      </w:r>
      <w:r>
        <w:rPr>
          <w:rFonts w:eastAsia="方正仿宋_GBK"/>
          <w:sz w:val="32"/>
          <w:szCs w:val="32"/>
        </w:rPr>
        <w:t>各机构规范简称</w:t>
      </w:r>
      <w:r>
        <w:rPr>
          <w:rFonts w:hint="eastAsia" w:eastAsia="方正仿宋_GBK"/>
          <w:sz w:val="32"/>
          <w:szCs w:val="32"/>
        </w:rPr>
        <w:t>依次为</w:t>
      </w:r>
      <w:r>
        <w:rPr>
          <w:rFonts w:eastAsia="方正仿宋_GBK"/>
          <w:sz w:val="32"/>
          <w:szCs w:val="32"/>
        </w:rPr>
        <w:t>：</w:t>
      </w:r>
      <w:r>
        <w:rPr>
          <w:rFonts w:hint="eastAsia" w:ascii="方正仿宋_GBK" w:eastAsia="方正仿宋_GBK" w:cs="仿宋_GB2312"/>
          <w:sz w:val="32"/>
          <w:szCs w:val="32"/>
        </w:rPr>
        <w:t>勤务大队、工矿商贸大队、危化品大队、自然灾害大队、事故调查大队。</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lang w:val="en-US" w:eastAsia="zh-CN"/>
        </w:rPr>
        <w:t>3</w:t>
      </w:r>
      <w:r>
        <w:rPr>
          <w:rFonts w:hint="eastAsia" w:ascii="方正仿宋_GBK" w:eastAsia="方正仿宋_GBK" w:cs="仿宋_GB2312"/>
          <w:sz w:val="32"/>
          <w:szCs w:val="32"/>
          <w:lang w:eastAsia="zh-CN"/>
        </w:rPr>
        <w:t>）</w:t>
      </w:r>
      <w:r>
        <w:rPr>
          <w:rFonts w:hint="eastAsia" w:ascii="方正仿宋_GBK" w:eastAsia="方正仿宋_GBK" w:cs="仿宋_GB2312"/>
          <w:sz w:val="32"/>
          <w:szCs w:val="32"/>
        </w:rPr>
        <w:t>重庆市江津区应急救援服务中心内设机构10个，各机构规范简称为：综合科、协调科、</w:t>
      </w:r>
      <w:r>
        <w:rPr>
          <w:rFonts w:hint="eastAsia" w:ascii="宋体" w:hAnsi="宋体" w:eastAsia="方正仿宋_GBK" w:cs="方正仿宋_GBK"/>
          <w:color w:val="auto"/>
          <w:sz w:val="32"/>
          <w:szCs w:val="32"/>
          <w:lang w:val="en-US" w:eastAsia="zh-CN" w:bidi="ar-SA"/>
        </w:rPr>
        <w:t>应急装备和信息化科</w:t>
      </w:r>
      <w:r>
        <w:rPr>
          <w:rFonts w:hint="eastAsia" w:ascii="方正仿宋_GBK" w:eastAsia="方正仿宋_GBK" w:cs="仿宋_GB2312"/>
          <w:sz w:val="32"/>
          <w:szCs w:val="32"/>
        </w:rPr>
        <w:t>、救灾减灾科、防汛抗旱和地质灾害应急科、</w:t>
      </w:r>
      <w:r>
        <w:rPr>
          <w:rFonts w:hint="eastAsia" w:ascii="方正仿宋_GBK" w:eastAsia="方正仿宋_GBK" w:cs="仿宋_GB2312"/>
          <w:sz w:val="32"/>
          <w:szCs w:val="32"/>
          <w:lang w:val="en-US" w:eastAsia="zh-CN"/>
        </w:rPr>
        <w:t>防震</w:t>
      </w:r>
      <w:r>
        <w:rPr>
          <w:rFonts w:hint="eastAsia" w:ascii="方正仿宋_GBK" w:eastAsia="方正仿宋_GBK" w:cs="仿宋_GB2312"/>
          <w:sz w:val="32"/>
          <w:szCs w:val="32"/>
        </w:rPr>
        <w:t>减灾应急科、森林防火应急科、生产安全事故应急科、宣教科、安全生产资格管理科。</w:t>
      </w:r>
    </w:p>
    <w:p>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仿宋_GBK" w:cs="方正仿宋_GBK"/>
          <w:kern w:val="0"/>
          <w:sz w:val="32"/>
          <w:szCs w:val="32"/>
        </w:rPr>
      </w:pPr>
      <w:r>
        <w:rPr>
          <w:rFonts w:hint="eastAsia" w:ascii="方正仿宋_GBK" w:eastAsia="方正仿宋_GBK" w:cs="仿宋_GB2312"/>
          <w:sz w:val="32"/>
          <w:szCs w:val="32"/>
        </w:rPr>
        <w:t>部门人员编制76人，年</w:t>
      </w:r>
      <w:r>
        <w:rPr>
          <w:rFonts w:hint="eastAsia" w:ascii="方正仿宋_GBK" w:eastAsia="方正仿宋_GBK" w:cs="仿宋_GB2312"/>
          <w:sz w:val="32"/>
          <w:szCs w:val="32"/>
          <w:lang w:val="en-US" w:eastAsia="zh-CN"/>
        </w:rPr>
        <w:t>末</w:t>
      </w:r>
      <w:r>
        <w:rPr>
          <w:rFonts w:hint="eastAsia" w:ascii="方正仿宋_GBK" w:eastAsia="方正仿宋_GBK" w:cs="仿宋_GB2312"/>
          <w:sz w:val="32"/>
          <w:szCs w:val="32"/>
        </w:rPr>
        <w:t>实有人数71人。</w:t>
      </w:r>
    </w:p>
    <w:p>
      <w:pPr>
        <w:keepNext w:val="0"/>
        <w:keepLines w:val="0"/>
        <w:pageBreakBefore w:val="0"/>
        <w:kinsoku/>
        <w:wordWrap/>
        <w:overflowPunct/>
        <w:topLinePunct w:val="0"/>
        <w:autoSpaceDN/>
        <w:bidi w:val="0"/>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二、部门决算情况</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（一）部门收支总体情况</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1.收入支出总体情况。</w:t>
      </w:r>
      <w:r>
        <w:rPr>
          <w:rFonts w:hint="eastAsia" w:ascii="宋体" w:hAnsi="宋体" w:eastAsia="方正仿宋_GBK" w:cs="方正仿宋_GBK"/>
          <w:sz w:val="32"/>
          <w:szCs w:val="32"/>
        </w:rPr>
        <w:t>2024年度收入总计3519.80万元，支出总计3519.80万元。收支较上年减少79.89万元，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2.22%，主要原因为响应政府“过紧日子过苦日子”号召，</w:t>
      </w:r>
      <w:r>
        <w:rPr>
          <w:rFonts w:hint="eastAsia" w:ascii="宋体" w:hAnsi="宋体" w:eastAsia="方正仿宋_GBK" w:cs="方正仿宋_GBK"/>
          <w:sz w:val="32"/>
          <w:szCs w:val="32"/>
          <w:lang w:eastAsia="zh-CN"/>
        </w:rPr>
        <w:t>压减公用经费和项目资金</w:t>
      </w:r>
      <w:r>
        <w:rPr>
          <w:rFonts w:hint="eastAsia" w:ascii="宋体" w:hAnsi="宋体" w:eastAsia="方正仿宋_GBK" w:cs="方正仿宋_GBK"/>
          <w:sz w:val="32"/>
          <w:szCs w:val="32"/>
        </w:rPr>
        <w:t>，本年收支总量减少。</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2.收入情况。</w:t>
      </w:r>
      <w:r>
        <w:rPr>
          <w:rFonts w:hint="eastAsia" w:ascii="宋体" w:hAnsi="宋体" w:eastAsia="方正仿宋_GBK" w:cs="方正仿宋_GBK"/>
          <w:sz w:val="32"/>
          <w:szCs w:val="32"/>
        </w:rPr>
        <w:t>2024年度本年收入合计3519.80万元，较上年减少79.89万元，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2.22%，主要原因为响应政府“过紧日子过苦日子”号召，</w:t>
      </w:r>
      <w:r>
        <w:rPr>
          <w:rFonts w:hint="eastAsia" w:ascii="宋体" w:hAnsi="宋体" w:eastAsia="方正仿宋_GBK" w:cs="方正仿宋_GBK"/>
          <w:sz w:val="32"/>
          <w:szCs w:val="32"/>
          <w:lang w:eastAsia="zh-CN"/>
        </w:rPr>
        <w:t>压减公用经费和项目资金收入</w:t>
      </w:r>
      <w:r>
        <w:rPr>
          <w:rFonts w:hint="eastAsia" w:ascii="宋体" w:hAnsi="宋体" w:eastAsia="方正仿宋_GBK" w:cs="方正仿宋_GBK"/>
          <w:sz w:val="32"/>
          <w:szCs w:val="32"/>
        </w:rPr>
        <w:t>，本年收入减少。其中：财政拨款收入3519.80万元，占比100%。</w:t>
      </w:r>
      <w:r>
        <w:rPr>
          <w:rFonts w:ascii="方正仿宋_GBK" w:hAnsi="方正仿宋_GBK" w:eastAsia="方正仿宋_GBK" w:cs="方正仿宋_GBK"/>
          <w:sz w:val="32"/>
          <w:szCs w:val="32"/>
          <w:shd w:val="clear" w:color="auto" w:fill="FFFFFF"/>
        </w:rPr>
        <w:t>此外，使用年初结转和结余</w:t>
      </w:r>
      <w:r>
        <w:rPr>
          <w:rFonts w:hint="eastAsia"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szCs w:val="32"/>
        </w:rPr>
      </w:pPr>
      <w:r>
        <w:rPr>
          <w:rFonts w:hint="eastAsia" w:ascii="宋体" w:hAnsi="宋体" w:eastAsia="方正仿宋_GBK" w:cs="方正仿宋_GBK"/>
          <w:b/>
          <w:bCs/>
          <w:sz w:val="32"/>
          <w:szCs w:val="32"/>
        </w:rPr>
        <w:t>3.支出情况。</w:t>
      </w:r>
      <w:r>
        <w:rPr>
          <w:rFonts w:hint="eastAsia" w:ascii="宋体" w:hAnsi="宋体" w:eastAsia="方正仿宋_GBK" w:cs="方正仿宋_GBK"/>
          <w:sz w:val="32"/>
          <w:szCs w:val="32"/>
        </w:rPr>
        <w:t>2024年度本年支出合计3519.80万元，较上年减少79.89万元，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2.22%，主要原因为响应政府“过紧日子过苦日子”号召，</w:t>
      </w:r>
      <w:r>
        <w:rPr>
          <w:rFonts w:hint="eastAsia" w:ascii="宋体" w:hAnsi="宋体" w:eastAsia="方正仿宋_GBK" w:cs="方正仿宋_GBK"/>
          <w:sz w:val="32"/>
          <w:szCs w:val="32"/>
          <w:lang w:eastAsia="zh-CN"/>
        </w:rPr>
        <w:t>压减公用经费和项目资金</w:t>
      </w:r>
      <w:r>
        <w:rPr>
          <w:rFonts w:hint="eastAsia" w:ascii="宋体" w:hAnsi="宋体" w:eastAsia="方正仿宋_GBK" w:cs="方正仿宋_GBK"/>
          <w:sz w:val="32"/>
          <w:szCs w:val="32"/>
        </w:rPr>
        <w:t>支出，本年支出减少。其中</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基本支出2006.10万元，占比56.99%；项目支出1513.70万元，占比43.01%。</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4.</w:t>
      </w:r>
      <w:r>
        <w:rPr>
          <w:rFonts w:hint="eastAsia" w:ascii="宋体" w:hAnsi="宋体" w:eastAsia="方正仿宋_GBK" w:cs="方正仿宋_GBK"/>
          <w:b/>
          <w:bCs/>
          <w:sz w:val="32"/>
          <w:szCs w:val="32"/>
        </w:rPr>
        <w:t>结转结余情况。</w:t>
      </w:r>
      <w:r>
        <w:rPr>
          <w:rFonts w:hint="eastAsia" w:ascii="宋体" w:hAnsi="宋体" w:eastAsia="方正仿宋_GBK" w:cs="方正仿宋_GBK"/>
          <w:sz w:val="32"/>
          <w:szCs w:val="32"/>
        </w:rPr>
        <w:t>2024年度年末结转和结余0万元，与2023年度持平</w:t>
      </w:r>
      <w:r>
        <w:rPr>
          <w:rFonts w:hint="eastAsia" w:ascii="宋体" w:hAnsi="宋体" w:eastAsia="方正仿宋_GBK" w:cs="方正仿宋_GBK"/>
          <w:kern w:val="0"/>
          <w:sz w:val="32"/>
          <w:szCs w:val="32"/>
        </w:rPr>
        <w:t>。</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（二）财政拨款收支总体情况</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2024年度财政拨款收入总计</w:t>
      </w:r>
      <w:r>
        <w:rPr>
          <w:rFonts w:hint="eastAsia" w:ascii="宋体" w:hAnsi="宋体" w:eastAsia="方正仿宋_GBK" w:cs="方正仿宋_GBK"/>
          <w:sz w:val="32"/>
          <w:szCs w:val="32"/>
        </w:rPr>
        <w:t>3519.80万元，支出总计3519.80万元。收支较上年减少79.89万元，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2.22%，主要原因为响应政府“过紧日子过苦日子”号召，</w:t>
      </w:r>
      <w:r>
        <w:rPr>
          <w:rFonts w:hint="eastAsia" w:ascii="宋体" w:hAnsi="宋体" w:eastAsia="方正仿宋_GBK" w:cs="方正仿宋_GBK"/>
          <w:sz w:val="32"/>
          <w:szCs w:val="32"/>
          <w:lang w:eastAsia="zh-CN"/>
        </w:rPr>
        <w:t>压减公用经费和项目资金财政拨款收支总数</w:t>
      </w:r>
      <w:r>
        <w:rPr>
          <w:rFonts w:hint="eastAsia" w:ascii="宋体" w:hAnsi="宋体" w:eastAsia="方正仿宋_GBK" w:cs="方正仿宋_GBK"/>
          <w:sz w:val="32"/>
          <w:szCs w:val="32"/>
        </w:rPr>
        <w:t>，本年财政拨款收支总量减少。</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（三）一般公共预算财政拨款收支总体情况</w:t>
      </w:r>
    </w:p>
    <w:p>
      <w:pPr>
        <w:keepNext w:val="0"/>
        <w:keepLines w:val="0"/>
        <w:pageBreakBefore w:val="0"/>
        <w:numPr>
          <w:ilvl w:val="0"/>
          <w:numId w:val="1"/>
        </w:numPr>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收入情况。</w:t>
      </w:r>
      <w:r>
        <w:rPr>
          <w:rFonts w:hint="eastAsia" w:ascii="宋体" w:hAnsi="宋体" w:eastAsia="方正仿宋_GBK" w:cs="方正仿宋_GBK"/>
          <w:sz w:val="32"/>
        </w:rPr>
        <w:t>2024年度一般公共预算财政拨款收入</w:t>
      </w:r>
      <w:r>
        <w:rPr>
          <w:rFonts w:hint="eastAsia" w:ascii="宋体" w:hAnsi="宋体" w:eastAsia="方正仿宋_GBK" w:cs="方正仿宋_GBK"/>
          <w:sz w:val="32"/>
          <w:szCs w:val="32"/>
        </w:rPr>
        <w:t>3519.80</w:t>
      </w:r>
      <w:r>
        <w:rPr>
          <w:rFonts w:hint="eastAsia" w:ascii="宋体" w:hAnsi="宋体" w:eastAsia="方正仿宋_GBK" w:cs="方正仿宋_GBK"/>
          <w:sz w:val="32"/>
        </w:rPr>
        <w:t>万元，较上年决算数</w:t>
      </w:r>
      <w:r>
        <w:rPr>
          <w:rFonts w:hint="eastAsia" w:ascii="宋体" w:hAnsi="宋体" w:eastAsia="方正仿宋_GBK" w:cs="方正仿宋_GBK"/>
          <w:sz w:val="32"/>
          <w:szCs w:val="32"/>
        </w:rPr>
        <w:t>减少79.89万元，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2.22%，主要原因为响应政府“过紧日子过苦日子”号召，</w:t>
      </w:r>
      <w:r>
        <w:rPr>
          <w:rFonts w:hint="eastAsia" w:ascii="宋体" w:hAnsi="宋体" w:eastAsia="方正仿宋_GBK" w:cs="方正仿宋_GBK"/>
          <w:sz w:val="32"/>
          <w:szCs w:val="32"/>
          <w:lang w:eastAsia="zh-CN"/>
        </w:rPr>
        <w:t>压减公用经费和项目资金</w:t>
      </w:r>
      <w:r>
        <w:rPr>
          <w:rFonts w:hint="eastAsia" w:ascii="宋体" w:hAnsi="宋体" w:eastAsia="方正仿宋_GBK" w:cs="方正仿宋_GBK"/>
          <w:sz w:val="32"/>
          <w:szCs w:val="32"/>
        </w:rPr>
        <w:t>收入，本年一般公共预算财政拨款收入减少</w:t>
      </w:r>
      <w:r>
        <w:rPr>
          <w:rFonts w:hint="eastAsia" w:ascii="宋体" w:hAnsi="宋体" w:eastAsia="方正仿宋_GBK" w:cs="方正仿宋_GBK"/>
          <w:sz w:val="32"/>
        </w:rPr>
        <w:t>。较年初预算数增加771.25万元，</w:t>
      </w:r>
      <w:r>
        <w:rPr>
          <w:rFonts w:hint="eastAsia" w:ascii="宋体" w:hAnsi="宋体" w:eastAsia="方正仿宋_GBK" w:cs="方正仿宋_GBK"/>
          <w:sz w:val="32"/>
          <w:lang w:val="en-US" w:eastAsia="zh-CN"/>
        </w:rPr>
        <w:t>上升</w:t>
      </w:r>
      <w:r>
        <w:rPr>
          <w:rFonts w:hint="eastAsia" w:ascii="宋体" w:hAnsi="宋体" w:eastAsia="方正仿宋_GBK" w:cs="方正仿宋_GBK"/>
          <w:sz w:val="32"/>
        </w:rPr>
        <w:t>28.06%，主要原因一是当年人员增加、补发以前年度津补贴及社会保障缴费基数增加，基本收入增加150.86万元；二是当年新增全市“互联网+执法”行动、“柴油一件事”平台运用前期准备</w:t>
      </w:r>
      <w:r>
        <w:rPr>
          <w:rFonts w:hint="eastAsia" w:ascii="宋体" w:hAnsi="宋体" w:eastAsia="方正仿宋_GBK" w:cs="方正仿宋_GBK"/>
          <w:sz w:val="32"/>
          <w:lang w:eastAsia="zh-CN"/>
        </w:rPr>
        <w:t>等多项</w:t>
      </w:r>
      <w:r>
        <w:rPr>
          <w:rFonts w:hint="eastAsia" w:ascii="宋体" w:hAnsi="宋体" w:eastAsia="方正仿宋_GBK" w:cs="方正仿宋_GBK"/>
          <w:sz w:val="32"/>
        </w:rPr>
        <w:t>工作增加</w:t>
      </w:r>
      <w:r>
        <w:rPr>
          <w:rFonts w:hint="eastAsia" w:ascii="宋体" w:hAnsi="宋体" w:eastAsia="方正仿宋_GBK" w:cs="方正仿宋_GBK"/>
          <w:sz w:val="32"/>
          <w:lang w:eastAsia="zh-CN"/>
        </w:rPr>
        <w:t>项目</w:t>
      </w:r>
      <w:r>
        <w:rPr>
          <w:rFonts w:hint="eastAsia" w:ascii="宋体" w:hAnsi="宋体" w:eastAsia="方正仿宋_GBK" w:cs="方正仿宋_GBK"/>
          <w:sz w:val="32"/>
        </w:rPr>
        <w:t>资金收入620.39万元。</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1"/>
        </w:numPr>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支出情况。</w:t>
      </w:r>
      <w:r>
        <w:rPr>
          <w:rFonts w:hint="eastAsia" w:ascii="宋体" w:hAnsi="宋体" w:eastAsia="方正仿宋_GBK" w:cs="方正仿宋_GBK"/>
          <w:sz w:val="32"/>
        </w:rPr>
        <w:t>2024年度一般公共预算财政拨款支出</w:t>
      </w:r>
      <w:r>
        <w:rPr>
          <w:rFonts w:hint="eastAsia" w:ascii="宋体" w:hAnsi="宋体" w:eastAsia="方正仿宋_GBK" w:cs="方正仿宋_GBK"/>
          <w:sz w:val="32"/>
          <w:szCs w:val="32"/>
        </w:rPr>
        <w:t>3519.80</w:t>
      </w:r>
      <w:r>
        <w:rPr>
          <w:rFonts w:hint="eastAsia" w:ascii="宋体" w:hAnsi="宋体" w:eastAsia="方正仿宋_GBK" w:cs="方正仿宋_GBK"/>
          <w:sz w:val="32"/>
        </w:rPr>
        <w:t>万元，较上年决算数</w:t>
      </w:r>
      <w:r>
        <w:rPr>
          <w:rFonts w:hint="eastAsia" w:ascii="宋体" w:hAnsi="宋体" w:eastAsia="方正仿宋_GBK" w:cs="方正仿宋_GBK"/>
          <w:sz w:val="32"/>
          <w:szCs w:val="32"/>
        </w:rPr>
        <w:t>减少79.89万元，</w:t>
      </w:r>
      <w:r>
        <w:rPr>
          <w:rFonts w:hint="eastAsia" w:ascii="宋体" w:hAnsi="宋体" w:eastAsia="方正仿宋_GBK" w:cs="方正仿宋_GBK"/>
          <w:sz w:val="32"/>
          <w:szCs w:val="32"/>
          <w:lang w:val="en-US" w:eastAsia="zh-CN"/>
        </w:rPr>
        <w:t>下降</w:t>
      </w:r>
      <w:r>
        <w:rPr>
          <w:rFonts w:hint="eastAsia" w:ascii="宋体" w:hAnsi="宋体" w:eastAsia="方正仿宋_GBK" w:cs="方正仿宋_GBK"/>
          <w:sz w:val="32"/>
          <w:szCs w:val="32"/>
        </w:rPr>
        <w:t>2.22%，主要原因为响应政府“过紧日子过苦日子”号召，</w:t>
      </w:r>
      <w:r>
        <w:rPr>
          <w:rFonts w:hint="eastAsia" w:ascii="宋体" w:hAnsi="宋体" w:eastAsia="方正仿宋_GBK" w:cs="方正仿宋_GBK"/>
          <w:sz w:val="32"/>
          <w:szCs w:val="32"/>
          <w:lang w:eastAsia="zh-CN"/>
        </w:rPr>
        <w:t>压减公用经费和项目资金</w:t>
      </w:r>
      <w:r>
        <w:rPr>
          <w:rFonts w:hint="eastAsia" w:ascii="宋体" w:hAnsi="宋体" w:eastAsia="方正仿宋_GBK" w:cs="方正仿宋_GBK"/>
          <w:sz w:val="32"/>
          <w:szCs w:val="32"/>
        </w:rPr>
        <w:t>支出，本年一般公共预算财政拨款支出减少</w:t>
      </w:r>
      <w:r>
        <w:rPr>
          <w:rFonts w:hint="eastAsia" w:ascii="宋体" w:hAnsi="宋体" w:eastAsia="方正仿宋_GBK" w:cs="方正仿宋_GBK"/>
          <w:sz w:val="32"/>
        </w:rPr>
        <w:t>。较年初预算数增加771.25万元，</w:t>
      </w:r>
      <w:r>
        <w:rPr>
          <w:rFonts w:hint="eastAsia" w:ascii="宋体" w:hAnsi="宋体" w:eastAsia="方正仿宋_GBK" w:cs="方正仿宋_GBK"/>
          <w:sz w:val="32"/>
          <w:lang w:val="en-US" w:eastAsia="zh-CN"/>
        </w:rPr>
        <w:t>上升</w:t>
      </w:r>
      <w:r>
        <w:rPr>
          <w:rFonts w:hint="eastAsia" w:ascii="宋体" w:hAnsi="宋体" w:eastAsia="方正仿宋_GBK" w:cs="方正仿宋_GBK"/>
          <w:sz w:val="32"/>
        </w:rPr>
        <w:t>28.06%，主要原因一是当年人员增加、补发以前年度津补贴及社会保障缴费基数增加，基本支出增加150.86万元；二是当年新增全市“互联网+执法”行动、“柴油一件事”平台运用前期准备</w:t>
      </w:r>
      <w:r>
        <w:rPr>
          <w:rFonts w:hint="eastAsia" w:ascii="宋体" w:hAnsi="宋体" w:eastAsia="方正仿宋_GBK" w:cs="方正仿宋_GBK"/>
          <w:sz w:val="32"/>
          <w:lang w:eastAsia="zh-CN"/>
        </w:rPr>
        <w:t>等多项</w:t>
      </w:r>
      <w:r>
        <w:rPr>
          <w:rFonts w:hint="eastAsia" w:ascii="宋体" w:hAnsi="宋体" w:eastAsia="方正仿宋_GBK" w:cs="方正仿宋_GBK"/>
          <w:sz w:val="32"/>
        </w:rPr>
        <w:t>工作增加</w:t>
      </w:r>
      <w:r>
        <w:rPr>
          <w:rFonts w:hint="eastAsia" w:ascii="宋体" w:hAnsi="宋体" w:eastAsia="方正仿宋_GBK" w:cs="方正仿宋_GBK"/>
          <w:sz w:val="32"/>
          <w:lang w:eastAsia="zh-CN"/>
        </w:rPr>
        <w:t>项目</w:t>
      </w:r>
      <w:r>
        <w:rPr>
          <w:rFonts w:hint="eastAsia" w:ascii="宋体" w:hAnsi="宋体" w:eastAsia="方正仿宋_GBK" w:cs="方正仿宋_GBK"/>
          <w:sz w:val="32"/>
        </w:rPr>
        <w:t>资金收入620.39万元。</w:t>
      </w:r>
    </w:p>
    <w:p>
      <w:pPr>
        <w:keepNext w:val="0"/>
        <w:keepLines w:val="0"/>
        <w:pageBreakBefore w:val="0"/>
        <w:numPr>
          <w:ilvl w:val="0"/>
          <w:numId w:val="1"/>
        </w:numPr>
        <w:kinsoku/>
        <w:wordWrap/>
        <w:overflowPunct/>
        <w:topLinePunct w:val="0"/>
        <w:autoSpaceDN/>
        <w:bidi w:val="0"/>
        <w:spacing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结转结余情况。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rPr>
        <w:t>持平。</w:t>
      </w:r>
    </w:p>
    <w:p>
      <w:pPr>
        <w:pStyle w:val="5"/>
        <w:keepNext w:val="0"/>
        <w:keepLines w:val="0"/>
        <w:pageBreakBefore w:val="0"/>
        <w:widowControl/>
        <w:numPr>
          <w:ilvl w:val="0"/>
          <w:numId w:val="1"/>
        </w:numPr>
        <w:kinsoku/>
        <w:wordWrap/>
        <w:overflowPunct/>
        <w:topLinePunct w:val="0"/>
        <w:autoSpaceDN/>
        <w:bidi w:val="0"/>
        <w:spacing w:before="0" w:beforeAutospacing="0" w:after="0" w:afterAutospacing="0" w:line="579" w:lineRule="exact"/>
        <w:ind w:firstLine="643" w:firstLineChars="200"/>
        <w:jc w:val="both"/>
        <w:textAlignment w:val="auto"/>
        <w:rPr>
          <w:rFonts w:ascii="宋体" w:hAnsi="宋体" w:eastAsia="方正仿宋_GBK" w:cs="方正仿宋_GBK"/>
          <w:sz w:val="32"/>
        </w:rPr>
      </w:pPr>
      <w:r>
        <w:rPr>
          <w:rFonts w:hint="eastAsia" w:ascii="宋体" w:hAnsi="宋体" w:eastAsia="方正仿宋_GBK" w:cs="方正仿宋_GBK"/>
          <w:b/>
          <w:bCs/>
          <w:kern w:val="2"/>
          <w:sz w:val="32"/>
        </w:rPr>
        <w:t>比较情况。</w:t>
      </w:r>
      <w:r>
        <w:rPr>
          <w:rFonts w:hint="eastAsia" w:ascii="宋体" w:hAnsi="宋体" w:eastAsia="方正仿宋_GBK" w:cs="方正仿宋_GBK"/>
          <w:sz w:val="32"/>
        </w:rPr>
        <w:t>本部门2024年度一般公共预算财政拨款支出主要用于以下几个方面：</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（1）教育支出3.20万元，占比0.09%。较年初预算数减少6.12万元，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65.67%，主要原因是为节省部门开支，开展线上网络培训，减少教育培训支出。</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（2）社会保障和就业支出344.60万元，占比9.79%，较年初预算数增加104.84万元，</w:t>
      </w:r>
      <w:r>
        <w:rPr>
          <w:rFonts w:hint="eastAsia" w:ascii="宋体" w:hAnsi="宋体" w:eastAsia="方正仿宋_GBK" w:cs="方正仿宋_GBK"/>
          <w:sz w:val="32"/>
          <w:lang w:val="en-US" w:eastAsia="zh-CN"/>
        </w:rPr>
        <w:t>上升</w:t>
      </w:r>
      <w:r>
        <w:rPr>
          <w:rFonts w:hint="eastAsia" w:ascii="宋体" w:hAnsi="宋体" w:eastAsia="方正仿宋_GBK" w:cs="方正仿宋_GBK"/>
          <w:sz w:val="32"/>
        </w:rPr>
        <w:t>43.73%，主要原因是人员增加及社会保障缴费基数增加，该项支出增加。</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（3）卫生健康支出103.63万元，占比2.94%，较年初预算数减少4.47万元，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4.14%，主要原因是单位年中有人员退休，该项支出减少。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（4）住房保障支出100.88万元，占比2.87%，较年初预算数减少4.90万元，下降4.53%，主要原因单位年中有人员退休，该项支出减少。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（5）灾害防治及应急管理支出2967.49万元，占比84.31%，较年初预算数增加681.90万元，</w:t>
      </w:r>
      <w:r>
        <w:rPr>
          <w:rFonts w:hint="eastAsia" w:ascii="宋体" w:hAnsi="宋体" w:eastAsia="方正仿宋_GBK" w:cs="方正仿宋_GBK"/>
          <w:sz w:val="32"/>
          <w:lang w:val="en-US" w:eastAsia="zh-CN"/>
        </w:rPr>
        <w:t>上升</w:t>
      </w:r>
      <w:r>
        <w:rPr>
          <w:rFonts w:hint="eastAsia" w:ascii="宋体" w:hAnsi="宋体" w:eastAsia="方正仿宋_GBK" w:cs="方正仿宋_GBK"/>
          <w:sz w:val="32"/>
        </w:rPr>
        <w:t>29.83%，主要原因是当年新增全市“互联网+执法”行动、“柴油一件事”平台运用前期准备</w:t>
      </w:r>
      <w:r>
        <w:rPr>
          <w:rFonts w:hint="eastAsia" w:ascii="宋体" w:hAnsi="宋体" w:eastAsia="方正仿宋_GBK" w:cs="方正仿宋_GBK"/>
          <w:sz w:val="32"/>
          <w:lang w:eastAsia="zh-CN"/>
        </w:rPr>
        <w:t>等多项</w:t>
      </w:r>
      <w:r>
        <w:rPr>
          <w:rFonts w:hint="eastAsia" w:ascii="宋体" w:hAnsi="宋体" w:eastAsia="方正仿宋_GBK" w:cs="方正仿宋_GBK"/>
          <w:sz w:val="32"/>
        </w:rPr>
        <w:t>工作</w:t>
      </w:r>
      <w:r>
        <w:rPr>
          <w:rFonts w:hint="eastAsia" w:ascii="宋体" w:hAnsi="宋体" w:eastAsia="方正仿宋_GBK" w:cs="方正仿宋_GBK"/>
          <w:sz w:val="32"/>
          <w:lang w:eastAsia="zh-CN"/>
        </w:rPr>
        <w:t>，</w:t>
      </w:r>
      <w:r>
        <w:rPr>
          <w:rFonts w:hint="eastAsia" w:ascii="宋体" w:hAnsi="宋体" w:eastAsia="方正仿宋_GBK" w:cs="方正仿宋_GBK"/>
          <w:sz w:val="32"/>
        </w:rPr>
        <w:t>该项支出增加。</w:t>
      </w:r>
    </w:p>
    <w:p>
      <w:pPr>
        <w:keepNext w:val="0"/>
        <w:keepLines w:val="0"/>
        <w:pageBreakBefore w:val="0"/>
        <w:kinsoku/>
        <w:wordWrap/>
        <w:overflowPunct/>
        <w:topLinePunct w:val="0"/>
        <w:autoSpaceDN/>
        <w:bidi w:val="0"/>
        <w:spacing w:line="579" w:lineRule="exact"/>
        <w:ind w:firstLine="640" w:firstLineChars="200"/>
        <w:jc w:val="both"/>
        <w:textAlignment w:val="auto"/>
        <w:outlineLvl w:val="1"/>
        <w:rPr>
          <w:rFonts w:ascii="宋体" w:hAnsi="宋体" w:eastAsia="方正楷体_GBK" w:cs="方正楷体_GBK"/>
          <w:sz w:val="32"/>
          <w:szCs w:val="32"/>
        </w:rPr>
      </w:pPr>
      <w:r>
        <w:rPr>
          <w:rFonts w:hint="eastAsia" w:ascii="宋体" w:hAnsi="宋体" w:eastAsia="方正楷体_GBK" w:cs="方正楷体_GBK"/>
          <w:sz w:val="32"/>
          <w:szCs w:val="32"/>
        </w:rPr>
        <w:t>（四）</w:t>
      </w:r>
      <w:r>
        <w:rPr>
          <w:rStyle w:val="14"/>
          <w:rFonts w:hint="eastAsia" w:ascii="宋体" w:hAnsi="宋体" w:eastAsia="方正楷体_GBK" w:cs="方正楷体_GBK"/>
          <w:b w:val="0"/>
          <w:bCs/>
          <w:sz w:val="32"/>
          <w:szCs w:val="32"/>
          <w:shd w:val="clear" w:color="auto" w:fill="FFFFFF"/>
        </w:rPr>
        <w:t>一般公共预算财政拨款基本支出情况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一般公共预算财政拨款基本支出2006.10万元。其中：人员经费1782.33万元，主要用于基本工资405.28万元、津贴补贴140.67万元、奖金254.05万元、伙食补助费46.00万元、绩效工资350.50万元、基本养老保险缴费168.13万元、职业年金缴费83.85万元、基本医保缴费65.11万元、公务员医疗补助缴费11.33万元、其他社会保障缴费27.46万元、住房公积金115.87万元、医疗费11.02万元、其他工资福利支出0.13万元、对个人和家庭的补助支出102.93万元，较上年决算数增加216.22万元，</w:t>
      </w:r>
      <w:r>
        <w:rPr>
          <w:rFonts w:hint="eastAsia" w:ascii="宋体" w:hAnsi="宋体" w:eastAsia="方正仿宋_GBK" w:cs="方正仿宋_GBK"/>
          <w:sz w:val="32"/>
          <w:lang w:val="en-US" w:eastAsia="zh-CN"/>
        </w:rPr>
        <w:t>上升</w:t>
      </w:r>
      <w:r>
        <w:rPr>
          <w:rFonts w:hint="eastAsia" w:ascii="宋体" w:hAnsi="宋体" w:eastAsia="方正仿宋_GBK" w:cs="方正仿宋_GBK"/>
          <w:sz w:val="32"/>
        </w:rPr>
        <w:t>13.81%，主要原因是人员工资调增及人员增加，增加人员工资和社会保障缴费支出，人员经费增加。公用经费223.77万元，主要用于办公费18.25万元、咨询费0.10万元、水电费6.35万元、邮电费10.49万元、物业管理费0.08万元、差旅费1.28万元、维修（护）费0.52万元、会议费0.28万元、培训费3.20万元、公务接待费4.25万元、劳务费0.5万元、工会经费55.96万元、福利费20.64万元、公务用车运行维护费14.76万元、其他交通费用34.02万元、其他商品和服务支出51.18万元、资本性支出1.91万元，较上年决算数减少78.94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26.08%，主要原因是响应政府“过紧日子苦日子”号召，调减人员人均公用支出和公务车运行维护费支出，日常公用经费总额减少。</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（五）政府性基金预算收支决算情况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rPr>
        <w:t>部门2024年</w:t>
      </w:r>
      <w:r>
        <w:rPr>
          <w:rFonts w:ascii="方正仿宋_GBK" w:hAnsi="方正仿宋_GBK" w:eastAsia="方正仿宋_GBK" w:cs="方正仿宋_GBK"/>
          <w:sz w:val="32"/>
          <w:szCs w:val="32"/>
          <w:shd w:val="clear" w:color="auto" w:fill="FFFFFF"/>
        </w:rPr>
        <w:t>度无政府性基金预算财政拨款收支</w:t>
      </w:r>
      <w:r>
        <w:rPr>
          <w:rFonts w:hint="eastAsia"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（六）国有资本经营预算财政拨款支出决算情况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rPr>
        <w:t>部门2024年</w:t>
      </w:r>
      <w:r>
        <w:rPr>
          <w:rFonts w:ascii="方正仿宋_GBK" w:hAnsi="方正仿宋_GBK" w:eastAsia="方正仿宋_GBK" w:cs="方正仿宋_GBK"/>
          <w:sz w:val="32"/>
          <w:szCs w:val="32"/>
          <w:shd w:val="clear" w:color="auto" w:fill="FFFFFF"/>
        </w:rPr>
        <w:t>度无国有资本经营预算财政拨款支出。</w:t>
      </w:r>
    </w:p>
    <w:p>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三、“三公”经费情况</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（一）“三公”经费支出总体情况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2024年度“三公”经费支出共计19.01万元，较年初预算数减少2.49万元，下降11.58%，主要原因是执行中央八项规定，减少公务车运行维护费和接待费用。较上年支出数减少5.29万元，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21.76%，主要原因是响应政府过“紧日子苦日子”号召，调减了公务车运行维护费标准和公务接待费。</w:t>
      </w:r>
    </w:p>
    <w:p>
      <w:pPr>
        <w:keepNext w:val="0"/>
        <w:keepLines w:val="0"/>
        <w:pageBreakBefore w:val="0"/>
        <w:widowControl/>
        <w:kinsoku/>
        <w:wordWrap/>
        <w:overflowPunct/>
        <w:topLinePunct w:val="0"/>
        <w:autoSpaceDE w:val="0"/>
        <w:autoSpaceDN/>
        <w:bidi w:val="0"/>
        <w:spacing w:line="579" w:lineRule="exact"/>
        <w:ind w:firstLine="640" w:firstLineChars="200"/>
        <w:jc w:val="both"/>
        <w:textAlignment w:val="auto"/>
        <w:outlineLvl w:val="1"/>
        <w:rPr>
          <w:rStyle w:val="14"/>
          <w:rFonts w:ascii="宋体" w:hAnsi="宋体" w:eastAsia="方正楷体_GBK" w:cs="方正楷体_GBK"/>
          <w:b w:val="0"/>
          <w:bCs/>
          <w:sz w:val="32"/>
          <w:szCs w:val="32"/>
          <w:shd w:val="clear" w:color="auto" w:fill="FFFFFF"/>
        </w:rPr>
      </w:pPr>
      <w:r>
        <w:rPr>
          <w:rStyle w:val="14"/>
          <w:rFonts w:hint="eastAsia" w:ascii="宋体" w:hAnsi="宋体" w:eastAsia="方正楷体_GBK" w:cs="方正楷体_GBK"/>
          <w:b w:val="0"/>
          <w:bCs/>
          <w:sz w:val="32"/>
          <w:szCs w:val="32"/>
          <w:shd w:val="clear" w:color="auto" w:fill="FFFFFF"/>
        </w:rPr>
        <w:t>（二）“三公”经费分项支出情况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因公出国（境）费用0万元，</w:t>
      </w:r>
      <w:r>
        <w:rPr>
          <w:rFonts w:hint="eastAsia" w:ascii="宋体" w:hAnsi="宋体" w:eastAsia="方正仿宋_GBK" w:cs="方正仿宋_GBK"/>
          <w:sz w:val="32"/>
          <w:szCs w:val="32"/>
          <w:shd w:val="clear" w:color="auto" w:fill="FFFFFF"/>
        </w:rPr>
        <w:t>较年初预算数无增减，与去年持平。</w:t>
      </w:r>
    </w:p>
    <w:p>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公务车购置费用0万元，</w:t>
      </w:r>
      <w:r>
        <w:rPr>
          <w:rFonts w:hint="eastAsia" w:ascii="宋体" w:hAnsi="宋体" w:eastAsia="方正仿宋_GBK" w:cs="方正仿宋_GBK"/>
          <w:sz w:val="32"/>
          <w:szCs w:val="32"/>
          <w:shd w:val="clear" w:color="auto" w:fill="FFFFFF"/>
        </w:rPr>
        <w:t>较年初预算数无增减，与去年持平。</w:t>
      </w:r>
    </w:p>
    <w:p>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公务车运行维护费14.76万元，主要用于</w:t>
      </w:r>
      <w:r>
        <w:rPr>
          <w:rFonts w:hint="eastAsia" w:ascii="宋体" w:hAnsi="宋体" w:eastAsia="方正仿宋_GBK" w:cs="方正仿宋_GBK"/>
          <w:sz w:val="32"/>
          <w:szCs w:val="32"/>
          <w:shd w:val="clear" w:color="auto" w:fill="FFFFFF"/>
        </w:rPr>
        <w:t>部门公务车维修维护费、停车费、高速路过路费、洗车费和油费。费用支出比年初预算</w:t>
      </w:r>
      <w:r>
        <w:rPr>
          <w:rFonts w:hint="eastAsia" w:ascii="宋体" w:hAnsi="宋体" w:eastAsia="方正仿宋_GBK" w:cs="方正仿宋_GBK"/>
          <w:sz w:val="32"/>
        </w:rPr>
        <w:t>数减少0.74万元，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4.77%，主要原因是响应政府号召，减少公务车运行维护费。较上年支出数减少5.24万元、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26.18%，主要原因是公务车车均运行维护费标准下调，公务用车运行维护费下降。</w:t>
      </w:r>
    </w:p>
    <w:p>
      <w:pPr>
        <w:pStyle w:val="5"/>
        <w:keepNext w:val="0"/>
        <w:keepLines w:val="0"/>
        <w:pageBreakBefore w:val="0"/>
        <w:widowControl/>
        <w:kinsoku/>
        <w:wordWrap/>
        <w:overflowPunct/>
        <w:topLinePunct w:val="0"/>
        <w:autoSpaceDN/>
        <w:bidi w:val="0"/>
        <w:spacing w:before="0" w:beforeAutospacing="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公务接待费4.25万元，主要用于</w:t>
      </w:r>
      <w:r>
        <w:rPr>
          <w:rFonts w:hint="eastAsia" w:ascii="宋体" w:hAnsi="宋体" w:eastAsia="方正仿宋_GBK" w:cs="方正仿宋_GBK"/>
          <w:sz w:val="32"/>
          <w:szCs w:val="32"/>
          <w:shd w:val="clear" w:color="auto" w:fill="FFFFFF"/>
        </w:rPr>
        <w:t>上级部门督查、调研、友邻区县交叉检查等接待支出</w:t>
      </w:r>
      <w:r>
        <w:rPr>
          <w:rFonts w:hint="eastAsia" w:ascii="宋体" w:hAnsi="宋体" w:eastAsia="方正仿宋_GBK" w:cs="方正仿宋_GBK"/>
          <w:sz w:val="32"/>
        </w:rPr>
        <w:t>。费用支出较年初预算数减少1.75万元，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29.17%；较上年支出数减少0.05万元，</w:t>
      </w:r>
      <w:r>
        <w:rPr>
          <w:rFonts w:hint="eastAsia" w:ascii="宋体" w:hAnsi="宋体" w:eastAsia="方正仿宋_GBK" w:cs="方正仿宋_GBK"/>
          <w:sz w:val="32"/>
          <w:lang w:val="en-US" w:eastAsia="zh-CN"/>
        </w:rPr>
        <w:t>下降</w:t>
      </w:r>
      <w:r>
        <w:rPr>
          <w:rFonts w:hint="eastAsia" w:ascii="宋体" w:hAnsi="宋体" w:eastAsia="方正仿宋_GBK" w:cs="方正仿宋_GBK"/>
          <w:sz w:val="32"/>
        </w:rPr>
        <w:t>1.16%，主要原因是执行中央</w:t>
      </w:r>
      <w:r>
        <w:rPr>
          <w:rFonts w:hint="eastAsia" w:ascii="宋体" w:hAnsi="宋体" w:eastAsia="方正仿宋_GBK" w:cs="方正仿宋_GBK"/>
          <w:sz w:val="32"/>
          <w:lang w:val="en-US" w:eastAsia="zh-CN"/>
        </w:rPr>
        <w:t>八</w:t>
      </w:r>
      <w:r>
        <w:rPr>
          <w:rFonts w:hint="eastAsia" w:ascii="宋体" w:hAnsi="宋体" w:eastAsia="方正仿宋_GBK" w:cs="方正仿宋_GBK"/>
          <w:sz w:val="32"/>
        </w:rPr>
        <w:t>项规定，降低接待费餐标和次数，接待费下降。</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（三）“三公”经费实物量情况</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rPr>
        <w:t>2024年度本部门因公出国（境）共计0个团组，0人；公务用车购置0辆，公务车保有量为5辆；国内公务接待63批次450人，其中：国内外事接待0批次，0人；国（境）外公务接待</w:t>
      </w:r>
      <w:r>
        <w:rPr>
          <w:rFonts w:hint="eastAsia" w:ascii="宋体" w:hAnsi="宋体" w:eastAsia="方正仿宋_GBK" w:cs="方正仿宋_GBK"/>
          <w:sz w:val="32"/>
          <w:lang w:val="en-US" w:eastAsia="zh-CN"/>
        </w:rPr>
        <w:t>0</w:t>
      </w:r>
      <w:r>
        <w:rPr>
          <w:rFonts w:hint="eastAsia" w:ascii="宋体" w:hAnsi="宋体" w:eastAsia="方正仿宋_GBK" w:cs="方正仿宋_GBK"/>
          <w:sz w:val="32"/>
        </w:rPr>
        <w:t>批次，0人。人均接待费94.44元，车均购置费0万元，车均维护费2.95万元。</w:t>
      </w:r>
    </w:p>
    <w:p>
      <w:pPr>
        <w:pStyle w:val="10"/>
        <w:keepNext w:val="0"/>
        <w:keepLines w:val="0"/>
        <w:pageBreakBefore w:val="0"/>
        <w:widowControl/>
        <w:kinsoku/>
        <w:wordWrap/>
        <w:overflowPunct/>
        <w:topLinePunct w:val="0"/>
        <w:autoSpaceDE w:val="0"/>
        <w:autoSpaceDN/>
        <w:bidi w:val="0"/>
        <w:spacing w:before="0" w:beforeAutospacing="0" w:after="0" w:afterAutospacing="0" w:line="579" w:lineRule="exact"/>
        <w:ind w:firstLine="640" w:firstLineChars="200"/>
        <w:jc w:val="both"/>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rPr>
        <w:t>四、其他需要说明的事项</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万元，与2023年度相比，减少</w:t>
      </w:r>
      <w:r>
        <w:rPr>
          <w:rFonts w:hint="eastAsia" w:ascii="方正仿宋_GBK" w:hAnsi="方正仿宋_GBK" w:eastAsia="方正仿宋_GBK" w:cs="方正仿宋_GBK"/>
          <w:sz w:val="32"/>
          <w:szCs w:val="32"/>
          <w:shd w:val="clear" w:color="auto" w:fill="FFFFFF"/>
        </w:rPr>
        <w:t>1.44</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rPr>
        <w:t>62.95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精简会议次数和会议餐费支出，降低会议费支出</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rPr>
        <w:t>7.52</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rPr>
        <w:t>3.34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w:t>
      </w:r>
      <w:r>
        <w:rPr>
          <w:rFonts w:hint="eastAsia" w:ascii="方正仿宋_GBK" w:hAnsi="方正仿宋_GBK" w:eastAsia="方正仿宋_GBK" w:cs="方正仿宋_GBK"/>
          <w:sz w:val="32"/>
          <w:szCs w:val="32"/>
          <w:shd w:val="clear" w:color="auto" w:fill="FFFFFF"/>
        </w:rPr>
        <w:t>84.02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今年召开了一次</w:t>
      </w:r>
      <w:r>
        <w:rPr>
          <w:rFonts w:hint="eastAsia" w:ascii="方正仿宋_GBK" w:hAnsi="方正仿宋_GBK" w:eastAsia="方正仿宋_GBK" w:cs="方正仿宋_GBK"/>
          <w:sz w:val="32"/>
          <w:szCs w:val="32"/>
          <w:shd w:val="clear" w:color="auto" w:fill="FFFFFF"/>
          <w:lang w:val="en-US" w:eastAsia="zh-CN"/>
        </w:rPr>
        <w:t>全</w:t>
      </w:r>
      <w:r>
        <w:rPr>
          <w:rFonts w:hint="eastAsia" w:ascii="方正仿宋_GBK" w:hAnsi="方正仿宋_GBK" w:eastAsia="方正仿宋_GBK" w:cs="方正仿宋_GBK"/>
          <w:sz w:val="32"/>
          <w:szCs w:val="32"/>
          <w:shd w:val="clear" w:color="auto" w:fill="FFFFFF"/>
        </w:rPr>
        <w:t>区应急干部自然灾害及安全生产综合培训</w:t>
      </w:r>
      <w:r>
        <w:rPr>
          <w:rFonts w:hint="eastAsia" w:ascii="方正仿宋_GBK" w:hAnsi="方正仿宋_GBK" w:eastAsia="方正仿宋_GBK" w:cs="方正仿宋_GBK"/>
          <w:sz w:val="32"/>
          <w:szCs w:val="32"/>
          <w:shd w:val="clear" w:color="auto" w:fill="FFFFFF"/>
          <w:lang w:val="en-US" w:eastAsia="zh-CN"/>
        </w:rPr>
        <w:t>会</w:t>
      </w:r>
      <w:r>
        <w:rPr>
          <w:rFonts w:hint="eastAsia" w:ascii="方正仿宋_GBK" w:hAnsi="方正仿宋_GBK" w:eastAsia="方正仿宋_GBK" w:cs="方正仿宋_GBK"/>
          <w:sz w:val="32"/>
          <w:szCs w:val="32"/>
          <w:shd w:val="clear" w:color="auto" w:fill="FFFFFF"/>
        </w:rPr>
        <w:t>，培训费增加</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（二）机关运行经费情况</w:t>
      </w:r>
    </w:p>
    <w:p>
      <w:pPr>
        <w:keepNext w:val="0"/>
        <w:keepLines w:val="0"/>
        <w:pageBreakBefore w:val="0"/>
        <w:kinsoku/>
        <w:wordWrap/>
        <w:overflowPunct/>
        <w:topLinePunct w:val="0"/>
        <w:autoSpaceDN/>
        <w:bidi w:val="0"/>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2024年度本部门机关运行经费支出144.85万元，较上年减少39.10万元，</w:t>
      </w:r>
      <w:r>
        <w:rPr>
          <w:rFonts w:hint="eastAsia" w:ascii="宋体" w:hAnsi="宋体" w:eastAsia="方正仿宋_GBK" w:cs="方正仿宋_GBK"/>
          <w:kern w:val="0"/>
          <w:sz w:val="32"/>
          <w:szCs w:val="32"/>
          <w:lang w:val="en-US" w:eastAsia="zh-CN"/>
        </w:rPr>
        <w:t>下降</w:t>
      </w:r>
      <w:r>
        <w:rPr>
          <w:rFonts w:hint="eastAsia" w:ascii="宋体" w:hAnsi="宋体" w:eastAsia="方正仿宋_GBK" w:cs="方正仿宋_GBK"/>
          <w:kern w:val="0"/>
          <w:sz w:val="32"/>
          <w:szCs w:val="32"/>
        </w:rPr>
        <w:t>21.26%，主要原因是减少单位办公经费支出，节省各项开支，机关运行经费下降。比年初预算数减少31.96万元，</w:t>
      </w:r>
      <w:r>
        <w:rPr>
          <w:rFonts w:hint="eastAsia" w:ascii="宋体" w:hAnsi="宋体" w:eastAsia="方正仿宋_GBK" w:cs="方正仿宋_GBK"/>
          <w:kern w:val="0"/>
          <w:sz w:val="32"/>
          <w:szCs w:val="32"/>
          <w:lang w:val="en-US" w:eastAsia="zh-CN"/>
        </w:rPr>
        <w:t>下降</w:t>
      </w:r>
      <w:r>
        <w:rPr>
          <w:rFonts w:hint="eastAsia" w:ascii="宋体" w:hAnsi="宋体" w:eastAsia="方正仿宋_GBK" w:cs="方正仿宋_GBK"/>
          <w:kern w:val="0"/>
          <w:sz w:val="32"/>
          <w:szCs w:val="32"/>
        </w:rPr>
        <w:t>18.08%，主要原因是厉行节约，减少各项经费支出。机关运动经费主要用于</w:t>
      </w:r>
      <w:r>
        <w:rPr>
          <w:rFonts w:hint="eastAsia" w:ascii="宋体" w:hAnsi="宋体" w:eastAsia="方正仿宋_GBK" w:cs="方正仿宋_GBK"/>
          <w:sz w:val="32"/>
        </w:rPr>
        <w:t>办公费46.09万元、水电费2.06万元、邮电费10.49万元、物业管理费0.08万元、差旅费0.67万元、维修（护）费0.20万元、会议费0.18万元、培训费2.32万元、公务接待费2.36万元、福利费11.6万元、公务用车运行维护费6万元、其他交通费用34.02万元、其他商品和服务支出28.44万元</w:t>
      </w:r>
      <w:r>
        <w:rPr>
          <w:rFonts w:hint="eastAsia" w:ascii="宋体" w:hAnsi="宋体" w:eastAsia="方正仿宋_GBK" w:cs="方正仿宋_GBK"/>
          <w:kern w:val="0"/>
          <w:sz w:val="32"/>
          <w:szCs w:val="32"/>
        </w:rPr>
        <w:t>。</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（三）国有资产占用情况说明</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截至2024年12月31日，本部门共有车辆5辆。其中：应急保障用车4辆，特种专业技术用车1辆。单价100万元（含）以上设备（不含车辆）0台（套）。</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（四）政府采购支出说明</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rPr>
          <w:rFonts w:ascii="宋体" w:hAnsi="宋体" w:eastAsia="方正仿宋_GBK" w:cs="方正仿宋_GBK"/>
          <w:sz w:val="32"/>
        </w:rPr>
      </w:pPr>
      <w:r>
        <w:rPr>
          <w:rFonts w:hint="eastAsia" w:ascii="宋体" w:hAnsi="宋体" w:eastAsia="方正仿宋_GBK" w:cs="方正仿宋_GBK"/>
          <w:sz w:val="32"/>
          <w:szCs w:val="32"/>
        </w:rPr>
        <w:t>2024年度本部门政府采购支出总额2.15万元，其中：政府采购货物支出2.15万元。授予中小企业合同金额2.15万元，占政府采购支出总额的100%，其中：授予小微企业合同金额2.15万元，占政府采购支出总额的100%。</w:t>
      </w:r>
      <w:r>
        <w:rPr>
          <w:rFonts w:hint="eastAsia" w:ascii="宋体" w:hAnsi="宋体" w:eastAsia="方正仿宋_GBK" w:cs="方正仿宋_GBK"/>
          <w:sz w:val="32"/>
        </w:rPr>
        <w:t>主要用于采购办公用打印机和电脑。</w:t>
      </w:r>
    </w:p>
    <w:p>
      <w:pPr>
        <w:pStyle w:val="5"/>
        <w:keepNext w:val="0"/>
        <w:keepLines w:val="0"/>
        <w:pageBreakBefore w:val="0"/>
        <w:widowControl/>
        <w:kinsoku/>
        <w:wordWrap/>
        <w:overflowPunct/>
        <w:topLinePunct w:val="0"/>
        <w:autoSpaceDN/>
        <w:bidi w:val="0"/>
        <w:spacing w:before="0" w:beforeAutospacing="0" w:after="0" w:afterAutospacing="0" w:line="579" w:lineRule="exact"/>
        <w:ind w:firstLine="640" w:firstLineChars="200"/>
        <w:jc w:val="both"/>
        <w:textAlignment w:val="auto"/>
        <w:outlineLvl w:val="0"/>
        <w:rPr>
          <w:rFonts w:ascii="宋体" w:hAnsi="宋体" w:eastAsia="方正黑体_GBK" w:cs="方正黑体_GBK"/>
          <w:bCs/>
          <w:sz w:val="32"/>
          <w:szCs w:val="32"/>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Fonts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rPr>
        <w:t>（一）预算绩效管理工作开展情况</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rPr>
          <w:rFonts w:ascii="宋体" w:hAnsi="宋体" w:eastAsia="方正仿宋_GBK" w:cs="方正仿宋_GBK"/>
        </w:rPr>
      </w:pPr>
      <w:r>
        <w:rPr>
          <w:rFonts w:hint="eastAsia" w:ascii="宋体" w:hAnsi="宋体" w:eastAsia="方正仿宋_GBK" w:cs="方正仿宋_GBK"/>
          <w:sz w:val="32"/>
          <w:szCs w:val="32"/>
        </w:rPr>
        <w:t>根据预算绩效管理要求，我局对部门整体和16个项目开展了绩效自评，其中，以填报目标自评表形式开展自评17项，涉及资金3519.80万元。</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0" w:firstLineChars="200"/>
        <w:jc w:val="both"/>
        <w:textAlignment w:val="auto"/>
        <w:outlineLvl w:val="1"/>
        <w:rPr>
          <w:rStyle w:val="14"/>
          <w:rFonts w:ascii="宋体" w:hAnsi="宋体" w:eastAsia="方正楷体_GBK" w:cs="方正楷体_GBK"/>
          <w:b w:val="0"/>
          <w:bCs/>
          <w:kern w:val="2"/>
          <w:sz w:val="32"/>
          <w:szCs w:val="32"/>
          <w:shd w:val="clear" w:color="auto" w:fill="FFFFFF"/>
        </w:rPr>
      </w:pPr>
      <w:r>
        <w:rPr>
          <w:rStyle w:val="14"/>
          <w:rFonts w:hint="eastAsia" w:ascii="宋体" w:hAnsi="宋体" w:eastAsia="方正楷体_GBK" w:cs="方正楷体_GBK"/>
          <w:b w:val="0"/>
          <w:bCs/>
          <w:kern w:val="2"/>
          <w:sz w:val="32"/>
          <w:szCs w:val="32"/>
          <w:shd w:val="clear" w:color="auto" w:fill="FFFFFF"/>
        </w:rPr>
        <w:t>（二）绩效自评结果</w:t>
      </w:r>
    </w:p>
    <w:p>
      <w:pPr>
        <w:pStyle w:val="5"/>
        <w:keepNext w:val="0"/>
        <w:keepLines w:val="0"/>
        <w:pageBreakBefore w:val="0"/>
        <w:widowControl/>
        <w:kinsoku/>
        <w:wordWrap/>
        <w:overflowPunct/>
        <w:topLinePunct w:val="0"/>
        <w:autoSpaceDN/>
        <w:bidi w:val="0"/>
        <w:adjustRightInd w:val="0"/>
        <w:spacing w:before="0" w:beforeAutospacing="0" w:after="0" w:afterAutospacing="0" w:line="579" w:lineRule="exact"/>
        <w:ind w:firstLine="643" w:firstLineChars="200"/>
        <w:jc w:val="both"/>
        <w:textAlignment w:val="auto"/>
        <w:rPr>
          <w:rFonts w:ascii="宋体" w:hAnsi="宋体" w:eastAsia="方正仿宋_GBK" w:cs="方正仿宋_GBK"/>
          <w:b/>
          <w:bCs/>
          <w:sz w:val="32"/>
        </w:rPr>
      </w:pPr>
      <w:r>
        <w:rPr>
          <w:rFonts w:hint="eastAsia" w:ascii="宋体" w:hAnsi="宋体" w:eastAsia="方正仿宋_GBK" w:cs="方正仿宋_GBK"/>
          <w:b/>
          <w:bCs/>
          <w:sz w:val="32"/>
        </w:rPr>
        <w:t>1.绩效目标自评表</w:t>
      </w:r>
    </w:p>
    <w:p>
      <w:pPr>
        <w:pStyle w:val="9"/>
        <w:tabs>
          <w:tab w:val="center" w:pos="4153"/>
          <w:tab w:val="left" w:pos="7275"/>
        </w:tabs>
        <w:spacing w:line="579" w:lineRule="exact"/>
        <w:ind w:firstLine="0" w:firstLineChars="0"/>
        <w:jc w:val="center"/>
        <w:rPr>
          <w:rFonts w:ascii="方正黑体_GBK" w:hAnsi="方正黑体_GBK" w:eastAsia="方正黑体_GBK" w:cs="方正黑体_GBK"/>
          <w:color w:val="000000"/>
          <w:kern w:val="0"/>
          <w:sz w:val="36"/>
          <w:szCs w:val="36"/>
        </w:rPr>
      </w:pPr>
      <w:r>
        <w:rPr>
          <w:rFonts w:hint="eastAsia" w:ascii="方正黑体_GBK" w:hAnsi="方正黑体_GBK" w:eastAsia="方正黑体_GBK" w:cs="方正黑体_GBK"/>
          <w:color w:val="000000"/>
          <w:kern w:val="0"/>
          <w:sz w:val="36"/>
          <w:szCs w:val="36"/>
        </w:rPr>
        <w:t>2024年度部门整体绩效自评表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704"/>
        <w:gridCol w:w="153"/>
        <w:gridCol w:w="791"/>
        <w:gridCol w:w="936"/>
        <w:gridCol w:w="912"/>
        <w:gridCol w:w="768"/>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47" w:type="dxa"/>
            <w:tcBorders>
              <w:tl2br w:val="nil"/>
              <w:tr2bl w:val="nil"/>
            </w:tcBorders>
            <w:noWrap/>
            <w:vAlign w:val="center"/>
          </w:tcPr>
          <w:p>
            <w:r>
              <w:rPr>
                <w:rFonts w:hint="eastAsia"/>
              </w:rPr>
              <w:t>项目</w:t>
            </w:r>
          </w:p>
          <w:p>
            <w:r>
              <w:rPr>
                <w:rFonts w:hint="eastAsia"/>
              </w:rPr>
              <w:t>名称</w:t>
            </w:r>
          </w:p>
        </w:tc>
        <w:tc>
          <w:tcPr>
            <w:tcW w:w="3585" w:type="dxa"/>
            <w:gridSpan w:val="6"/>
            <w:tcBorders>
              <w:tl2br w:val="nil"/>
              <w:tr2bl w:val="nil"/>
            </w:tcBorders>
            <w:noWrap/>
            <w:vAlign w:val="center"/>
          </w:tcPr>
          <w:p>
            <w:r>
              <w:rPr>
                <w:rFonts w:hint="eastAsia"/>
              </w:rPr>
              <w:t>重庆市江津区应急管理局整体自评</w:t>
            </w:r>
          </w:p>
        </w:tc>
        <w:tc>
          <w:tcPr>
            <w:tcW w:w="944" w:type="dxa"/>
            <w:gridSpan w:val="2"/>
            <w:tcBorders>
              <w:tl2br w:val="nil"/>
              <w:tr2bl w:val="nil"/>
            </w:tcBorders>
            <w:noWrap/>
            <w:vAlign w:val="center"/>
          </w:tcPr>
          <w:p>
            <w:r>
              <w:rPr>
                <w:rFonts w:hint="eastAsia"/>
              </w:rPr>
              <w:t>自评总分</w:t>
            </w:r>
          </w:p>
          <w:p>
            <w:r>
              <w:rPr>
                <w:rFonts w:hint="eastAsia"/>
              </w:rPr>
              <w:t>（分）</w:t>
            </w:r>
          </w:p>
        </w:tc>
        <w:tc>
          <w:tcPr>
            <w:tcW w:w="4756" w:type="dxa"/>
            <w:gridSpan w:val="4"/>
            <w:tcBorders>
              <w:tl2br w:val="nil"/>
              <w:tr2bl w:val="nil"/>
            </w:tcBorders>
            <w:noWrap/>
            <w:vAlign w:val="center"/>
          </w:tcPr>
          <w:p>
            <w:pPr>
              <w:rPr>
                <w:rFonts w:hint="default" w:eastAsia="宋体"/>
                <w:lang w:val="en-US" w:eastAsia="zh-CN"/>
              </w:rPr>
            </w:pPr>
            <w:r>
              <w:rPr>
                <w:rFonts w:hint="eastAsia"/>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47" w:type="dxa"/>
            <w:tcBorders>
              <w:tl2br w:val="nil"/>
              <w:tr2bl w:val="nil"/>
            </w:tcBorders>
            <w:noWrap/>
            <w:vAlign w:val="center"/>
          </w:tcPr>
          <w:p>
            <w:r>
              <w:rPr>
                <w:rFonts w:hint="eastAsia"/>
              </w:rPr>
              <w:t>项目主管部门</w:t>
            </w:r>
          </w:p>
        </w:tc>
        <w:tc>
          <w:tcPr>
            <w:tcW w:w="1464" w:type="dxa"/>
            <w:gridSpan w:val="2"/>
            <w:tcBorders>
              <w:tl2br w:val="nil"/>
              <w:tr2bl w:val="nil"/>
            </w:tcBorders>
            <w:noWrap/>
            <w:vAlign w:val="center"/>
          </w:tcPr>
          <w:p>
            <w:r>
              <w:rPr>
                <w:rFonts w:hint="eastAsia"/>
              </w:rPr>
              <w:t>603-重庆市江津区应急管理局</w:t>
            </w:r>
          </w:p>
        </w:tc>
        <w:tc>
          <w:tcPr>
            <w:tcW w:w="1075" w:type="dxa"/>
            <w:gridSpan w:val="2"/>
            <w:tcBorders>
              <w:tl2br w:val="nil"/>
              <w:tr2bl w:val="nil"/>
            </w:tcBorders>
            <w:noWrap/>
            <w:vAlign w:val="center"/>
          </w:tcPr>
          <w:p>
            <w:pPr>
              <w:jc w:val="center"/>
            </w:pPr>
            <w:r>
              <w:rPr>
                <w:rFonts w:hint="eastAsia"/>
              </w:rPr>
              <w:t>财政归口科室</w:t>
            </w:r>
          </w:p>
        </w:tc>
        <w:tc>
          <w:tcPr>
            <w:tcW w:w="1046" w:type="dxa"/>
            <w:gridSpan w:val="2"/>
            <w:tcBorders>
              <w:tl2br w:val="nil"/>
              <w:tr2bl w:val="nil"/>
            </w:tcBorders>
            <w:noWrap/>
            <w:vAlign w:val="center"/>
          </w:tcPr>
          <w:p>
            <w:r>
              <w:rPr>
                <w:rFonts w:hint="eastAsia"/>
              </w:rPr>
              <w:t>006-产业发展科</w:t>
            </w:r>
          </w:p>
        </w:tc>
        <w:tc>
          <w:tcPr>
            <w:tcW w:w="944" w:type="dxa"/>
            <w:gridSpan w:val="2"/>
            <w:tcBorders>
              <w:tl2br w:val="nil"/>
              <w:tr2bl w:val="nil"/>
            </w:tcBorders>
            <w:noWrap/>
            <w:vAlign w:val="center"/>
          </w:tcPr>
          <w:p>
            <w:pPr>
              <w:jc w:val="center"/>
            </w:pPr>
            <w:r>
              <w:rPr>
                <w:rFonts w:hint="eastAsia"/>
              </w:rPr>
              <w:t>部门</w:t>
            </w:r>
          </w:p>
          <w:p>
            <w:pPr>
              <w:jc w:val="center"/>
            </w:pPr>
            <w:r>
              <w:rPr>
                <w:rFonts w:hint="eastAsia"/>
              </w:rPr>
              <w:t>联系人</w:t>
            </w:r>
          </w:p>
        </w:tc>
        <w:tc>
          <w:tcPr>
            <w:tcW w:w="936" w:type="dxa"/>
            <w:tcBorders>
              <w:tl2br w:val="nil"/>
              <w:tr2bl w:val="nil"/>
            </w:tcBorders>
            <w:noWrap/>
            <w:vAlign w:val="center"/>
          </w:tcPr>
          <w:p>
            <w:r>
              <w:rPr>
                <w:rFonts w:hint="eastAsia"/>
              </w:rPr>
              <w:t>王艺寰</w:t>
            </w:r>
          </w:p>
        </w:tc>
        <w:tc>
          <w:tcPr>
            <w:tcW w:w="912" w:type="dxa"/>
            <w:tcBorders>
              <w:tl2br w:val="nil"/>
              <w:tr2bl w:val="nil"/>
            </w:tcBorders>
            <w:noWrap/>
            <w:vAlign w:val="center"/>
          </w:tcPr>
          <w:p>
            <w:pPr>
              <w:jc w:val="center"/>
            </w:pPr>
            <w:r>
              <w:rPr>
                <w:rFonts w:hint="eastAsia"/>
              </w:rPr>
              <w:t>联系电话</w:t>
            </w:r>
          </w:p>
        </w:tc>
        <w:tc>
          <w:tcPr>
            <w:tcW w:w="2908" w:type="dxa"/>
            <w:gridSpan w:val="2"/>
            <w:tcBorders>
              <w:tl2br w:val="nil"/>
              <w:tr2bl w:val="nil"/>
            </w:tcBorders>
            <w:noWrap/>
            <w:vAlign w:val="center"/>
          </w:tcPr>
          <w:p>
            <w:r>
              <w:rPr>
                <w:rFonts w:hint="eastAsia"/>
              </w:rPr>
              <w:t>13883896753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47" w:type="dxa"/>
            <w:vMerge w:val="restart"/>
            <w:tcBorders>
              <w:tl2br w:val="nil"/>
              <w:tr2bl w:val="nil"/>
            </w:tcBorders>
            <w:noWrap/>
            <w:textDirection w:val="tbRlV"/>
            <w:vAlign w:val="center"/>
          </w:tcPr>
          <w:p>
            <w:pPr>
              <w:jc w:val="center"/>
            </w:pPr>
            <w:r>
              <w:rPr>
                <w:rFonts w:hint="eastAsia"/>
              </w:rPr>
              <w:t>项目资金（万元）</w:t>
            </w:r>
          </w:p>
        </w:tc>
        <w:tc>
          <w:tcPr>
            <w:tcW w:w="1464" w:type="dxa"/>
            <w:gridSpan w:val="2"/>
            <w:vMerge w:val="restart"/>
            <w:tcBorders>
              <w:tl2br w:val="nil"/>
              <w:tr2bl w:val="nil"/>
            </w:tcBorders>
            <w:noWrap/>
            <w:vAlign w:val="center"/>
          </w:tcPr>
          <w:p>
            <w:pPr>
              <w:jc w:val="center"/>
            </w:pPr>
            <w:r>
              <w:rPr>
                <w:rFonts w:hint="eastAsia"/>
              </w:rPr>
              <w:t>年度总金额</w:t>
            </w:r>
          </w:p>
        </w:tc>
        <w:tc>
          <w:tcPr>
            <w:tcW w:w="1075" w:type="dxa"/>
            <w:gridSpan w:val="2"/>
            <w:tcBorders>
              <w:tl2br w:val="nil"/>
              <w:tr2bl w:val="nil"/>
            </w:tcBorders>
            <w:noWrap/>
            <w:vAlign w:val="center"/>
          </w:tcPr>
          <w:p>
            <w:pPr>
              <w:jc w:val="center"/>
            </w:pPr>
            <w:r>
              <w:rPr>
                <w:rFonts w:hint="eastAsia"/>
              </w:rPr>
              <w:t>年初</w:t>
            </w:r>
          </w:p>
          <w:p>
            <w:pPr>
              <w:jc w:val="center"/>
            </w:pPr>
            <w:r>
              <w:rPr>
                <w:rFonts w:hint="eastAsia"/>
              </w:rPr>
              <w:t>预算数</w:t>
            </w:r>
          </w:p>
        </w:tc>
        <w:tc>
          <w:tcPr>
            <w:tcW w:w="1046" w:type="dxa"/>
            <w:gridSpan w:val="2"/>
            <w:tcBorders>
              <w:tl2br w:val="nil"/>
              <w:tr2bl w:val="nil"/>
            </w:tcBorders>
            <w:noWrap/>
            <w:vAlign w:val="center"/>
          </w:tcPr>
          <w:p>
            <w:pPr>
              <w:jc w:val="center"/>
            </w:pPr>
            <w:r>
              <w:rPr>
                <w:rFonts w:hint="eastAsia"/>
              </w:rPr>
              <w:t>全年（调整）预算数</w:t>
            </w:r>
          </w:p>
        </w:tc>
        <w:tc>
          <w:tcPr>
            <w:tcW w:w="1880" w:type="dxa"/>
            <w:gridSpan w:val="3"/>
            <w:tcBorders>
              <w:tl2br w:val="nil"/>
              <w:tr2bl w:val="nil"/>
            </w:tcBorders>
            <w:noWrap/>
            <w:vAlign w:val="center"/>
          </w:tcPr>
          <w:p>
            <w:pPr>
              <w:jc w:val="center"/>
            </w:pPr>
            <w:r>
              <w:rPr>
                <w:rFonts w:hint="eastAsia"/>
              </w:rPr>
              <w:t>全年执行数</w:t>
            </w:r>
          </w:p>
        </w:tc>
        <w:tc>
          <w:tcPr>
            <w:tcW w:w="912" w:type="dxa"/>
            <w:tcBorders>
              <w:tl2br w:val="nil"/>
              <w:tr2bl w:val="nil"/>
            </w:tcBorders>
            <w:noWrap/>
            <w:vAlign w:val="center"/>
          </w:tcPr>
          <w:p>
            <w:pPr>
              <w:jc w:val="center"/>
            </w:pPr>
            <w:r>
              <w:rPr>
                <w:rFonts w:hint="eastAsia"/>
              </w:rPr>
              <w:t>执行率</w:t>
            </w:r>
          </w:p>
          <w:p>
            <w:pPr>
              <w:jc w:val="center"/>
            </w:pPr>
            <w:r>
              <w:rPr>
                <w:rFonts w:hint="eastAsia"/>
              </w:rPr>
              <w:t>（%）</w:t>
            </w:r>
          </w:p>
        </w:tc>
        <w:tc>
          <w:tcPr>
            <w:tcW w:w="768" w:type="dxa"/>
            <w:tcBorders>
              <w:tl2br w:val="nil"/>
              <w:tr2bl w:val="nil"/>
            </w:tcBorders>
            <w:noWrap/>
            <w:vAlign w:val="center"/>
          </w:tcPr>
          <w:p>
            <w:pPr>
              <w:jc w:val="center"/>
            </w:pPr>
            <w:r>
              <w:rPr>
                <w:rFonts w:hint="eastAsia"/>
              </w:rPr>
              <w:t>执行率权重</w:t>
            </w:r>
          </w:p>
        </w:tc>
        <w:tc>
          <w:tcPr>
            <w:tcW w:w="2140" w:type="dxa"/>
            <w:tcBorders>
              <w:tl2br w:val="nil"/>
              <w:tr2bl w:val="nil"/>
            </w:tcBorders>
            <w:noWrap/>
            <w:vAlign w:val="center"/>
          </w:tcPr>
          <w:p>
            <w:pPr>
              <w:jc w:val="center"/>
            </w:pPr>
            <w:r>
              <w:rPr>
                <w:rFonts w:hint="eastAsia"/>
              </w:rPr>
              <w:t>执行率得分</w:t>
            </w:r>
          </w:p>
          <w:p>
            <w:pPr>
              <w:jc w:val="center"/>
            </w:pP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ign w:val="center"/>
          </w:tcPr>
          <w:p/>
        </w:tc>
        <w:tc>
          <w:tcPr>
            <w:tcW w:w="1464" w:type="dxa"/>
            <w:gridSpan w:val="2"/>
            <w:vMerge w:val="continue"/>
            <w:tcBorders>
              <w:tl2br w:val="nil"/>
              <w:tr2bl w:val="nil"/>
            </w:tcBorders>
            <w:noWrap/>
            <w:vAlign w:val="center"/>
          </w:tcPr>
          <w:p/>
        </w:tc>
        <w:tc>
          <w:tcPr>
            <w:tcW w:w="1075" w:type="dxa"/>
            <w:gridSpan w:val="2"/>
            <w:tcBorders>
              <w:tl2br w:val="nil"/>
              <w:tr2bl w:val="nil"/>
            </w:tcBorders>
            <w:noWrap/>
            <w:vAlign w:val="center"/>
          </w:tcPr>
          <w:p>
            <w:pPr>
              <w:rPr>
                <w:rFonts w:hint="default" w:eastAsia="宋体"/>
                <w:lang w:val="en-US" w:eastAsia="zh-CN"/>
              </w:rPr>
            </w:pPr>
            <w:r>
              <w:rPr>
                <w:rFonts w:hint="eastAsia"/>
                <w:lang w:val="en-US" w:eastAsia="zh-CN"/>
              </w:rPr>
              <w:t>2748.55</w:t>
            </w:r>
          </w:p>
        </w:tc>
        <w:tc>
          <w:tcPr>
            <w:tcW w:w="1046" w:type="dxa"/>
            <w:gridSpan w:val="2"/>
            <w:tcBorders>
              <w:tl2br w:val="nil"/>
              <w:tr2bl w:val="nil"/>
            </w:tcBorders>
            <w:noWrap/>
            <w:vAlign w:val="center"/>
          </w:tcPr>
          <w:p>
            <w:pPr>
              <w:rPr>
                <w:rFonts w:hint="default" w:eastAsia="宋体"/>
                <w:lang w:val="en-US" w:eastAsia="zh-CN"/>
              </w:rPr>
            </w:pPr>
            <w:r>
              <w:rPr>
                <w:rFonts w:hint="eastAsia"/>
                <w:lang w:val="en-US" w:eastAsia="zh-CN"/>
              </w:rPr>
              <w:t>3519.80</w:t>
            </w:r>
          </w:p>
        </w:tc>
        <w:tc>
          <w:tcPr>
            <w:tcW w:w="1880" w:type="dxa"/>
            <w:gridSpan w:val="3"/>
            <w:tcBorders>
              <w:tl2br w:val="nil"/>
              <w:tr2bl w:val="nil"/>
            </w:tcBorders>
            <w:noWrap/>
            <w:vAlign w:val="center"/>
          </w:tcPr>
          <w:p>
            <w:pPr>
              <w:rPr>
                <w:rFonts w:hint="default" w:eastAsia="宋体"/>
                <w:lang w:val="en-US" w:eastAsia="zh-CN"/>
              </w:rPr>
            </w:pPr>
            <w:r>
              <w:rPr>
                <w:rFonts w:hint="eastAsia"/>
                <w:lang w:val="en-US" w:eastAsia="zh-CN"/>
              </w:rPr>
              <w:t>3519.80</w:t>
            </w:r>
          </w:p>
        </w:tc>
        <w:tc>
          <w:tcPr>
            <w:tcW w:w="912" w:type="dxa"/>
            <w:tcBorders>
              <w:tl2br w:val="nil"/>
              <w:tr2bl w:val="nil"/>
            </w:tcBorders>
            <w:noWrap/>
            <w:vAlign w:val="center"/>
          </w:tcPr>
          <w:p>
            <w:pPr>
              <w:rPr>
                <w:rFonts w:hint="default" w:eastAsia="宋体"/>
                <w:lang w:val="en-US" w:eastAsia="zh-CN"/>
              </w:rPr>
            </w:pPr>
            <w:r>
              <w:rPr>
                <w:rFonts w:hint="eastAsia"/>
                <w:lang w:val="en-US" w:eastAsia="zh-CN"/>
              </w:rPr>
              <w:t>100</w:t>
            </w:r>
          </w:p>
        </w:tc>
        <w:tc>
          <w:tcPr>
            <w:tcW w:w="768" w:type="dxa"/>
            <w:tcBorders>
              <w:tl2br w:val="nil"/>
              <w:tr2bl w:val="nil"/>
            </w:tcBorders>
            <w:noWrap/>
            <w:vAlign w:val="center"/>
          </w:tcPr>
          <w:p>
            <w:pPr>
              <w:rPr>
                <w:rFonts w:hint="default" w:eastAsia="宋体"/>
                <w:lang w:val="en-US" w:eastAsia="zh-CN"/>
              </w:rPr>
            </w:pPr>
            <w:r>
              <w:rPr>
                <w:rFonts w:hint="eastAsia"/>
                <w:lang w:val="en-US" w:eastAsia="zh-CN"/>
              </w:rPr>
              <w:t>10</w:t>
            </w:r>
          </w:p>
        </w:tc>
        <w:tc>
          <w:tcPr>
            <w:tcW w:w="2140" w:type="dxa"/>
            <w:tcBorders>
              <w:tl2br w:val="nil"/>
              <w:tr2bl w:val="nil"/>
            </w:tcBorders>
            <w:noWrap/>
            <w:vAlign w:val="center"/>
          </w:tcPr>
          <w:p>
            <w:pP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ign w:val="center"/>
          </w:tcPr>
          <w:p/>
        </w:tc>
        <w:tc>
          <w:tcPr>
            <w:tcW w:w="1464" w:type="dxa"/>
            <w:gridSpan w:val="2"/>
            <w:tcBorders>
              <w:tl2br w:val="nil"/>
              <w:tr2bl w:val="nil"/>
            </w:tcBorders>
            <w:noWrap/>
            <w:vAlign w:val="center"/>
          </w:tcPr>
          <w:p>
            <w:r>
              <w:rPr>
                <w:rFonts w:hint="eastAsia"/>
              </w:rPr>
              <w:t>其中：</w:t>
            </w:r>
          </w:p>
          <w:p>
            <w:r>
              <w:rPr>
                <w:rFonts w:hint="eastAsia"/>
              </w:rPr>
              <w:t>财政拨款</w:t>
            </w:r>
          </w:p>
        </w:tc>
        <w:tc>
          <w:tcPr>
            <w:tcW w:w="1075" w:type="dxa"/>
            <w:gridSpan w:val="2"/>
            <w:tcBorders>
              <w:tl2br w:val="nil"/>
              <w:tr2bl w:val="nil"/>
            </w:tcBorders>
            <w:noWrap/>
            <w:vAlign w:val="center"/>
          </w:tcPr>
          <w:p>
            <w:r>
              <w:rPr>
                <w:rFonts w:hint="eastAsia"/>
                <w:lang w:val="en-US" w:eastAsia="zh-CN"/>
              </w:rPr>
              <w:t>2748.55</w:t>
            </w:r>
          </w:p>
        </w:tc>
        <w:tc>
          <w:tcPr>
            <w:tcW w:w="1046" w:type="dxa"/>
            <w:gridSpan w:val="2"/>
            <w:tcBorders>
              <w:tl2br w:val="nil"/>
              <w:tr2bl w:val="nil"/>
            </w:tcBorders>
            <w:noWrap/>
            <w:vAlign w:val="center"/>
          </w:tcPr>
          <w:p>
            <w:r>
              <w:rPr>
                <w:rFonts w:hint="eastAsia"/>
                <w:lang w:val="en-US" w:eastAsia="zh-CN"/>
              </w:rPr>
              <w:t>3519.80</w:t>
            </w:r>
          </w:p>
        </w:tc>
        <w:tc>
          <w:tcPr>
            <w:tcW w:w="1880" w:type="dxa"/>
            <w:gridSpan w:val="3"/>
            <w:tcBorders>
              <w:tl2br w:val="nil"/>
              <w:tr2bl w:val="nil"/>
            </w:tcBorders>
            <w:noWrap/>
            <w:vAlign w:val="center"/>
          </w:tcPr>
          <w:p>
            <w:r>
              <w:rPr>
                <w:rFonts w:hint="eastAsia"/>
                <w:lang w:val="en-US" w:eastAsia="zh-CN"/>
              </w:rPr>
              <w:t>3519.80</w:t>
            </w:r>
          </w:p>
        </w:tc>
        <w:tc>
          <w:tcPr>
            <w:tcW w:w="912" w:type="dxa"/>
            <w:tcBorders>
              <w:tl2br w:val="nil"/>
              <w:tr2bl w:val="nil"/>
            </w:tcBorders>
            <w:noWrap/>
            <w:vAlign w:val="center"/>
          </w:tcPr>
          <w:p>
            <w:r>
              <w:rPr>
                <w:rFonts w:hint="eastAsia"/>
                <w:lang w:val="en-US" w:eastAsia="zh-CN"/>
              </w:rPr>
              <w:t>100</w:t>
            </w:r>
          </w:p>
        </w:tc>
        <w:tc>
          <w:tcPr>
            <w:tcW w:w="768" w:type="dxa"/>
            <w:tcBorders>
              <w:tl2br w:val="nil"/>
              <w:tr2bl w:val="nil"/>
            </w:tcBorders>
            <w:noWrap/>
            <w:vAlign w:val="center"/>
          </w:tcPr>
          <w:p>
            <w:r>
              <w:rPr>
                <w:rFonts w:hint="eastAsia"/>
                <w:lang w:val="en-US" w:eastAsia="zh-CN"/>
              </w:rPr>
              <w:t>10</w:t>
            </w:r>
          </w:p>
        </w:tc>
        <w:tc>
          <w:tcPr>
            <w:tcW w:w="2140" w:type="dxa"/>
            <w:tcBorders>
              <w:tl2br w:val="nil"/>
              <w:tr2bl w:val="nil"/>
            </w:tcBorders>
            <w:noWrap/>
            <w:vAlign w:val="center"/>
          </w:tcPr>
          <w:p>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ign w:val="center"/>
          </w:tcPr>
          <w:p>
            <w:r>
              <w:rPr>
                <w:rFonts w:hint="eastAsia"/>
              </w:rPr>
              <w:t>当年绩效目标</w:t>
            </w:r>
          </w:p>
        </w:tc>
        <w:tc>
          <w:tcPr>
            <w:tcW w:w="2881" w:type="dxa"/>
            <w:gridSpan w:val="5"/>
            <w:tcBorders>
              <w:tl2br w:val="nil"/>
              <w:tr2bl w:val="nil"/>
            </w:tcBorders>
            <w:noWrap/>
            <w:vAlign w:val="center"/>
          </w:tcPr>
          <w:p>
            <w:pPr>
              <w:jc w:val="center"/>
            </w:pPr>
            <w:r>
              <w:rPr>
                <w:rFonts w:hint="eastAsia"/>
              </w:rPr>
              <w:t>年初绩效目标</w:t>
            </w:r>
          </w:p>
        </w:tc>
        <w:tc>
          <w:tcPr>
            <w:tcW w:w="2584" w:type="dxa"/>
            <w:gridSpan w:val="4"/>
            <w:tcBorders>
              <w:tl2br w:val="nil"/>
              <w:tr2bl w:val="nil"/>
            </w:tcBorders>
            <w:noWrap/>
            <w:vAlign w:val="center"/>
          </w:tcPr>
          <w:p>
            <w:pPr>
              <w:jc w:val="center"/>
            </w:pPr>
            <w:r>
              <w:rPr>
                <w:rFonts w:hint="eastAsia"/>
              </w:rPr>
              <w:t>全年（调整）绩效目标</w:t>
            </w:r>
          </w:p>
        </w:tc>
        <w:tc>
          <w:tcPr>
            <w:tcW w:w="3820" w:type="dxa"/>
            <w:gridSpan w:val="3"/>
            <w:tcBorders>
              <w:tl2br w:val="nil"/>
              <w:tr2bl w:val="nil"/>
            </w:tcBorders>
            <w:noWrap/>
            <w:vAlign w:val="center"/>
          </w:tcPr>
          <w:p>
            <w:pPr>
              <w:jc w:val="center"/>
            </w:pPr>
            <w:r>
              <w:rPr>
                <w:rFonts w:hint="eastAsia"/>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7" w:type="dxa"/>
            <w:vMerge w:val="continue"/>
            <w:tcBorders>
              <w:tl2br w:val="nil"/>
              <w:tr2bl w:val="nil"/>
            </w:tcBorders>
            <w:noWrap/>
            <w:vAlign w:val="center"/>
          </w:tcPr>
          <w:p/>
        </w:tc>
        <w:tc>
          <w:tcPr>
            <w:tcW w:w="2881" w:type="dxa"/>
            <w:gridSpan w:val="5"/>
            <w:tcBorders>
              <w:tl2br w:val="nil"/>
              <w:tr2bl w:val="nil"/>
            </w:tcBorders>
            <w:noWrap/>
            <w:vAlign w:val="center"/>
          </w:tcPr>
          <w:p>
            <w:r>
              <w:rPr>
                <w:rFonts w:hint="eastAsia"/>
              </w:rPr>
              <w:t>围绕安全生产“遏重大、防一般、减总量”工作目标，以大排查大整治大执法为主线，以“十五条硬措施”为抓手，着力完善大安全大应急框架。扎实推进安全生产专项整治，加强重点行业、重点领域安全监管，压紧压实安全生产责任。聚焦自然灾害防治“不死人、少伤人、少损失”工作目标，着力加强全区应急救援体系建设，不断提高重大突发事件处置保障能力。</w:t>
            </w:r>
          </w:p>
        </w:tc>
        <w:tc>
          <w:tcPr>
            <w:tcW w:w="2584" w:type="dxa"/>
            <w:gridSpan w:val="4"/>
            <w:tcBorders>
              <w:tl2br w:val="nil"/>
              <w:tr2bl w:val="nil"/>
            </w:tcBorders>
            <w:noWrap/>
            <w:vAlign w:val="center"/>
          </w:tcPr>
          <w:p>
            <w:r>
              <w:rPr>
                <w:rFonts w:hint="eastAsia"/>
              </w:rPr>
              <w:t>围绕安全生产“遏重大、防一般、减总量”工作目标，以大排查大整治大执法为主线，以“十五条硬措施”为抓手，着力完善大安全大应急框架。扎实推进安全生产专项整治，加强重点行业、重点领域安全监管，压紧压实安全生产责任。聚焦自然灾害防治“不死人、少伤人、少损失”工作目标，着力加强全区应急救援体系建设，不断提高重大突发事件处置保障能力。</w:t>
            </w:r>
          </w:p>
        </w:tc>
        <w:tc>
          <w:tcPr>
            <w:tcW w:w="3820" w:type="dxa"/>
            <w:gridSpan w:val="3"/>
            <w:tcBorders>
              <w:tl2br w:val="nil"/>
              <w:tr2bl w:val="nil"/>
            </w:tcBorders>
            <w:noWrap/>
            <w:vAlign w:val="center"/>
          </w:tcPr>
          <w:p>
            <w:r>
              <w:rPr>
                <w:rFonts w:hint="eastAsia"/>
              </w:rPr>
              <w:t>坚持“除险固安”工作导向，围绕“统、防、救”三个重点，积极履行应急管理职责。扎实开展党纪学习教育，以实际行动和成效坚定拥护“两个确立”、坚决做到“两个维护”。生产安全事故起数和死亡人数同比“双下降”，自然灾害实现“零死亡”，杜绝了较大及以上事故发生，全区安全生产和自然灾害防治形势稳中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textDirection w:val="tbRlV"/>
            <w:vAlign w:val="center"/>
          </w:tcPr>
          <w:p>
            <w:pPr>
              <w:jc w:val="center"/>
            </w:pPr>
            <w:r>
              <w:rPr>
                <w:rFonts w:hint="eastAsia"/>
              </w:rPr>
              <w:t>绩效指标</w:t>
            </w:r>
          </w:p>
        </w:tc>
        <w:tc>
          <w:tcPr>
            <w:tcW w:w="756" w:type="dxa"/>
            <w:tcBorders>
              <w:tl2br w:val="nil"/>
              <w:tr2bl w:val="nil"/>
            </w:tcBorders>
            <w:noWrap/>
            <w:vAlign w:val="center"/>
          </w:tcPr>
          <w:p>
            <w:pPr>
              <w:jc w:val="center"/>
            </w:pPr>
            <w:r>
              <w:rPr>
                <w:rFonts w:hint="eastAsia"/>
              </w:rPr>
              <w:t>指标</w:t>
            </w:r>
          </w:p>
          <w:p>
            <w:pPr>
              <w:jc w:val="center"/>
            </w:pPr>
            <w:r>
              <w:rPr>
                <w:rFonts w:hint="eastAsia"/>
              </w:rPr>
              <w:t>名称</w:t>
            </w:r>
          </w:p>
        </w:tc>
        <w:tc>
          <w:tcPr>
            <w:tcW w:w="708" w:type="dxa"/>
            <w:tcBorders>
              <w:tl2br w:val="nil"/>
              <w:tr2bl w:val="nil"/>
            </w:tcBorders>
            <w:noWrap/>
            <w:vAlign w:val="center"/>
          </w:tcPr>
          <w:p>
            <w:pPr>
              <w:jc w:val="center"/>
            </w:pPr>
            <w:r>
              <w:rPr>
                <w:rFonts w:hint="eastAsia"/>
              </w:rPr>
              <w:t>计量</w:t>
            </w:r>
          </w:p>
          <w:p>
            <w:pPr>
              <w:jc w:val="center"/>
            </w:pPr>
            <w:r>
              <w:rPr>
                <w:rFonts w:hint="eastAsia"/>
              </w:rPr>
              <w:t>部门</w:t>
            </w:r>
          </w:p>
        </w:tc>
        <w:tc>
          <w:tcPr>
            <w:tcW w:w="709" w:type="dxa"/>
            <w:tcBorders>
              <w:tl2br w:val="nil"/>
              <w:tr2bl w:val="nil"/>
            </w:tcBorders>
            <w:noWrap/>
            <w:vAlign w:val="center"/>
          </w:tcPr>
          <w:p>
            <w:pPr>
              <w:jc w:val="center"/>
            </w:pPr>
            <w:r>
              <w:rPr>
                <w:rFonts w:hint="eastAsia"/>
              </w:rPr>
              <w:t>指标</w:t>
            </w:r>
          </w:p>
          <w:p>
            <w:pPr>
              <w:jc w:val="center"/>
            </w:pPr>
            <w:r>
              <w:rPr>
                <w:rFonts w:hint="eastAsia"/>
              </w:rPr>
              <w:t>性质</w:t>
            </w:r>
          </w:p>
        </w:tc>
        <w:tc>
          <w:tcPr>
            <w:tcW w:w="708" w:type="dxa"/>
            <w:gridSpan w:val="2"/>
            <w:tcBorders>
              <w:tl2br w:val="nil"/>
              <w:tr2bl w:val="nil"/>
            </w:tcBorders>
            <w:noWrap/>
            <w:vAlign w:val="center"/>
          </w:tcPr>
          <w:p>
            <w:pPr>
              <w:jc w:val="center"/>
            </w:pPr>
            <w:r>
              <w:rPr>
                <w:rFonts w:hint="eastAsia"/>
              </w:rPr>
              <w:t>指标</w:t>
            </w:r>
          </w:p>
          <w:p>
            <w:pPr>
              <w:jc w:val="center"/>
            </w:pPr>
            <w:r>
              <w:rPr>
                <w:rFonts w:hint="eastAsia"/>
              </w:rPr>
              <w:t>值</w:t>
            </w:r>
          </w:p>
        </w:tc>
        <w:tc>
          <w:tcPr>
            <w:tcW w:w="857" w:type="dxa"/>
            <w:gridSpan w:val="2"/>
            <w:tcBorders>
              <w:tl2br w:val="nil"/>
              <w:tr2bl w:val="nil"/>
            </w:tcBorders>
            <w:noWrap/>
            <w:vAlign w:val="center"/>
          </w:tcPr>
          <w:p>
            <w:pPr>
              <w:jc w:val="center"/>
            </w:pPr>
            <w:r>
              <w:rPr>
                <w:rFonts w:hint="eastAsia"/>
              </w:rPr>
              <w:t>全年</w:t>
            </w:r>
          </w:p>
          <w:p>
            <w:pPr>
              <w:jc w:val="center"/>
            </w:pPr>
            <w:r>
              <w:rPr>
                <w:rFonts w:hint="eastAsia"/>
              </w:rPr>
              <w:t>完成值</w:t>
            </w:r>
          </w:p>
        </w:tc>
        <w:tc>
          <w:tcPr>
            <w:tcW w:w="791" w:type="dxa"/>
            <w:tcBorders>
              <w:tl2br w:val="nil"/>
              <w:tr2bl w:val="nil"/>
            </w:tcBorders>
            <w:noWrap/>
            <w:vAlign w:val="center"/>
          </w:tcPr>
          <w:p>
            <w:pPr>
              <w:jc w:val="center"/>
            </w:pPr>
            <w:r>
              <w:rPr>
                <w:rFonts w:hint="eastAsia"/>
              </w:rPr>
              <w:t>偏离度（%）</w:t>
            </w:r>
          </w:p>
        </w:tc>
        <w:tc>
          <w:tcPr>
            <w:tcW w:w="936" w:type="dxa"/>
            <w:tcBorders>
              <w:tl2br w:val="nil"/>
              <w:tr2bl w:val="nil"/>
            </w:tcBorders>
            <w:noWrap/>
            <w:vAlign w:val="center"/>
          </w:tcPr>
          <w:p>
            <w:pPr>
              <w:jc w:val="center"/>
            </w:pPr>
            <w:r>
              <w:rPr>
                <w:rFonts w:hint="eastAsia"/>
              </w:rPr>
              <w:t>得分</w:t>
            </w:r>
          </w:p>
          <w:p>
            <w:pPr>
              <w:jc w:val="center"/>
            </w:pPr>
            <w:r>
              <w:rPr>
                <w:rFonts w:hint="eastAsia"/>
              </w:rPr>
              <w:t>系数</w:t>
            </w:r>
          </w:p>
          <w:p>
            <w:pPr>
              <w:jc w:val="center"/>
            </w:pPr>
            <w:r>
              <w:rPr>
                <w:rFonts w:hint="eastAsia"/>
              </w:rPr>
              <w:t>（%）</w:t>
            </w:r>
          </w:p>
        </w:tc>
        <w:tc>
          <w:tcPr>
            <w:tcW w:w="912" w:type="dxa"/>
            <w:tcBorders>
              <w:tl2br w:val="nil"/>
              <w:tr2bl w:val="nil"/>
            </w:tcBorders>
            <w:noWrap/>
            <w:vAlign w:val="center"/>
          </w:tcPr>
          <w:p>
            <w:pPr>
              <w:jc w:val="center"/>
            </w:pPr>
            <w:r>
              <w:rPr>
                <w:rFonts w:hint="eastAsia"/>
              </w:rPr>
              <w:t>指标</w:t>
            </w:r>
          </w:p>
          <w:p>
            <w:pPr>
              <w:jc w:val="center"/>
            </w:pPr>
            <w:r>
              <w:rPr>
                <w:rFonts w:hint="eastAsia"/>
              </w:rPr>
              <w:t>权重</w:t>
            </w:r>
          </w:p>
          <w:p>
            <w:pPr>
              <w:jc w:val="center"/>
            </w:pPr>
            <w:r>
              <w:rPr>
                <w:rFonts w:hint="eastAsia"/>
              </w:rPr>
              <w:t>（分）</w:t>
            </w:r>
          </w:p>
        </w:tc>
        <w:tc>
          <w:tcPr>
            <w:tcW w:w="768" w:type="dxa"/>
            <w:tcBorders>
              <w:tl2br w:val="nil"/>
              <w:tr2bl w:val="nil"/>
            </w:tcBorders>
            <w:noWrap/>
            <w:vAlign w:val="center"/>
          </w:tcPr>
          <w:p>
            <w:pPr>
              <w:jc w:val="center"/>
            </w:pPr>
            <w:r>
              <w:rPr>
                <w:rFonts w:hint="eastAsia"/>
              </w:rPr>
              <w:t>指标得分</w:t>
            </w:r>
          </w:p>
          <w:p>
            <w:pPr>
              <w:jc w:val="center"/>
            </w:pPr>
            <w:r>
              <w:rPr>
                <w:rFonts w:hint="eastAsia"/>
              </w:rPr>
              <w:t>（分）</w:t>
            </w:r>
          </w:p>
        </w:tc>
        <w:tc>
          <w:tcPr>
            <w:tcW w:w="2140" w:type="dxa"/>
            <w:tcBorders>
              <w:tl2br w:val="nil"/>
              <w:tr2bl w:val="nil"/>
            </w:tcBorders>
            <w:noWrap/>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较大事故起数</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起</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当年未发生较大以上生产安全事故。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应急干部培训次数</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2</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当年举办一次应急干部培训，分两个班次进行。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专项督查次数</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6</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6</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预决算公开情况</w:t>
            </w:r>
          </w:p>
        </w:tc>
        <w:tc>
          <w:tcPr>
            <w:tcW w:w="708" w:type="dxa"/>
            <w:tcBorders>
              <w:tl2br w:val="nil"/>
              <w:tr2bl w:val="nil"/>
            </w:tcBorders>
            <w:noWrap/>
            <w:vAlign w:val="center"/>
          </w:tcPr>
          <w:p>
            <w:pPr>
              <w:jc w:val="left"/>
            </w:pPr>
          </w:p>
        </w:tc>
        <w:tc>
          <w:tcPr>
            <w:tcW w:w="709"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定性</w:t>
            </w:r>
          </w:p>
        </w:tc>
        <w:tc>
          <w:tcPr>
            <w:tcW w:w="708" w:type="dxa"/>
            <w:gridSpan w:val="2"/>
            <w:tcBorders>
              <w:tl2br w:val="nil"/>
              <w:tr2bl w:val="nil"/>
            </w:tcBorders>
            <w:noWrap/>
            <w:vAlign w:val="center"/>
          </w:tcPr>
          <w:p>
            <w:pPr>
              <w:keepNext w:val="0"/>
              <w:keepLines w:val="0"/>
              <w:widowControl/>
              <w:suppressLineNumbers w:val="0"/>
              <w:jc w:val="both"/>
              <w:textAlignment w:val="center"/>
              <w:rPr>
                <w:rFonts w:hint="eastAsia" w:eastAsia="宋体"/>
                <w:lang w:val="en-US" w:eastAsia="zh-CN"/>
              </w:rPr>
            </w:pPr>
            <w:r>
              <w:rPr>
                <w:rFonts w:hint="eastAsia" w:ascii="宋体" w:hAnsi="宋体" w:eastAsia="宋体" w:cs="宋体"/>
                <w:i w:val="0"/>
                <w:iCs w:val="0"/>
                <w:color w:val="000000"/>
                <w:kern w:val="0"/>
                <w:sz w:val="22"/>
                <w:szCs w:val="22"/>
                <w:u w:val="none"/>
                <w:lang w:val="en-US" w:eastAsia="zh-CN" w:bidi="ar"/>
              </w:rPr>
              <w:t>公开内容</w:t>
            </w:r>
            <w:r>
              <w:rPr>
                <w:rFonts w:hint="eastAsia" w:ascii="宋体" w:hAnsi="宋体" w:cs="宋体"/>
                <w:i w:val="0"/>
                <w:iCs w:val="0"/>
                <w:color w:val="000000"/>
                <w:kern w:val="0"/>
                <w:sz w:val="22"/>
                <w:szCs w:val="22"/>
                <w:u w:val="none"/>
                <w:lang w:val="en-US" w:eastAsia="zh-CN" w:bidi="ar"/>
              </w:rPr>
              <w:t>完整全面及时</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隐患排查整治率</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90</w:t>
            </w:r>
          </w:p>
        </w:tc>
        <w:tc>
          <w:tcPr>
            <w:tcW w:w="857" w:type="dxa"/>
            <w:gridSpan w:val="2"/>
            <w:tcBorders>
              <w:tl2br w:val="nil"/>
              <w:tr2bl w:val="nil"/>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99.7</w:t>
            </w:r>
          </w:p>
        </w:tc>
        <w:tc>
          <w:tcPr>
            <w:tcW w:w="791" w:type="dxa"/>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10.78</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全区排查重大事故隐患632个，已整改630个，整改率99.7%。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应急响应时间</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小时</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2</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1.5</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应急响应救援到位时间控制在了1.5小时内。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各类事故死亡人数下降率</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15</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20</w:t>
            </w:r>
          </w:p>
        </w:tc>
        <w:tc>
          <w:tcPr>
            <w:tcW w:w="791" w:type="dxa"/>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33.33</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同比生产安全死亡人数减少3人，下降20%。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临时困难救助人口数量</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人</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2000</w:t>
            </w:r>
          </w:p>
        </w:tc>
        <w:tc>
          <w:tcPr>
            <w:tcW w:w="857" w:type="dxa"/>
            <w:gridSpan w:val="2"/>
            <w:tcBorders>
              <w:tl2br w:val="nil"/>
              <w:tr2bl w:val="nil"/>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2045</w:t>
            </w:r>
          </w:p>
        </w:tc>
        <w:tc>
          <w:tcPr>
            <w:tcW w:w="791" w:type="dxa"/>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2.25</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140" w:type="dxa"/>
            <w:tcBorders>
              <w:tl2br w:val="nil"/>
              <w:tr2bl w:val="nil"/>
            </w:tcBorders>
            <w:noWrap/>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服务对象满意度</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95</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95</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“三公”经费控制情况</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万元</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21.5</w:t>
            </w:r>
          </w:p>
        </w:tc>
        <w:tc>
          <w:tcPr>
            <w:tcW w:w="857" w:type="dxa"/>
            <w:gridSpan w:val="2"/>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19.01</w:t>
            </w:r>
          </w:p>
        </w:tc>
        <w:tc>
          <w:tcPr>
            <w:tcW w:w="791" w:type="dxa"/>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11.58</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响应区委区政府“过紧日子苦日子”号召，节约餐标，“三公”经费下降。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采用保障金方式的财政采购占比情况</w:t>
            </w:r>
          </w:p>
        </w:tc>
        <w:tc>
          <w:tcPr>
            <w:tcW w:w="708" w:type="dxa"/>
            <w:tcBorders>
              <w:tl2br w:val="nil"/>
              <w:tr2bl w:val="nil"/>
            </w:tcBorders>
            <w:noWrap/>
            <w:vAlign w:val="center"/>
          </w:tcPr>
          <w:p>
            <w:pPr>
              <w:jc w:val="left"/>
            </w:pPr>
          </w:p>
        </w:tc>
        <w:tc>
          <w:tcPr>
            <w:tcW w:w="709"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定性</w:t>
            </w:r>
          </w:p>
        </w:tc>
        <w:tc>
          <w:tcPr>
            <w:tcW w:w="708" w:type="dxa"/>
            <w:gridSpan w:val="2"/>
            <w:tcBorders>
              <w:tl2br w:val="nil"/>
              <w:tr2bl w:val="nil"/>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2"/>
                <w:szCs w:val="22"/>
                <w:u w:val="none"/>
                <w:lang w:val="en-US" w:eastAsia="zh-CN" w:bidi="ar"/>
              </w:rPr>
              <w:t>无保障金</w:t>
            </w:r>
            <w:r>
              <w:rPr>
                <w:rFonts w:hint="eastAsia" w:ascii="宋体" w:hAnsi="宋体" w:cs="宋体"/>
                <w:i w:val="0"/>
                <w:iCs w:val="0"/>
                <w:color w:val="000000"/>
                <w:kern w:val="0"/>
                <w:sz w:val="22"/>
                <w:szCs w:val="22"/>
                <w:u w:val="none"/>
                <w:lang w:val="en-US" w:eastAsia="zh-CN" w:bidi="ar"/>
              </w:rPr>
              <w:t>采购</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4</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自储自用柴油软件开发属江津区政府“重庆数字建设柴油一件事”，为保障项目进度，年底专立一个项目指标做了采购计划，导致保障金份额变大。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ign w:val="center"/>
          </w:tcPr>
          <w:p/>
        </w:tc>
        <w:tc>
          <w:tcPr>
            <w:tcW w:w="756"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聘用人员控制情况</w:t>
            </w:r>
          </w:p>
        </w:tc>
        <w:tc>
          <w:tcPr>
            <w:tcW w:w="708"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人</w:t>
            </w:r>
          </w:p>
        </w:tc>
        <w:tc>
          <w:tcPr>
            <w:tcW w:w="709" w:type="dxa"/>
            <w:tcBorders>
              <w:tl2br w:val="nil"/>
              <w:tr2bl w:val="nil"/>
            </w:tcBorders>
            <w:noWrap/>
            <w:vAlign w:val="center"/>
          </w:tcPr>
          <w:p>
            <w:pPr>
              <w:keepNext w:val="0"/>
              <w:keepLines w:val="0"/>
              <w:widowControl/>
              <w:suppressLineNumbers w:val="0"/>
              <w:ind w:firstLine="220" w:firstLineChars="100"/>
              <w:jc w:val="left"/>
              <w:textAlignment w:val="cente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54</w:t>
            </w:r>
          </w:p>
        </w:tc>
        <w:tc>
          <w:tcPr>
            <w:tcW w:w="857" w:type="dxa"/>
            <w:gridSpan w:val="2"/>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46</w:t>
            </w:r>
          </w:p>
        </w:tc>
        <w:tc>
          <w:tcPr>
            <w:tcW w:w="791"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14.81</w:t>
            </w:r>
          </w:p>
        </w:tc>
        <w:tc>
          <w:tcPr>
            <w:tcW w:w="936"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100</w:t>
            </w:r>
          </w:p>
        </w:tc>
        <w:tc>
          <w:tcPr>
            <w:tcW w:w="912"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768" w:type="dxa"/>
            <w:tcBorders>
              <w:tl2br w:val="nil"/>
              <w:tr2bl w:val="nil"/>
            </w:tcBorders>
            <w:noWrap/>
            <w:vAlign w:val="center"/>
          </w:tcPr>
          <w:p>
            <w:pPr>
              <w:keepNext w:val="0"/>
              <w:keepLines w:val="0"/>
              <w:widowControl/>
              <w:suppressLineNumbers w:val="0"/>
              <w:ind w:firstLine="220" w:firstLineChars="10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2140" w:type="dxa"/>
            <w:tcBorders>
              <w:tl2br w:val="nil"/>
              <w:tr2bl w:val="nil"/>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年末聘用人员在岗数量控制在财政局确定的范围内。</w:t>
            </w:r>
          </w:p>
        </w:tc>
      </w:tr>
    </w:tbl>
    <w:p>
      <w:pPr>
        <w:pStyle w:val="9"/>
        <w:tabs>
          <w:tab w:val="center" w:pos="4153"/>
          <w:tab w:val="left" w:pos="7275"/>
        </w:tabs>
        <w:spacing w:line="579" w:lineRule="exact"/>
        <w:ind w:firstLine="0" w:firstLineChars="0"/>
        <w:rPr>
          <w:rFonts w:ascii="宋体" w:hAnsi="宋体" w:eastAsia="方正仿宋_GBK" w:cs="方正仿宋_GBK"/>
          <w:color w:val="000000"/>
          <w:kern w:val="0"/>
          <w:sz w:val="36"/>
          <w:szCs w:val="36"/>
        </w:rPr>
      </w:pPr>
    </w:p>
    <w:p>
      <w:pPr>
        <w:pStyle w:val="9"/>
        <w:tabs>
          <w:tab w:val="center" w:pos="4153"/>
          <w:tab w:val="left" w:pos="7275"/>
        </w:tabs>
        <w:spacing w:line="579" w:lineRule="exact"/>
        <w:ind w:firstLine="0" w:firstLineChars="0"/>
        <w:jc w:val="center"/>
        <w:rPr>
          <w:rFonts w:ascii="方正黑体_GBK" w:eastAsia="方正黑体_GBK" w:cs="方正黑体_GBK"/>
          <w:color w:val="000000"/>
          <w:kern w:val="0"/>
          <w:sz w:val="36"/>
          <w:szCs w:val="36"/>
        </w:rPr>
      </w:pPr>
      <w:r>
        <w:rPr>
          <w:rFonts w:hint="eastAsia" w:ascii="方正黑体_GBK" w:eastAsia="方正黑体_GBK" w:cs="方正黑体_GBK"/>
          <w:color w:val="000000"/>
          <w:kern w:val="0"/>
          <w:sz w:val="36"/>
          <w:szCs w:val="36"/>
        </w:rPr>
        <w:t>2024年度二级项目绩效自评表</w:t>
      </w:r>
    </w:p>
    <w:tbl>
      <w:tblPr>
        <w:tblStyle w:val="6"/>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63"/>
        <w:gridCol w:w="224"/>
        <w:gridCol w:w="850"/>
        <w:gridCol w:w="830"/>
        <w:gridCol w:w="619"/>
        <w:gridCol w:w="203"/>
        <w:gridCol w:w="857"/>
        <w:gridCol w:w="840"/>
        <w:gridCol w:w="839"/>
        <w:gridCol w:w="419"/>
        <w:gridCol w:w="420"/>
        <w:gridCol w:w="629"/>
        <w:gridCol w:w="39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986" w:type="dxa"/>
            <w:gridSpan w:val="5"/>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应急救援经费</w:t>
            </w:r>
          </w:p>
        </w:tc>
        <w:tc>
          <w:tcPr>
            <w:tcW w:w="1060"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232" w:type="dxa"/>
            <w:gridSpan w:val="7"/>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46"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项目主管</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3" w:type="dxa"/>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603-重庆市江津区应急管理局</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财政归口科室</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006-产业发展科</w:t>
            </w:r>
          </w:p>
        </w:tc>
        <w:tc>
          <w:tcPr>
            <w:tcW w:w="1060"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韩军斌</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34"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15823999978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noWrap/>
            <w:textDirection w:val="tbRlV"/>
            <w:vAlign w:val="center"/>
          </w:tcPr>
          <w:p>
            <w:pPr>
              <w:widowControl/>
              <w:snapToGrid w:val="0"/>
              <w:ind w:left="113" w:right="113"/>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3" w:type="dxa"/>
            <w:vMerge w:val="restart"/>
            <w:noWrap/>
            <w:vAlign w:val="center"/>
          </w:tcPr>
          <w:p>
            <w:pPr>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全年（调整）预算数</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noWrap/>
            <w:vAlign w:val="center"/>
          </w:tcPr>
          <w:p/>
        </w:tc>
        <w:tc>
          <w:tcPr>
            <w:tcW w:w="1463" w:type="dxa"/>
            <w:vMerge w:val="continue"/>
            <w:noWrap/>
            <w:vAlign w:val="center"/>
          </w:tcP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28.55</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27.73</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27.73</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continue"/>
            <w:noWrap/>
            <w:vAlign w:val="center"/>
          </w:tcPr>
          <w:p/>
        </w:tc>
        <w:tc>
          <w:tcPr>
            <w:tcW w:w="1463"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财政拨款</w:t>
            </w:r>
          </w:p>
        </w:tc>
        <w:tc>
          <w:tcPr>
            <w:tcW w:w="1074"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28.55</w:t>
            </w:r>
          </w:p>
        </w:tc>
        <w:tc>
          <w:tcPr>
            <w:tcW w:w="144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27.73</w:t>
            </w:r>
          </w:p>
        </w:tc>
        <w:tc>
          <w:tcPr>
            <w:tcW w:w="1900" w:type="dxa"/>
            <w:gridSpan w:val="3"/>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27.73</w:t>
            </w:r>
          </w:p>
        </w:tc>
        <w:tc>
          <w:tcPr>
            <w:tcW w:w="1258"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100</w:t>
            </w:r>
          </w:p>
        </w:tc>
        <w:tc>
          <w:tcPr>
            <w:tcW w:w="1049" w:type="dxa"/>
            <w:gridSpan w:val="2"/>
            <w:noWrap/>
            <w:vAlign w:val="center"/>
          </w:tcPr>
          <w:p>
            <w:pPr>
              <w:widowControl/>
              <w:snapToGrid w:val="0"/>
              <w:jc w:val="center"/>
              <w:rPr>
                <w:rFonts w:ascii="宋体" w:hAnsi="宋体" w:eastAsia="方正仿宋_GBK" w:cs="方正仿宋_GBK"/>
                <w:kern w:val="0"/>
                <w:sz w:val="24"/>
                <w:szCs w:val="24"/>
              </w:rPr>
            </w:pPr>
            <w:r>
              <w:rPr>
                <w:rFonts w:ascii="宋体" w:hAnsi="宋体" w:eastAsia="方正仿宋_GBK" w:cs="方正仿宋_GBK"/>
                <w:kern w:val="0"/>
                <w:sz w:val="24"/>
                <w:szCs w:val="24"/>
              </w:rPr>
              <w:t>10</w:t>
            </w:r>
          </w:p>
        </w:tc>
        <w:tc>
          <w:tcPr>
            <w:tcW w:w="1085"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ascii="宋体" w:hAnsi="宋体" w:eastAsia="方正仿宋_GBK" w:cs="方正仿宋_GBK"/>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6" w:type="dxa"/>
            <w:vMerge w:val="restart"/>
            <w:noWrap/>
            <w:vAlign w:val="center"/>
          </w:tcPr>
          <w:p>
            <w:pPr>
              <w:widowControl/>
              <w:snapToGrid w:val="0"/>
              <w:jc w:val="center"/>
              <w:rPr>
                <w:rFonts w:ascii="宋体" w:hAnsi="宋体"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当年绩效目标</w:t>
            </w:r>
          </w:p>
        </w:tc>
        <w:tc>
          <w:tcPr>
            <w:tcW w:w="3367"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519" w:type="dxa"/>
            <w:gridSpan w:val="4"/>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392" w:type="dxa"/>
            <w:gridSpan w:val="6"/>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6" w:type="dxa"/>
            <w:vMerge w:val="continue"/>
            <w:noWrap/>
            <w:vAlign w:val="center"/>
          </w:tcPr>
          <w:p/>
        </w:tc>
        <w:tc>
          <w:tcPr>
            <w:tcW w:w="3367" w:type="dxa"/>
            <w:gridSpan w:val="4"/>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该资金用于保障物资储备仓库正常运行，应急装备和救灾物资在应对突发事件时能正常使用；按相关法规要求进行演练；保障应急救援各项工作能顺利开展。</w:t>
            </w:r>
          </w:p>
        </w:tc>
        <w:tc>
          <w:tcPr>
            <w:tcW w:w="2519" w:type="dxa"/>
            <w:gridSpan w:val="4"/>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该资金用于保障物资储备仓库正常运行，应急装备和救灾物资在应对突发事件时能正常使用；按相关法规要求进行演练；保障应急救援各项工作能顺利开展。</w:t>
            </w:r>
          </w:p>
        </w:tc>
        <w:tc>
          <w:tcPr>
            <w:tcW w:w="3392" w:type="dxa"/>
            <w:gridSpan w:val="6"/>
            <w:noWrap/>
            <w:vAlign w:val="center"/>
          </w:tcPr>
          <w:p>
            <w:pPr>
              <w:widowControl/>
              <w:snapToGrid w:val="0"/>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全年开展应急救援36次，出动救援人数413人次、装备1975台（套），转移受灾人口849人，较好的完成了全区的各项应急救援工作，保障了社会安定、人民安全。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46" w:type="dxa"/>
            <w:vMerge w:val="restart"/>
            <w:noWrap/>
            <w:textDirection w:val="tbRlV"/>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687"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85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83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22"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57"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840"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偏离度（%）</w:t>
            </w:r>
          </w:p>
        </w:tc>
        <w:tc>
          <w:tcPr>
            <w:tcW w:w="839"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3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019" w:type="dxa"/>
            <w:gridSpan w:val="2"/>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出动救援人次</w:t>
            </w:r>
          </w:p>
        </w:tc>
        <w:tc>
          <w:tcPr>
            <w:tcW w:w="850" w:type="dxa"/>
            <w:noWrap/>
            <w:vAlign w:val="center"/>
          </w:tcPr>
          <w:p>
            <w:pPr>
              <w:rPr>
                <w:rFonts w:ascii="宋体" w:hAnsi="宋体" w:cs="宋体"/>
                <w:color w:val="000000"/>
                <w:sz w:val="22"/>
              </w:rPr>
            </w:pPr>
            <w:r>
              <w:rPr>
                <w:rFonts w:hint="eastAsia"/>
                <w:color w:val="000000"/>
                <w:sz w:val="22"/>
              </w:rPr>
              <w:t>人次</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firstLine="220" w:firstLineChars="100"/>
              <w:jc w:val="right"/>
              <w:rPr>
                <w:rFonts w:ascii="宋体" w:hAnsi="宋体" w:cs="宋体"/>
                <w:color w:val="000000"/>
                <w:sz w:val="22"/>
              </w:rPr>
            </w:pPr>
            <w:r>
              <w:rPr>
                <w:rFonts w:hint="eastAsia"/>
                <w:color w:val="000000"/>
                <w:sz w:val="22"/>
              </w:rPr>
              <w:t>400</w:t>
            </w:r>
          </w:p>
        </w:tc>
        <w:tc>
          <w:tcPr>
            <w:tcW w:w="857" w:type="dxa"/>
            <w:noWrap/>
            <w:vAlign w:val="center"/>
          </w:tcPr>
          <w:p>
            <w:pPr>
              <w:ind w:firstLine="220" w:firstLineChars="100"/>
              <w:jc w:val="right"/>
              <w:rPr>
                <w:rFonts w:ascii="宋体" w:hAnsi="宋体" w:cs="宋体"/>
                <w:color w:val="000000"/>
                <w:sz w:val="22"/>
              </w:rPr>
            </w:pPr>
            <w:r>
              <w:rPr>
                <w:rFonts w:hint="eastAsia"/>
                <w:color w:val="000000"/>
                <w:sz w:val="22"/>
              </w:rPr>
              <w:t>413</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3.25</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100</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20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20</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动用救援装备</w:t>
            </w:r>
          </w:p>
        </w:tc>
        <w:tc>
          <w:tcPr>
            <w:tcW w:w="850" w:type="dxa"/>
            <w:noWrap/>
            <w:vAlign w:val="center"/>
          </w:tcPr>
          <w:p>
            <w:pPr>
              <w:rPr>
                <w:rFonts w:ascii="宋体" w:hAnsi="宋体" w:cs="宋体"/>
                <w:color w:val="000000"/>
                <w:sz w:val="22"/>
              </w:rPr>
            </w:pPr>
            <w:r>
              <w:rPr>
                <w:rFonts w:hint="eastAsia"/>
                <w:color w:val="000000"/>
                <w:sz w:val="22"/>
              </w:rPr>
              <w:t>台（套）</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right="110"/>
              <w:jc w:val="right"/>
              <w:rPr>
                <w:rFonts w:ascii="宋体" w:hAnsi="宋体" w:cs="宋体"/>
                <w:color w:val="000000"/>
                <w:sz w:val="22"/>
              </w:rPr>
            </w:pPr>
            <w:r>
              <w:rPr>
                <w:rFonts w:hint="eastAsia"/>
                <w:color w:val="000000"/>
                <w:sz w:val="22"/>
              </w:rPr>
              <w:t>2000</w:t>
            </w:r>
          </w:p>
        </w:tc>
        <w:tc>
          <w:tcPr>
            <w:tcW w:w="857" w:type="dxa"/>
            <w:noWrap/>
            <w:vAlign w:val="center"/>
          </w:tcPr>
          <w:p>
            <w:pPr>
              <w:ind w:right="110"/>
              <w:jc w:val="right"/>
              <w:rPr>
                <w:color w:val="000000"/>
                <w:sz w:val="22"/>
              </w:rPr>
            </w:pPr>
            <w:r>
              <w:rPr>
                <w:rFonts w:hint="eastAsia"/>
                <w:color w:val="000000"/>
                <w:sz w:val="22"/>
              </w:rPr>
              <w:t>1975</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1.25</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87.5</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8.75</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救灾物资储备保障人数</w:t>
            </w:r>
          </w:p>
        </w:tc>
        <w:tc>
          <w:tcPr>
            <w:tcW w:w="850" w:type="dxa"/>
            <w:noWrap/>
            <w:vAlign w:val="center"/>
          </w:tcPr>
          <w:p>
            <w:pPr>
              <w:rPr>
                <w:rFonts w:ascii="宋体" w:hAnsi="宋体" w:cs="宋体"/>
                <w:color w:val="000000"/>
                <w:sz w:val="22"/>
              </w:rPr>
            </w:pPr>
            <w:r>
              <w:rPr>
                <w:rFonts w:hint="eastAsia"/>
                <w:color w:val="000000"/>
                <w:sz w:val="22"/>
              </w:rPr>
              <w:t>万人</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firstLine="220" w:firstLineChars="100"/>
              <w:jc w:val="right"/>
              <w:rPr>
                <w:rFonts w:ascii="宋体" w:hAnsi="宋体" w:cs="宋体"/>
                <w:color w:val="000000"/>
                <w:sz w:val="22"/>
              </w:rPr>
            </w:pPr>
            <w:r>
              <w:rPr>
                <w:rFonts w:hint="eastAsia"/>
                <w:color w:val="000000"/>
                <w:sz w:val="22"/>
              </w:rPr>
              <w:t>2</w:t>
            </w:r>
          </w:p>
        </w:tc>
        <w:tc>
          <w:tcPr>
            <w:tcW w:w="857" w:type="dxa"/>
            <w:noWrap/>
            <w:vAlign w:val="center"/>
          </w:tcPr>
          <w:p>
            <w:pPr>
              <w:ind w:firstLine="220" w:firstLineChars="100"/>
              <w:jc w:val="right"/>
              <w:rPr>
                <w:rFonts w:ascii="宋体" w:hAnsi="宋体" w:cs="宋体"/>
                <w:color w:val="000000"/>
                <w:sz w:val="22"/>
              </w:rPr>
            </w:pPr>
            <w:r>
              <w:rPr>
                <w:rFonts w:hint="eastAsia"/>
                <w:color w:val="000000"/>
                <w:sz w:val="22"/>
              </w:rPr>
              <w:t>2</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0</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100</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应急抢险救援演练次数</w:t>
            </w:r>
          </w:p>
        </w:tc>
        <w:tc>
          <w:tcPr>
            <w:tcW w:w="850" w:type="dxa"/>
            <w:noWrap/>
            <w:vAlign w:val="center"/>
          </w:tcPr>
          <w:p>
            <w:pPr>
              <w:ind w:firstLine="220" w:firstLineChars="100"/>
              <w:rPr>
                <w:rFonts w:ascii="宋体" w:hAnsi="宋体" w:cs="宋体"/>
                <w:color w:val="000000"/>
                <w:sz w:val="22"/>
              </w:rPr>
            </w:pPr>
            <w:r>
              <w:rPr>
                <w:rFonts w:hint="eastAsia"/>
                <w:color w:val="000000"/>
                <w:sz w:val="22"/>
              </w:rPr>
              <w:t>次</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firstLine="220" w:firstLineChars="100"/>
              <w:jc w:val="right"/>
              <w:rPr>
                <w:rFonts w:ascii="宋体" w:hAnsi="宋体" w:cs="宋体"/>
                <w:color w:val="000000"/>
                <w:sz w:val="22"/>
              </w:rPr>
            </w:pPr>
            <w:r>
              <w:rPr>
                <w:rFonts w:hint="eastAsia"/>
                <w:color w:val="000000"/>
                <w:sz w:val="22"/>
              </w:rPr>
              <w:t>5</w:t>
            </w:r>
          </w:p>
        </w:tc>
        <w:tc>
          <w:tcPr>
            <w:tcW w:w="857" w:type="dxa"/>
            <w:noWrap/>
            <w:vAlign w:val="center"/>
          </w:tcPr>
          <w:p>
            <w:pPr>
              <w:ind w:firstLine="220" w:firstLineChars="100"/>
              <w:jc w:val="right"/>
              <w:rPr>
                <w:rFonts w:ascii="宋体" w:hAnsi="宋体" w:cs="宋体"/>
                <w:color w:val="000000"/>
                <w:sz w:val="22"/>
              </w:rPr>
            </w:pPr>
            <w:r>
              <w:rPr>
                <w:rFonts w:hint="eastAsia"/>
                <w:color w:val="000000"/>
                <w:sz w:val="22"/>
              </w:rPr>
              <w:t>6</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20</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100</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应急救援物资完好率</w:t>
            </w:r>
          </w:p>
        </w:tc>
        <w:tc>
          <w:tcPr>
            <w:tcW w:w="850" w:type="dxa"/>
            <w:noWrap/>
            <w:vAlign w:val="center"/>
          </w:tcPr>
          <w:p>
            <w:pPr>
              <w:ind w:firstLine="220" w:firstLineChars="100"/>
              <w:rPr>
                <w:rFonts w:ascii="宋体" w:hAnsi="宋体" w:cs="宋体"/>
                <w:color w:val="000000"/>
                <w:sz w:val="22"/>
              </w:rPr>
            </w:pPr>
            <w:r>
              <w:rPr>
                <w:rFonts w:hint="eastAsia"/>
                <w:color w:val="000000"/>
                <w:sz w:val="22"/>
              </w:rPr>
              <w:t>%</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firstLine="220" w:firstLineChars="100"/>
              <w:jc w:val="right"/>
              <w:rPr>
                <w:rFonts w:ascii="宋体" w:hAnsi="宋体" w:cs="宋体"/>
                <w:color w:val="000000"/>
                <w:sz w:val="22"/>
              </w:rPr>
            </w:pPr>
            <w:r>
              <w:rPr>
                <w:rFonts w:hint="eastAsia"/>
                <w:color w:val="000000"/>
                <w:sz w:val="22"/>
              </w:rPr>
              <w:t>90</w:t>
            </w:r>
          </w:p>
        </w:tc>
        <w:tc>
          <w:tcPr>
            <w:tcW w:w="857" w:type="dxa"/>
            <w:noWrap/>
            <w:vAlign w:val="center"/>
          </w:tcPr>
          <w:p>
            <w:pPr>
              <w:ind w:firstLine="220" w:firstLineChars="100"/>
              <w:jc w:val="right"/>
              <w:rPr>
                <w:rFonts w:ascii="宋体" w:hAnsi="宋体" w:cs="宋体"/>
                <w:color w:val="000000"/>
                <w:sz w:val="22"/>
              </w:rPr>
            </w:pPr>
            <w:r>
              <w:rPr>
                <w:rFonts w:hint="eastAsia"/>
                <w:color w:val="000000"/>
                <w:sz w:val="22"/>
              </w:rPr>
              <w:t>90</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0</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100</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仓库正常运行时间</w:t>
            </w:r>
          </w:p>
        </w:tc>
        <w:tc>
          <w:tcPr>
            <w:tcW w:w="850" w:type="dxa"/>
            <w:noWrap/>
            <w:vAlign w:val="center"/>
          </w:tcPr>
          <w:p>
            <w:pPr>
              <w:ind w:firstLine="220" w:firstLineChars="100"/>
              <w:rPr>
                <w:rFonts w:ascii="宋体" w:hAnsi="宋体" w:cs="宋体"/>
                <w:color w:val="000000"/>
                <w:sz w:val="22"/>
              </w:rPr>
            </w:pPr>
            <w:r>
              <w:rPr>
                <w:rFonts w:hint="eastAsia"/>
                <w:color w:val="000000"/>
                <w:sz w:val="22"/>
              </w:rPr>
              <w:t>年</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857" w:type="dxa"/>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0</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100</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20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20</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6" w:type="dxa"/>
            <w:vMerge w:val="continue"/>
            <w:noWrap/>
            <w:vAlign w:val="center"/>
          </w:tcPr>
          <w:p/>
        </w:tc>
        <w:tc>
          <w:tcPr>
            <w:tcW w:w="1687" w:type="dxa"/>
            <w:gridSpan w:val="2"/>
            <w:noWrap/>
            <w:vAlign w:val="center"/>
          </w:tcPr>
          <w:p>
            <w:pPr>
              <w:rPr>
                <w:rFonts w:ascii="宋体" w:hAnsi="宋体" w:cs="宋体"/>
                <w:color w:val="000000"/>
                <w:sz w:val="22"/>
              </w:rPr>
            </w:pPr>
            <w:r>
              <w:rPr>
                <w:rFonts w:hint="eastAsia"/>
                <w:color w:val="000000"/>
                <w:sz w:val="22"/>
              </w:rPr>
              <w:t>服务对象满意度</w:t>
            </w:r>
          </w:p>
        </w:tc>
        <w:tc>
          <w:tcPr>
            <w:tcW w:w="850" w:type="dxa"/>
            <w:noWrap/>
            <w:vAlign w:val="center"/>
          </w:tcPr>
          <w:p>
            <w:pPr>
              <w:ind w:firstLine="220" w:firstLineChars="100"/>
              <w:rPr>
                <w:rFonts w:ascii="宋体" w:hAnsi="宋体" w:cs="宋体"/>
                <w:color w:val="000000"/>
                <w:sz w:val="22"/>
              </w:rPr>
            </w:pPr>
            <w:r>
              <w:rPr>
                <w:rFonts w:hint="eastAsia"/>
                <w:color w:val="000000"/>
                <w:sz w:val="22"/>
              </w:rPr>
              <w:t>%</w:t>
            </w:r>
          </w:p>
        </w:tc>
        <w:tc>
          <w:tcPr>
            <w:tcW w:w="830" w:type="dxa"/>
            <w:noWrap/>
            <w:vAlign w:val="center"/>
          </w:tcPr>
          <w:p>
            <w:pPr>
              <w:ind w:firstLine="220" w:firstLineChars="100"/>
              <w:rPr>
                <w:rFonts w:ascii="宋体" w:hAnsi="宋体" w:cs="宋体"/>
                <w:color w:val="000000"/>
                <w:sz w:val="22"/>
              </w:rPr>
            </w:pPr>
            <w:r>
              <w:rPr>
                <w:rFonts w:hint="eastAsia"/>
                <w:color w:val="000000"/>
                <w:sz w:val="22"/>
              </w:rPr>
              <w:t>≥</w:t>
            </w:r>
          </w:p>
        </w:tc>
        <w:tc>
          <w:tcPr>
            <w:tcW w:w="822" w:type="dxa"/>
            <w:gridSpan w:val="2"/>
            <w:noWrap/>
            <w:vAlign w:val="center"/>
          </w:tcPr>
          <w:p>
            <w:pPr>
              <w:ind w:firstLine="220" w:firstLineChars="100"/>
              <w:jc w:val="right"/>
              <w:rPr>
                <w:rFonts w:ascii="宋体" w:hAnsi="宋体" w:cs="宋体"/>
                <w:color w:val="000000"/>
                <w:sz w:val="22"/>
              </w:rPr>
            </w:pPr>
            <w:r>
              <w:rPr>
                <w:rFonts w:hint="eastAsia"/>
                <w:color w:val="000000"/>
                <w:sz w:val="22"/>
              </w:rPr>
              <w:t>90</w:t>
            </w:r>
          </w:p>
        </w:tc>
        <w:tc>
          <w:tcPr>
            <w:tcW w:w="857" w:type="dxa"/>
            <w:noWrap/>
            <w:vAlign w:val="center"/>
          </w:tcPr>
          <w:p>
            <w:pPr>
              <w:ind w:firstLine="220" w:firstLineChars="100"/>
              <w:jc w:val="right"/>
              <w:rPr>
                <w:rFonts w:ascii="宋体" w:hAnsi="宋体" w:cs="宋体"/>
                <w:color w:val="000000"/>
                <w:sz w:val="22"/>
              </w:rPr>
            </w:pPr>
            <w:r>
              <w:rPr>
                <w:rFonts w:hint="eastAsia"/>
                <w:color w:val="000000"/>
                <w:sz w:val="22"/>
              </w:rPr>
              <w:t>90</w:t>
            </w:r>
          </w:p>
        </w:tc>
        <w:tc>
          <w:tcPr>
            <w:tcW w:w="840" w:type="dxa"/>
            <w:noWrap/>
            <w:vAlign w:val="center"/>
          </w:tcPr>
          <w:p>
            <w:pPr>
              <w:ind w:firstLine="220" w:firstLineChars="100"/>
              <w:jc w:val="right"/>
              <w:rPr>
                <w:rFonts w:ascii="宋体" w:hAnsi="宋体" w:cs="宋体"/>
                <w:color w:val="000000"/>
                <w:sz w:val="22"/>
              </w:rPr>
            </w:pPr>
            <w:r>
              <w:rPr>
                <w:rFonts w:hint="eastAsia"/>
                <w:color w:val="000000"/>
                <w:sz w:val="22"/>
              </w:rPr>
              <w:t>0</w:t>
            </w:r>
          </w:p>
        </w:tc>
        <w:tc>
          <w:tcPr>
            <w:tcW w:w="839" w:type="dxa"/>
            <w:noWrap/>
            <w:vAlign w:val="center"/>
          </w:tcPr>
          <w:p>
            <w:pPr>
              <w:ind w:firstLine="220" w:firstLineChars="100"/>
              <w:jc w:val="right"/>
              <w:rPr>
                <w:rFonts w:ascii="宋体" w:hAnsi="宋体" w:cs="宋体"/>
                <w:color w:val="000000"/>
                <w:sz w:val="22"/>
              </w:rPr>
            </w:pPr>
            <w:r>
              <w:rPr>
                <w:rFonts w:hint="eastAsia"/>
                <w:color w:val="000000"/>
                <w:sz w:val="22"/>
              </w:rPr>
              <w:t>100</w:t>
            </w:r>
          </w:p>
        </w:tc>
        <w:tc>
          <w:tcPr>
            <w:tcW w:w="83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1019" w:type="dxa"/>
            <w:gridSpan w:val="2"/>
            <w:noWrap/>
            <w:vAlign w:val="center"/>
          </w:tcPr>
          <w:p>
            <w:pPr>
              <w:ind w:firstLine="220" w:firstLineChars="100"/>
              <w:jc w:val="right"/>
              <w:rPr>
                <w:rFonts w:ascii="宋体" w:hAnsi="宋体" w:cs="宋体"/>
                <w:color w:val="000000"/>
                <w:sz w:val="22"/>
              </w:rPr>
            </w:pPr>
            <w:r>
              <w:rPr>
                <w:rFonts w:hint="eastAsia"/>
                <w:color w:val="000000"/>
                <w:sz w:val="22"/>
              </w:rPr>
              <w:t>10</w:t>
            </w:r>
          </w:p>
        </w:tc>
        <w:tc>
          <w:tcPr>
            <w:tcW w:w="695" w:type="dxa"/>
            <w:noWrap/>
            <w:vAlign w:val="center"/>
          </w:tcPr>
          <w:p>
            <w:pPr>
              <w:widowControl/>
              <w:snapToGrid w:val="0"/>
              <w:jc w:val="center"/>
              <w:rPr>
                <w:rFonts w:ascii="宋体" w:hAnsi="宋体" w:eastAsia="方正仿宋_GBK" w:cs="方正仿宋_GBK"/>
                <w:color w:val="000000"/>
                <w:kern w:val="0"/>
                <w:sz w:val="24"/>
                <w:szCs w:val="24"/>
              </w:rPr>
            </w:pPr>
          </w:p>
        </w:tc>
      </w:tr>
    </w:tbl>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643" w:firstLine="643" w:firstLineChars="200"/>
        <w:jc w:val="both"/>
        <w:textAlignment w:val="auto"/>
        <w:rPr>
          <w:rFonts w:ascii="宋体" w:hAnsi="宋体" w:eastAsia="方正仿宋_GBK" w:cs="方正仿宋_GBK"/>
          <w:b/>
          <w:kern w:val="0"/>
          <w:sz w:val="32"/>
          <w:szCs w:val="32"/>
        </w:rPr>
      </w:pPr>
      <w:r>
        <w:rPr>
          <w:rFonts w:hint="eastAsia" w:ascii="宋体" w:hAnsi="宋体" w:eastAsia="方正仿宋_GBK" w:cs="方正仿宋_GBK"/>
          <w:b/>
          <w:kern w:val="0"/>
          <w:sz w:val="32"/>
          <w:szCs w:val="32"/>
        </w:rPr>
        <w:t>2.绩效自评报告或案例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643" w:firstLine="640" w:firstLineChars="200"/>
        <w:jc w:val="both"/>
        <w:textAlignment w:val="auto"/>
        <w:rPr>
          <w:rFonts w:ascii="宋体" w:hAnsi="宋体" w:eastAsia="方正仿宋_GBK" w:cs="方正仿宋_GBK"/>
          <w:b/>
          <w:kern w:val="0"/>
          <w:sz w:val="32"/>
          <w:szCs w:val="32"/>
        </w:rPr>
      </w:pPr>
      <w:r>
        <w:rPr>
          <w:rFonts w:hint="eastAsia" w:ascii="宋体" w:hAnsi="宋体" w:eastAsia="方正仿宋_GBK" w:cs="方正仿宋_GBK"/>
          <w:kern w:val="0"/>
          <w:sz w:val="32"/>
          <w:szCs w:val="32"/>
        </w:rPr>
        <w:t>本单位无此事项。</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643" w:firstLine="643" w:firstLineChars="200"/>
        <w:jc w:val="both"/>
        <w:textAlignment w:val="auto"/>
        <w:rPr>
          <w:rFonts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3.关于绩效自评结果的说明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outlineLvl w:val="1"/>
        <w:rPr>
          <w:rFonts w:hint="eastAsia" w:ascii="宋体" w:hAnsi="宋体" w:eastAsia="方正仿宋_GBK" w:cs="方正仿宋_GBK"/>
          <w:sz w:val="32"/>
          <w:lang w:val="en-US" w:eastAsia="zh-CN"/>
        </w:rPr>
      </w:pPr>
      <w:r>
        <w:rPr>
          <w:rFonts w:hint="eastAsia" w:ascii="宋体" w:hAnsi="宋体" w:eastAsia="方正仿宋_GBK" w:cs="方正仿宋_GBK"/>
          <w:color w:val="auto"/>
          <w:kern w:val="0"/>
          <w:sz w:val="32"/>
          <w:szCs w:val="32"/>
          <w:lang w:eastAsia="zh-CN"/>
        </w:rPr>
        <w:t>部门整体绩效目标基本达到年初绩效评估水平。由于</w:t>
      </w:r>
      <w:r>
        <w:rPr>
          <w:rFonts w:hint="eastAsia" w:ascii="宋体" w:hAnsi="宋体" w:eastAsia="方正仿宋_GBK" w:cs="方正仿宋_GBK"/>
          <w:sz w:val="32"/>
        </w:rPr>
        <w:t>当年人员增加、补发以前年度津补贴及</w:t>
      </w:r>
      <w:r>
        <w:rPr>
          <w:rFonts w:hint="eastAsia" w:ascii="宋体" w:hAnsi="宋体" w:eastAsia="方正仿宋_GBK" w:cs="方正仿宋_GBK"/>
          <w:sz w:val="32"/>
          <w:lang w:eastAsia="zh-CN"/>
        </w:rPr>
        <w:t>事业人员</w:t>
      </w:r>
      <w:r>
        <w:rPr>
          <w:rFonts w:hint="eastAsia" w:ascii="宋体" w:hAnsi="宋体" w:eastAsia="方正仿宋_GBK" w:cs="方正仿宋_GBK"/>
          <w:sz w:val="32"/>
        </w:rPr>
        <w:t>社会保障缴费基数增加</w:t>
      </w:r>
      <w:r>
        <w:rPr>
          <w:rFonts w:hint="eastAsia" w:ascii="宋体" w:hAnsi="宋体" w:eastAsia="方正仿宋_GBK" w:cs="方正仿宋_GBK"/>
          <w:sz w:val="32"/>
          <w:lang w:eastAsia="zh-CN"/>
        </w:rPr>
        <w:t>等原因</w:t>
      </w:r>
      <w:r>
        <w:rPr>
          <w:rFonts w:hint="eastAsia" w:ascii="宋体" w:hAnsi="宋体" w:eastAsia="方正仿宋_GBK" w:cs="方正仿宋_GBK"/>
          <w:sz w:val="32"/>
        </w:rPr>
        <w:t>，基本支出</w:t>
      </w:r>
      <w:r>
        <w:rPr>
          <w:rFonts w:hint="eastAsia" w:ascii="宋体" w:hAnsi="宋体" w:eastAsia="方正仿宋_GBK" w:cs="方正仿宋_GBK"/>
          <w:sz w:val="32"/>
          <w:lang w:eastAsia="zh-CN"/>
        </w:rPr>
        <w:t>比年初预算</w:t>
      </w:r>
      <w:r>
        <w:rPr>
          <w:rFonts w:hint="eastAsia" w:ascii="宋体" w:hAnsi="宋体" w:eastAsia="方正仿宋_GBK" w:cs="方正仿宋_GBK"/>
          <w:sz w:val="32"/>
        </w:rPr>
        <w:t>增加150.86万元；</w:t>
      </w:r>
      <w:r>
        <w:rPr>
          <w:rFonts w:hint="eastAsia" w:ascii="宋体" w:hAnsi="宋体" w:eastAsia="方正仿宋_GBK" w:cs="方正仿宋_GBK"/>
          <w:sz w:val="32"/>
          <w:lang w:eastAsia="zh-CN"/>
        </w:rPr>
        <w:t>且因</w:t>
      </w:r>
      <w:r>
        <w:rPr>
          <w:rFonts w:hint="eastAsia" w:ascii="宋体" w:hAnsi="宋体" w:eastAsia="方正仿宋_GBK" w:cs="方正仿宋_GBK"/>
          <w:sz w:val="32"/>
        </w:rPr>
        <w:t>当年新增全市“互联网+执法”行动、“柴油一件事”平台运用前期准备工作及全区自然灾害综合应急演练等工作，增加了</w:t>
      </w:r>
      <w:r>
        <w:rPr>
          <w:rFonts w:hint="eastAsia" w:ascii="宋体" w:hAnsi="宋体" w:eastAsia="方正仿宋_GBK" w:cs="方正仿宋_GBK"/>
          <w:sz w:val="32"/>
          <w:lang w:eastAsia="zh-CN"/>
        </w:rPr>
        <w:t>项目</w:t>
      </w:r>
      <w:r>
        <w:rPr>
          <w:rFonts w:hint="eastAsia" w:ascii="宋体" w:hAnsi="宋体" w:eastAsia="方正仿宋_GBK" w:cs="方正仿宋_GBK"/>
          <w:sz w:val="32"/>
        </w:rPr>
        <w:t>资金620.39万元</w:t>
      </w:r>
      <w:r>
        <w:rPr>
          <w:rFonts w:hint="eastAsia" w:ascii="宋体" w:hAnsi="宋体" w:eastAsia="方正仿宋_GBK" w:cs="方正仿宋_GBK"/>
          <w:sz w:val="32"/>
          <w:lang w:eastAsia="zh-CN"/>
        </w:rPr>
        <w:t>，全年调整预算数为</w:t>
      </w:r>
      <w:r>
        <w:rPr>
          <w:rFonts w:hint="eastAsia" w:ascii="宋体" w:hAnsi="宋体" w:eastAsia="方正仿宋_GBK" w:cs="方正仿宋_GBK"/>
          <w:sz w:val="32"/>
          <w:lang w:val="en-US" w:eastAsia="zh-CN"/>
        </w:rPr>
        <w:t>3519.80万元。自储自用柴油软件开发属江津区政府“重庆数字建设柴油一件事”，为保障项目进度，年底专立一个项目指标做了采购计划，使保障金采购占比份额变大，致使该项绩效指标未能得分。</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outlineLvl w:val="1"/>
        <w:rPr>
          <w:rFonts w:hint="default" w:ascii="宋体" w:hAnsi="宋体" w:eastAsia="方正仿宋_GBK" w:cs="方正仿宋_GBK"/>
          <w:sz w:val="32"/>
          <w:lang w:val="en-US" w:eastAsia="zh-CN"/>
        </w:rPr>
      </w:pPr>
      <w:r>
        <w:rPr>
          <w:rFonts w:hint="eastAsia" w:ascii="宋体" w:hAnsi="宋体" w:eastAsia="方正仿宋_GBK" w:cs="方正仿宋_GBK"/>
          <w:sz w:val="32"/>
          <w:lang w:val="en-US" w:eastAsia="zh-CN"/>
        </w:rPr>
        <w:t>“应急救援经费”为部门二级项目，该资金用于保障物资储备仓库正常运行，应急装备和救灾物资在应对突发事件时能正常使用；按相关法规要求进行演练；保障应急救援各项工作能顺利开展。2024年开展应急救援36次，出动救援人数413人次、装备1975台（套），转移受灾人口849人，较好的完成了全区的各项应急救援工作，保障了社会安定、人民安全。年末项目绩效评价达到年初预设指标。</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outlineLvl w:val="1"/>
        <w:rPr>
          <w:rFonts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kern w:val="0"/>
          <w:sz w:val="32"/>
          <w:szCs w:val="32"/>
        </w:rPr>
      </w:pPr>
      <w:r>
        <w:rPr>
          <w:rFonts w:hint="eastAsia" w:ascii="宋体" w:hAnsi="宋体" w:eastAsia="方正仿宋_GBK" w:cs="方正仿宋_GBK"/>
          <w:kern w:val="0"/>
          <w:sz w:val="32"/>
          <w:szCs w:val="32"/>
        </w:rPr>
        <w:t>本部门无此事项。</w:t>
      </w:r>
    </w:p>
    <w:p>
      <w:pPr>
        <w:pStyle w:val="9"/>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（二）年初结转和结余：指部门上年结转本年使用的基本支出结转、项目支出结转和结余、经营结余。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（三）年末结转和结余：指部门结转下年的基本支出结转、项目支出结转和结余、经营结余。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（五）项目支出：指在基本支出之外为完成特定行政任务和事业发展目标所发生的支出。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六）“三公”经费：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七）机关运行经费：为保障行政部门（含参照公务员法管理的事业部门）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（八）工资福利支出（支出经济分类科目类级）：反映部门开支的在职职工和编制外长期聘用人员的各类劳动报酬，以及为上述人员缴纳的各项社会保险费等。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（九）商品和服务支出（支出经济分类科目类级）：反映部门购买商品和服务的支出（不包括用于购置固定资产的支出、战略性和应急储备支出）。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十一）其他资本性支出（支出经济分类科目类级）：反映非各级发展与改革单位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宋体" w:hAnsi="宋体" w:eastAsia="方正仿宋_GBK" w:cs="方正仿宋_GBK"/>
          <w:sz w:val="32"/>
          <w:szCs w:val="32"/>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firstLineChars="200"/>
        <w:jc w:val="both"/>
        <w:textAlignment w:val="auto"/>
        <w:outlineLvl w:val="0"/>
        <w:rPr>
          <w:rFonts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本部门决算公开信息反馈和联系方式：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宋体" w:hAnsi="宋体" w:eastAsia="方正仿宋_GBK" w:cs="方正仿宋_GBK"/>
          <w:sz w:val="32"/>
          <w:szCs w:val="32"/>
        </w:rPr>
      </w:pPr>
      <w:r>
        <w:rPr>
          <w:rFonts w:hint="eastAsia" w:ascii="宋体" w:hAnsi="宋体" w:eastAsia="方正仿宋_GBK" w:cs="方正仿宋_GBK"/>
          <w:sz w:val="32"/>
          <w:szCs w:val="32"/>
        </w:rPr>
        <w:t>联系人：李剑冰    联系电话：13637711699</w:t>
      </w:r>
    </w:p>
    <w:sectPr>
      <w:footerReference r:id="rId3" w:type="default"/>
      <w:footerReference r:id="rId4" w:type="even"/>
      <w:pgSz w:w="11906" w:h="16838"/>
      <w:pgMar w:top="1587" w:right="1474" w:bottom="147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C7DC43F0"/>
    <w:multiLevelType w:val="singleLevel"/>
    <w:tmpl w:val="C7DC43F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false"/>
  <w:bordersDoNotSurroundFooter w:val="false"/>
  <w:documentProtection w:enforcement="0"/>
  <w:defaultTabStop w:val="42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075E9"/>
    <w:rsid w:val="0011013E"/>
    <w:rsid w:val="0011190A"/>
    <w:rsid w:val="001136EF"/>
    <w:rsid w:val="00120138"/>
    <w:rsid w:val="00120AC5"/>
    <w:rsid w:val="001225CF"/>
    <w:rsid w:val="00122802"/>
    <w:rsid w:val="00122A47"/>
    <w:rsid w:val="00130AB7"/>
    <w:rsid w:val="00130F55"/>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3D17"/>
    <w:rsid w:val="001F6342"/>
    <w:rsid w:val="001F69D5"/>
    <w:rsid w:val="00203926"/>
    <w:rsid w:val="00206DF8"/>
    <w:rsid w:val="002074F7"/>
    <w:rsid w:val="002101FA"/>
    <w:rsid w:val="00213778"/>
    <w:rsid w:val="002148AC"/>
    <w:rsid w:val="00222B01"/>
    <w:rsid w:val="002247FE"/>
    <w:rsid w:val="00224B1E"/>
    <w:rsid w:val="00242193"/>
    <w:rsid w:val="00251064"/>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3F69"/>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4095"/>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18F2"/>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B35"/>
    <w:rsid w:val="00611CA5"/>
    <w:rsid w:val="00620233"/>
    <w:rsid w:val="0062633A"/>
    <w:rsid w:val="00626848"/>
    <w:rsid w:val="0063222A"/>
    <w:rsid w:val="0063307E"/>
    <w:rsid w:val="00642C2A"/>
    <w:rsid w:val="006437B2"/>
    <w:rsid w:val="00664E32"/>
    <w:rsid w:val="0067039B"/>
    <w:rsid w:val="00671CC1"/>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103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385A"/>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15E4"/>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73C68"/>
    <w:rsid w:val="00980C64"/>
    <w:rsid w:val="00981617"/>
    <w:rsid w:val="00984F70"/>
    <w:rsid w:val="00995B9A"/>
    <w:rsid w:val="00995F22"/>
    <w:rsid w:val="00996706"/>
    <w:rsid w:val="0099789A"/>
    <w:rsid w:val="009A01A1"/>
    <w:rsid w:val="009A0F73"/>
    <w:rsid w:val="009A38B0"/>
    <w:rsid w:val="009A7B10"/>
    <w:rsid w:val="009B186D"/>
    <w:rsid w:val="009B46C1"/>
    <w:rsid w:val="009B7A74"/>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37C1"/>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1AE1"/>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1195"/>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28AA"/>
    <w:rsid w:val="00E93825"/>
    <w:rsid w:val="00E950F2"/>
    <w:rsid w:val="00E97BF1"/>
    <w:rsid w:val="00EA2F62"/>
    <w:rsid w:val="00EA5AF8"/>
    <w:rsid w:val="00EB25A6"/>
    <w:rsid w:val="00EB5255"/>
    <w:rsid w:val="00EB6D1D"/>
    <w:rsid w:val="00EC12FF"/>
    <w:rsid w:val="00EC5F49"/>
    <w:rsid w:val="00ED45DD"/>
    <w:rsid w:val="00ED5569"/>
    <w:rsid w:val="00EE3026"/>
    <w:rsid w:val="00EE3420"/>
    <w:rsid w:val="00EE7078"/>
    <w:rsid w:val="00EF5946"/>
    <w:rsid w:val="00EF72EA"/>
    <w:rsid w:val="00F01760"/>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2420"/>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5717DD"/>
    <w:rsid w:val="038E49EB"/>
    <w:rsid w:val="03A45696"/>
    <w:rsid w:val="03B74B35"/>
    <w:rsid w:val="03D862B6"/>
    <w:rsid w:val="03FB4D0B"/>
    <w:rsid w:val="042A0CA0"/>
    <w:rsid w:val="045B484E"/>
    <w:rsid w:val="047841EE"/>
    <w:rsid w:val="04A56073"/>
    <w:rsid w:val="04AD2B7D"/>
    <w:rsid w:val="04E841EF"/>
    <w:rsid w:val="05081AD1"/>
    <w:rsid w:val="052E6699"/>
    <w:rsid w:val="05341DD6"/>
    <w:rsid w:val="057728DC"/>
    <w:rsid w:val="05912D04"/>
    <w:rsid w:val="05C1448E"/>
    <w:rsid w:val="05C1761D"/>
    <w:rsid w:val="05D90398"/>
    <w:rsid w:val="05E52FAD"/>
    <w:rsid w:val="060A24AD"/>
    <w:rsid w:val="07640956"/>
    <w:rsid w:val="07A34544"/>
    <w:rsid w:val="07C17B6D"/>
    <w:rsid w:val="08190B33"/>
    <w:rsid w:val="08C10882"/>
    <w:rsid w:val="08C7668D"/>
    <w:rsid w:val="08CC205B"/>
    <w:rsid w:val="08DB1609"/>
    <w:rsid w:val="09327D67"/>
    <w:rsid w:val="097859D4"/>
    <w:rsid w:val="09823D8A"/>
    <w:rsid w:val="09C9617E"/>
    <w:rsid w:val="0A280DE4"/>
    <w:rsid w:val="0A2D21B2"/>
    <w:rsid w:val="0A4707FD"/>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4A0131"/>
    <w:rsid w:val="0C8D0553"/>
    <w:rsid w:val="0C994F52"/>
    <w:rsid w:val="0CB6160D"/>
    <w:rsid w:val="0D4A231C"/>
    <w:rsid w:val="0DBA0DC1"/>
    <w:rsid w:val="0DCE605A"/>
    <w:rsid w:val="0DEE2D3E"/>
    <w:rsid w:val="0DFF4F4B"/>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1967974"/>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AB171C8"/>
    <w:rsid w:val="1B1350D9"/>
    <w:rsid w:val="1B9A7C0E"/>
    <w:rsid w:val="1B9B203B"/>
    <w:rsid w:val="1BD04E63"/>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B3734F"/>
    <w:rsid w:val="29F90436"/>
    <w:rsid w:val="29FF1B5A"/>
    <w:rsid w:val="2A221FC7"/>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135E46"/>
    <w:rsid w:val="30450B4E"/>
    <w:rsid w:val="30465275"/>
    <w:rsid w:val="31061102"/>
    <w:rsid w:val="31A04CAD"/>
    <w:rsid w:val="31A70211"/>
    <w:rsid w:val="31AB1CD3"/>
    <w:rsid w:val="31B15053"/>
    <w:rsid w:val="320A79AF"/>
    <w:rsid w:val="3256082B"/>
    <w:rsid w:val="327D7E69"/>
    <w:rsid w:val="32826152"/>
    <w:rsid w:val="32EC51EE"/>
    <w:rsid w:val="33116010"/>
    <w:rsid w:val="331546C4"/>
    <w:rsid w:val="33521E3D"/>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5F25DBF"/>
    <w:rsid w:val="461C57E1"/>
    <w:rsid w:val="464D2106"/>
    <w:rsid w:val="46572A53"/>
    <w:rsid w:val="465B2718"/>
    <w:rsid w:val="46651F6D"/>
    <w:rsid w:val="46BE763A"/>
    <w:rsid w:val="46C178CC"/>
    <w:rsid w:val="46F31024"/>
    <w:rsid w:val="46FD3AFE"/>
    <w:rsid w:val="471E0A34"/>
    <w:rsid w:val="4723739A"/>
    <w:rsid w:val="47250EF5"/>
    <w:rsid w:val="47C21415"/>
    <w:rsid w:val="48084421"/>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A77F21"/>
    <w:rsid w:val="4ABF0429"/>
    <w:rsid w:val="4B05514E"/>
    <w:rsid w:val="4B7D224D"/>
    <w:rsid w:val="4B88354F"/>
    <w:rsid w:val="4B897577"/>
    <w:rsid w:val="4B8D711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B213CE"/>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1A20EF"/>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5FD76977"/>
    <w:rsid w:val="61431576"/>
    <w:rsid w:val="61B07674"/>
    <w:rsid w:val="61D16983"/>
    <w:rsid w:val="63B16DA6"/>
    <w:rsid w:val="64325BAA"/>
    <w:rsid w:val="6474563E"/>
    <w:rsid w:val="64DD2E2F"/>
    <w:rsid w:val="650C79CC"/>
    <w:rsid w:val="651F0B40"/>
    <w:rsid w:val="654A3BA1"/>
    <w:rsid w:val="65554008"/>
    <w:rsid w:val="65720792"/>
    <w:rsid w:val="65727ED4"/>
    <w:rsid w:val="658D11B9"/>
    <w:rsid w:val="65A15618"/>
    <w:rsid w:val="660467A7"/>
    <w:rsid w:val="66471D7C"/>
    <w:rsid w:val="667D6EFB"/>
    <w:rsid w:val="66BC66AA"/>
    <w:rsid w:val="66FD7813"/>
    <w:rsid w:val="67006EDF"/>
    <w:rsid w:val="67825ED9"/>
    <w:rsid w:val="67A0385B"/>
    <w:rsid w:val="67B37940"/>
    <w:rsid w:val="686C2A53"/>
    <w:rsid w:val="689C4BB9"/>
    <w:rsid w:val="68A245E2"/>
    <w:rsid w:val="68B0544A"/>
    <w:rsid w:val="690F3CAF"/>
    <w:rsid w:val="6A0C28CE"/>
    <w:rsid w:val="6A650A4D"/>
    <w:rsid w:val="6B7060C6"/>
    <w:rsid w:val="6BCF04C2"/>
    <w:rsid w:val="6BFF59B7"/>
    <w:rsid w:val="6C111246"/>
    <w:rsid w:val="6C60029B"/>
    <w:rsid w:val="6C927168"/>
    <w:rsid w:val="6D8C5247"/>
    <w:rsid w:val="6E904287"/>
    <w:rsid w:val="6EA83056"/>
    <w:rsid w:val="6EB55F1D"/>
    <w:rsid w:val="6EBC0FB8"/>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A91F16"/>
    <w:rsid w:val="72C81D24"/>
    <w:rsid w:val="73510736"/>
    <w:rsid w:val="73772C48"/>
    <w:rsid w:val="73B34B68"/>
    <w:rsid w:val="73C87749"/>
    <w:rsid w:val="742D20BE"/>
    <w:rsid w:val="74300B51"/>
    <w:rsid w:val="74373E1F"/>
    <w:rsid w:val="74557B08"/>
    <w:rsid w:val="745909D3"/>
    <w:rsid w:val="74757604"/>
    <w:rsid w:val="756026FD"/>
    <w:rsid w:val="75686390"/>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405E73"/>
    <w:rsid w:val="7DDB79A8"/>
    <w:rsid w:val="7DE6477E"/>
    <w:rsid w:val="7E17286F"/>
    <w:rsid w:val="7E265B35"/>
    <w:rsid w:val="7E395726"/>
    <w:rsid w:val="7E54076D"/>
    <w:rsid w:val="7E836D97"/>
    <w:rsid w:val="7E8E73EF"/>
    <w:rsid w:val="7EF23A73"/>
    <w:rsid w:val="7F523D4E"/>
    <w:rsid w:val="7F7D4793"/>
    <w:rsid w:val="7FF12B73"/>
    <w:rsid w:val="B5FFA835"/>
    <w:rsid w:val="BAFEEA0C"/>
    <w:rsid w:val="F3FD6B2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1">
    <w:name w:val="页眉 Char"/>
    <w:link w:val="4"/>
    <w:qFormat/>
    <w:uiPriority w:val="99"/>
    <w:rPr>
      <w:sz w:val="18"/>
      <w:szCs w:val="18"/>
    </w:rPr>
  </w:style>
  <w:style w:type="character" w:customStyle="1" w:styleId="12">
    <w:name w:val="页脚 Char1"/>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7286</Words>
  <Characters>8277</Characters>
  <Lines>49</Lines>
  <Paragraphs>13</Paragraphs>
  <TotalTime>22</TotalTime>
  <ScaleCrop>false</ScaleCrop>
  <LinksUpToDate>false</LinksUpToDate>
  <CharactersWithSpaces>8281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2025-08-21T09:25:38Z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y fmtid="{D5CDD505-2E9C-101B-9397-08002B2CF9AE}" pid="4" name="KSOTemplateDocerSaveRecord">
    <vt:lpwstr>eyJoZGlkIjoiNzY5ZTA2M2M4NGI0MjM3MWRhYTlmNTZlYTNiYTcxNzYiLCJ1c2VySWQiOiI0NTA3MzA0MjAifQ==</vt:lpwstr>
  </property>
</Properties>
</file>