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napToGrid w:val="0"/>
        <w:spacing w:before="0" w:beforeAutospacing="0" w:after="0" w:afterAutospacing="0"/>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重庆市江津区应急救援服务中心</w:t>
      </w:r>
    </w:p>
    <w:p>
      <w:pPr>
        <w:pStyle w:val="5"/>
        <w:widowControl w:val="0"/>
        <w:snapToGrid w:val="0"/>
        <w:spacing w:before="0" w:beforeAutospacing="0" w:after="0" w:afterAutospacing="0"/>
        <w:jc w:val="center"/>
        <w:rPr>
          <w:rFonts w:ascii="方正小标宋_GBK" w:eastAsia="方正小标宋_GBK" w:cs="方正小标宋_GBK"/>
          <w:sz w:val="44"/>
          <w:szCs w:val="44"/>
          <w:shd w:val="clear" w:color="auto" w:fill="FFFFFF"/>
        </w:rPr>
      </w:pPr>
      <w:r>
        <w:rPr>
          <w:rFonts w:hint="eastAsia" w:ascii="方正小标宋_GBK" w:eastAsia="方正小标宋_GBK" w:cs="方正小标宋_GBK"/>
          <w:sz w:val="44"/>
          <w:szCs w:val="44"/>
          <w:shd w:val="clear" w:color="auto" w:fill="FFFFFF"/>
        </w:rPr>
        <w:t>2023年度单位决算公开说明</w:t>
      </w:r>
    </w:p>
    <w:p>
      <w:pPr>
        <w:pStyle w:val="5"/>
        <w:widowControl w:val="0"/>
        <w:shd w:val="clear" w:color="auto" w:fill="FFFFFF"/>
        <w:spacing w:before="0" w:beforeAutospacing="0" w:after="0" w:afterAutospacing="0"/>
        <w:contextualSpacing/>
        <w:jc w:val="both"/>
        <w:rPr>
          <w:rStyle w:val="8"/>
          <w:rFonts w:ascii="方正黑体_GBK" w:eastAsia="方正黑体_GBK" w:cs="黑体"/>
          <w:b w:val="0"/>
          <w:sz w:val="32"/>
          <w:szCs w:val="32"/>
          <w:shd w:val="clear" w:color="auto" w:fill="FFFFFF"/>
        </w:rPr>
      </w:pPr>
    </w:p>
    <w:p>
      <w:pPr>
        <w:pStyle w:val="5"/>
        <w:widowControl w:val="0"/>
        <w:shd w:val="clear" w:color="auto" w:fill="FFFFFF"/>
        <w:spacing w:before="0" w:beforeAutospacing="0" w:after="0" w:afterAutospacing="0"/>
        <w:ind w:firstLine="640" w:firstLineChars="200"/>
        <w:contextualSpacing/>
        <w:jc w:val="both"/>
        <w:rPr>
          <w:rFonts w:ascii="方正黑体_GBK" w:eastAsia="方正黑体_GBK" w:cs="黑体"/>
          <w:sz w:val="32"/>
          <w:szCs w:val="32"/>
        </w:rPr>
      </w:pPr>
      <w:r>
        <w:rPr>
          <w:rStyle w:val="8"/>
          <w:rFonts w:hint="eastAsia" w:ascii="方正黑体_GBK" w:eastAsia="方正黑体_GBK" w:cs="黑体"/>
          <w:b w:val="0"/>
          <w:sz w:val="32"/>
          <w:szCs w:val="32"/>
          <w:shd w:val="clear" w:color="auto" w:fill="FFFFFF"/>
        </w:rPr>
        <w:t>一、单位基本情况</w:t>
      </w:r>
    </w:p>
    <w:p>
      <w:pPr>
        <w:pStyle w:val="5"/>
        <w:widowControl w:val="0"/>
        <w:shd w:val="clear" w:color="auto" w:fill="FFFFFF"/>
        <w:spacing w:before="0" w:beforeAutospacing="0" w:after="0" w:afterAutospacing="0"/>
        <w:ind w:firstLine="640" w:firstLineChars="200"/>
        <w:contextualSpacing/>
        <w:jc w:val="both"/>
        <w:rPr>
          <w:rFonts w:ascii="方正楷体_GBK" w:eastAsia="方正楷体_GBK" w:cs="方正仿宋_GBK"/>
          <w:sz w:val="32"/>
          <w:szCs w:val="32"/>
        </w:rPr>
      </w:pPr>
      <w:r>
        <w:rPr>
          <w:rStyle w:val="8"/>
          <w:rFonts w:hint="eastAsia" w:ascii="方正楷体_GBK" w:eastAsia="方正楷体_GBK" w:cs="楷体"/>
          <w:b w:val="0"/>
          <w:sz w:val="32"/>
          <w:szCs w:val="32"/>
          <w:shd w:val="clear" w:color="auto" w:fill="FFFFFF"/>
        </w:rPr>
        <w:t>（一）职能职责</w:t>
      </w:r>
    </w:p>
    <w:p>
      <w:pPr>
        <w:pStyle w:val="5"/>
        <w:widowControl w:val="0"/>
        <w:tabs>
          <w:tab w:val="center" w:pos="4153"/>
          <w:tab w:val="left" w:pos="7275"/>
        </w:tabs>
        <w:autoSpaceDN w:val="0"/>
        <w:spacing w:before="0" w:beforeAutospacing="0" w:after="0" w:afterAutospacing="0"/>
        <w:ind w:firstLine="640" w:firstLineChars="200"/>
        <w:contextualSpacing/>
        <w:jc w:val="both"/>
        <w:rPr>
          <w:rFonts w:eastAsia="方正仿宋_GBK"/>
        </w:rPr>
      </w:pPr>
      <w:r>
        <w:rPr>
          <w:rFonts w:eastAsia="方正仿宋_GBK"/>
          <w:color w:val="000000"/>
          <w:sz w:val="32"/>
          <w:szCs w:val="32"/>
        </w:rPr>
        <w:t>承担全区事故灾难、自然灾害等突发事件的应急响应、应对调度、协调指挥、信息收集发布等方便的事务性和服务性工作。承担应急管理体制机制建设的具体事务性工作。协助主管部门开展辖区内生产安全事故救援的组织协调工作。承担全区安全生产风险分级管控、隐患排查和重大危险源综合管理的事务性工作。负责安全技术考试组织、信息管理、宣传教育等工作。完成主管部门交办的其他工作任务。</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sz w:val="32"/>
          <w:szCs w:val="32"/>
          <w:shd w:val="clear" w:color="auto" w:fill="FFFFFF"/>
        </w:rPr>
      </w:pPr>
      <w:r>
        <w:rPr>
          <w:rStyle w:val="8"/>
          <w:rFonts w:hint="eastAsia" w:ascii="方正楷体_GBK" w:eastAsia="方正楷体_GBK" w:cs="楷体"/>
          <w:b w:val="0"/>
          <w:sz w:val="32"/>
          <w:szCs w:val="32"/>
          <w:shd w:val="clear" w:color="auto" w:fill="FFFFFF"/>
        </w:rPr>
        <w:t>（二）机构设置</w:t>
      </w:r>
    </w:p>
    <w:p>
      <w:pPr>
        <w:widowControl w:val="0"/>
        <w:autoSpaceDN w:val="0"/>
        <w:ind w:firstLine="640" w:firstLineChars="200"/>
        <w:contextualSpacing/>
        <w:jc w:val="both"/>
        <w:rPr>
          <w:rFonts w:eastAsia="方正仿宋_GBK"/>
        </w:rPr>
      </w:pPr>
      <w:r>
        <w:rPr>
          <w:rFonts w:eastAsia="方正仿宋_GBK" w:cs="仿宋_GB2312"/>
          <w:sz w:val="32"/>
          <w:szCs w:val="32"/>
        </w:rPr>
        <w:t>江津区应急救援服务中心是区应急管理局下属事业单位，单位内设9个科室：</w:t>
      </w:r>
      <w:r>
        <w:rPr>
          <w:rFonts w:eastAsia="方正仿宋_GBK" w:cs="方正仿宋_GBK"/>
          <w:color w:val="000000"/>
          <w:sz w:val="32"/>
          <w:szCs w:val="32"/>
        </w:rPr>
        <w:t>综合科、协调科、应急物资保障科、救灾减灾科、防汛抗旱和地震地质灾害应急科、森林防火应急科、生产安全事故应急科、宣教科、安全生产资格管理科。</w:t>
      </w:r>
      <w:r>
        <w:rPr>
          <w:rFonts w:eastAsia="方正仿宋_GBK" w:cs="仿宋_GB2312"/>
          <w:sz w:val="32"/>
          <w:szCs w:val="32"/>
        </w:rPr>
        <w:t>编制36人，年末实有人数35人。</w:t>
      </w:r>
    </w:p>
    <w:p>
      <w:pPr>
        <w:pStyle w:val="5"/>
        <w:widowControl w:val="0"/>
        <w:shd w:val="clear" w:color="auto" w:fill="FFFFFF"/>
        <w:spacing w:before="0" w:beforeAutospacing="0" w:after="0" w:afterAutospacing="0"/>
        <w:ind w:firstLine="640" w:firstLineChars="200"/>
        <w:contextualSpacing/>
        <w:jc w:val="both"/>
        <w:rPr>
          <w:rStyle w:val="8"/>
          <w:rFonts w:ascii="方正黑体_GBK" w:eastAsia="方正黑体_GBK" w:cs="黑体"/>
          <w:b w:val="0"/>
          <w:sz w:val="32"/>
          <w:szCs w:val="32"/>
          <w:shd w:val="clear" w:color="auto" w:fill="FFFFFF"/>
        </w:rPr>
      </w:pPr>
      <w:r>
        <w:rPr>
          <w:rStyle w:val="8"/>
          <w:rFonts w:hint="eastAsia" w:ascii="方正黑体_GBK" w:eastAsia="方正黑体_GBK" w:cs="黑体"/>
          <w:b w:val="0"/>
          <w:sz w:val="32"/>
          <w:szCs w:val="32"/>
          <w:shd w:val="clear" w:color="auto" w:fill="FFFFFF"/>
        </w:rPr>
        <w:t>二、单位决算情况</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sz w:val="32"/>
          <w:szCs w:val="32"/>
          <w:shd w:val="clear" w:color="auto" w:fill="FFFFFF"/>
        </w:rPr>
      </w:pPr>
      <w:r>
        <w:rPr>
          <w:rStyle w:val="8"/>
          <w:rFonts w:hint="eastAsia" w:ascii="方正楷体_GBK" w:eastAsia="方正楷体_GBK" w:cs="楷体"/>
          <w:b w:val="0"/>
          <w:bCs/>
          <w:sz w:val="32"/>
          <w:szCs w:val="32"/>
          <w:shd w:val="clear" w:color="auto" w:fill="FFFFFF"/>
        </w:rPr>
        <w:t>（一）单位收支总体情况</w:t>
      </w:r>
    </w:p>
    <w:p>
      <w:pPr>
        <w:pStyle w:val="5"/>
        <w:widowControl w:val="0"/>
        <w:shd w:val="clear" w:color="auto" w:fill="FFFFFF"/>
        <w:spacing w:before="0" w:beforeAutospacing="0" w:after="0" w:afterAutospacing="0"/>
        <w:ind w:firstLine="643" w:firstLineChars="200"/>
        <w:contextualSpacing/>
        <w:jc w:val="both"/>
        <w:rPr>
          <w:rFonts w:eastAsia="方正仿宋_GBK" w:cs="方正仿宋_GBK"/>
          <w:sz w:val="32"/>
          <w:szCs w:val="32"/>
        </w:rPr>
      </w:pPr>
      <w:r>
        <w:rPr>
          <w:rFonts w:eastAsia="方正仿宋_GBK" w:cs="方正仿宋_GBK"/>
          <w:b/>
          <w:bCs/>
          <w:sz w:val="32"/>
          <w:szCs w:val="32"/>
        </w:rPr>
        <w:t>1.收入支出总体情况。</w:t>
      </w:r>
      <w:r>
        <w:rPr>
          <w:rFonts w:eastAsia="方正仿宋_GBK" w:cs="方正仿宋_GBK"/>
          <w:sz w:val="32"/>
          <w:szCs w:val="32"/>
          <w:shd w:val="clear" w:color="auto" w:fill="FFFFFF"/>
        </w:rPr>
        <w:t>2023年度收入总计2198.79万元，支出总计</w:t>
      </w:r>
      <w:r>
        <w:rPr>
          <w:rFonts w:eastAsia="方正仿宋_GBK" w:cs="方正仿宋_GBK"/>
          <w:sz w:val="32"/>
          <w:szCs w:val="32"/>
        </w:rPr>
        <w:t>2198.79</w:t>
      </w:r>
      <w:r>
        <w:rPr>
          <w:rFonts w:eastAsia="方正仿宋_GBK" w:cs="方正仿宋_GBK"/>
          <w:sz w:val="32"/>
          <w:szCs w:val="32"/>
          <w:shd w:val="clear" w:color="auto" w:fill="FFFFFF"/>
        </w:rPr>
        <w:t>万元。收支较上年决算数增加99.28万元，增长4.73%，主要原因是今年上级自然灾害补助收支金额增加。</w:t>
      </w:r>
    </w:p>
    <w:p>
      <w:pPr>
        <w:pStyle w:val="5"/>
        <w:widowControl w:val="0"/>
        <w:shd w:val="clear" w:color="auto" w:fill="FFFFFF"/>
        <w:spacing w:before="0" w:beforeAutospacing="0" w:after="0" w:afterAutospacing="0"/>
        <w:ind w:firstLine="643" w:firstLineChars="200"/>
        <w:contextualSpacing/>
        <w:jc w:val="both"/>
        <w:rPr>
          <w:rFonts w:eastAsia="方正仿宋_GBK" w:cs="方正仿宋_GBK"/>
          <w:sz w:val="32"/>
          <w:szCs w:val="32"/>
        </w:rPr>
      </w:pPr>
      <w:r>
        <w:rPr>
          <w:rFonts w:eastAsia="方正仿宋_GBK" w:cs="方正仿宋_GBK"/>
          <w:b/>
          <w:bCs/>
          <w:sz w:val="32"/>
          <w:szCs w:val="32"/>
        </w:rPr>
        <w:t>2.收入情况。</w:t>
      </w:r>
      <w:r>
        <w:rPr>
          <w:rFonts w:eastAsia="方正仿宋_GBK" w:cs="方正仿宋_GBK"/>
          <w:sz w:val="32"/>
          <w:szCs w:val="32"/>
          <w:shd w:val="clear" w:color="auto" w:fill="FFFFFF"/>
        </w:rPr>
        <w:t>2023年度收入合计2198.79万元，其中：财政拨款收入</w:t>
      </w:r>
      <w:r>
        <w:rPr>
          <w:rFonts w:eastAsia="方正仿宋_GBK" w:cs="方正仿宋_GBK"/>
          <w:sz w:val="32"/>
          <w:szCs w:val="32"/>
        </w:rPr>
        <w:t>2198.79</w:t>
      </w:r>
      <w:r>
        <w:rPr>
          <w:rFonts w:eastAsia="方正仿宋_GBK" w:cs="方正仿宋_GBK"/>
          <w:sz w:val="32"/>
          <w:szCs w:val="32"/>
          <w:shd w:val="clear" w:color="auto" w:fill="FFFFFF"/>
        </w:rPr>
        <w:t>万元，占</w:t>
      </w:r>
      <w:r>
        <w:rPr>
          <w:rFonts w:eastAsia="方正仿宋_GBK" w:cs="方正仿宋_GBK"/>
          <w:sz w:val="32"/>
          <w:szCs w:val="32"/>
        </w:rPr>
        <w:t>100</w:t>
      </w:r>
      <w:r>
        <w:rPr>
          <w:rFonts w:eastAsia="方正仿宋_GBK" w:cs="方正仿宋_GBK"/>
          <w:sz w:val="32"/>
          <w:szCs w:val="32"/>
          <w:shd w:val="clear" w:color="auto" w:fill="FFFFFF"/>
        </w:rPr>
        <w:t>%。较上年决算数增加99.28万元，增长4.73%，主要原因是今年上级自然灾害补助收入金额增加。</w:t>
      </w:r>
    </w:p>
    <w:p>
      <w:pPr>
        <w:pStyle w:val="5"/>
        <w:widowControl w:val="0"/>
        <w:spacing w:before="0" w:beforeAutospacing="0" w:after="0" w:afterAutospacing="0"/>
        <w:ind w:firstLine="643" w:firstLineChars="200"/>
        <w:contextualSpacing/>
        <w:jc w:val="both"/>
        <w:rPr>
          <w:rFonts w:eastAsia="方正仿宋_GBK" w:cs="方正仿宋_GBK"/>
          <w:sz w:val="32"/>
          <w:szCs w:val="32"/>
          <w:shd w:val="clear" w:color="auto" w:fill="FFFFFF"/>
        </w:rPr>
      </w:pPr>
      <w:r>
        <w:rPr>
          <w:rFonts w:eastAsia="方正仿宋_GBK" w:cs="方正仿宋_GBK"/>
          <w:b/>
          <w:bCs/>
          <w:sz w:val="32"/>
          <w:szCs w:val="32"/>
        </w:rPr>
        <w:t>3.支出情况。</w:t>
      </w:r>
      <w:r>
        <w:rPr>
          <w:rFonts w:eastAsia="方正仿宋_GBK" w:cs="方正仿宋_GBK"/>
          <w:sz w:val="32"/>
          <w:szCs w:val="32"/>
          <w:shd w:val="clear" w:color="auto" w:fill="FFFFFF"/>
        </w:rPr>
        <w:t>2023年度支出合计</w:t>
      </w:r>
      <w:r>
        <w:rPr>
          <w:rFonts w:eastAsia="方正仿宋_GBK" w:cs="方正仿宋_GBK"/>
          <w:sz w:val="32"/>
          <w:szCs w:val="32"/>
        </w:rPr>
        <w:t>2198.79</w:t>
      </w:r>
      <w:r>
        <w:rPr>
          <w:rFonts w:eastAsia="方正仿宋_GBK" w:cs="方正仿宋_GBK"/>
          <w:sz w:val="32"/>
          <w:szCs w:val="32"/>
          <w:shd w:val="clear" w:color="auto" w:fill="FFFFFF"/>
        </w:rPr>
        <w:t>万元，其中：基本支出</w:t>
      </w:r>
      <w:r>
        <w:rPr>
          <w:rFonts w:eastAsia="方正仿宋_GBK" w:cs="方正仿宋_GBK"/>
          <w:sz w:val="32"/>
          <w:szCs w:val="32"/>
        </w:rPr>
        <w:t>788.60</w:t>
      </w:r>
      <w:r>
        <w:rPr>
          <w:rFonts w:eastAsia="方正仿宋_GBK" w:cs="方正仿宋_GBK"/>
          <w:sz w:val="32"/>
          <w:szCs w:val="32"/>
          <w:shd w:val="clear" w:color="auto" w:fill="FFFFFF"/>
        </w:rPr>
        <w:t>万元，占35.87%；项目支出</w:t>
      </w:r>
      <w:r>
        <w:rPr>
          <w:rFonts w:eastAsia="方正仿宋_GBK" w:cs="方正仿宋_GBK"/>
          <w:sz w:val="32"/>
          <w:szCs w:val="32"/>
        </w:rPr>
        <w:t>1410.19</w:t>
      </w:r>
      <w:r>
        <w:rPr>
          <w:rFonts w:eastAsia="方正仿宋_GBK" w:cs="方正仿宋_GBK"/>
          <w:sz w:val="32"/>
          <w:szCs w:val="32"/>
          <w:shd w:val="clear" w:color="auto" w:fill="FFFFFF"/>
        </w:rPr>
        <w:t>万元，占64.13%。较上年决算数增加99.28万元，增长4.73%，主要原因是今年上级自然灾害补助支出金额增加。</w:t>
      </w:r>
    </w:p>
    <w:p>
      <w:pPr>
        <w:pStyle w:val="5"/>
        <w:widowControl w:val="0"/>
        <w:spacing w:before="0" w:beforeAutospacing="0" w:after="0" w:afterAutospacing="0"/>
        <w:ind w:firstLine="619" w:firstLineChars="200"/>
        <w:contextualSpacing/>
        <w:jc w:val="both"/>
        <w:rPr>
          <w:rFonts w:eastAsia="方正仿宋_GBK" w:cs="方正仿宋_GBK"/>
          <w:spacing w:val="-6"/>
          <w:sz w:val="32"/>
          <w:szCs w:val="32"/>
        </w:rPr>
      </w:pPr>
      <w:r>
        <w:rPr>
          <w:rFonts w:eastAsia="方正仿宋_GBK" w:cs="方正仿宋_GBK"/>
          <w:b/>
          <w:bCs/>
          <w:spacing w:val="-6"/>
          <w:sz w:val="32"/>
          <w:szCs w:val="32"/>
        </w:rPr>
        <w:t>4.结转结余情况。</w:t>
      </w:r>
      <w:r>
        <w:rPr>
          <w:rFonts w:eastAsia="方正仿宋_GBK" w:cs="方正仿宋_GBK"/>
          <w:spacing w:val="-6"/>
          <w:sz w:val="32"/>
          <w:szCs w:val="32"/>
          <w:shd w:val="clear" w:color="auto" w:fill="FFFFFF"/>
        </w:rPr>
        <w:t>2023年度本单位没有年末结转和结余</w:t>
      </w:r>
      <w:r>
        <w:rPr>
          <w:rFonts w:eastAsia="方正仿宋_GBK" w:cs="方正仿宋_GBK"/>
          <w:spacing w:val="-6"/>
          <w:sz w:val="32"/>
          <w:szCs w:val="32"/>
        </w:rPr>
        <w:t>资金。</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bCs/>
          <w:sz w:val="32"/>
          <w:szCs w:val="32"/>
          <w:shd w:val="clear" w:color="auto" w:fill="FFFFFF"/>
        </w:rPr>
        <w:t>（二）财政拨款收支总体情况</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Fonts w:eastAsia="方正仿宋_GBK" w:cs="方正仿宋_GBK"/>
          <w:sz w:val="32"/>
          <w:szCs w:val="32"/>
          <w:shd w:val="clear" w:color="auto" w:fill="FFFFFF"/>
        </w:rPr>
        <w:t>2023年度财政拨款收、支总计2198.79万元。与2022年相比，财政拨款收、支总计各增加99.28万元，增长4.73%。主要原因是</w:t>
      </w:r>
      <w:r>
        <w:rPr>
          <w:rFonts w:hint="eastAsia" w:eastAsia="方正仿宋_GBK" w:cs="方正仿宋_GBK"/>
          <w:sz w:val="32"/>
          <w:szCs w:val="32"/>
          <w:shd w:val="clear" w:color="auto" w:fill="FFFFFF"/>
        </w:rPr>
        <w:t>今</w:t>
      </w:r>
      <w:r>
        <w:rPr>
          <w:rFonts w:eastAsia="方正仿宋_GBK" w:cs="方正仿宋_GBK"/>
          <w:sz w:val="32"/>
          <w:szCs w:val="32"/>
          <w:shd w:val="clear" w:color="auto" w:fill="FFFFFF"/>
        </w:rPr>
        <w:t>年上级自然灾害补助收支金额增加。</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sz w:val="32"/>
          <w:szCs w:val="32"/>
          <w:shd w:val="clear" w:color="auto" w:fill="FFFFFF"/>
        </w:rPr>
      </w:pPr>
      <w:r>
        <w:rPr>
          <w:rStyle w:val="8"/>
          <w:rFonts w:hint="eastAsia" w:ascii="方正楷体_GBK" w:eastAsia="方正楷体_GBK" w:cs="楷体"/>
          <w:b w:val="0"/>
          <w:sz w:val="32"/>
          <w:szCs w:val="32"/>
          <w:shd w:val="clear" w:color="auto" w:fill="FFFFFF"/>
        </w:rPr>
        <w:t>（三）一般公共预算财政拨款收支总体情况</w:t>
      </w:r>
    </w:p>
    <w:p>
      <w:pPr>
        <w:pStyle w:val="5"/>
        <w:widowControl w:val="0"/>
        <w:spacing w:before="0" w:beforeAutospacing="0" w:after="0" w:afterAutospacing="0"/>
        <w:ind w:firstLine="643" w:firstLineChars="200"/>
        <w:contextualSpacing/>
        <w:jc w:val="both"/>
        <w:rPr>
          <w:rFonts w:eastAsia="方正仿宋_GBK" w:cs="方正仿宋_GBK"/>
          <w:color w:val="FF0000"/>
          <w:sz w:val="32"/>
          <w:szCs w:val="32"/>
          <w:shd w:val="clear" w:color="auto" w:fill="FFFFFF"/>
        </w:rPr>
      </w:pPr>
      <w:r>
        <w:rPr>
          <w:rFonts w:eastAsia="方正仿宋_GBK" w:cs="方正仿宋_GBK"/>
          <w:b/>
          <w:bCs/>
          <w:sz w:val="32"/>
          <w:szCs w:val="32"/>
        </w:rPr>
        <w:t>1.收入情况。</w:t>
      </w:r>
      <w:r>
        <w:rPr>
          <w:rFonts w:eastAsia="方正仿宋_GBK" w:cs="方正仿宋_GBK"/>
          <w:sz w:val="32"/>
          <w:szCs w:val="32"/>
          <w:shd w:val="clear" w:color="auto" w:fill="FFFFFF"/>
        </w:rPr>
        <w:t>2023年度一般公共预算财政拨款收入</w:t>
      </w:r>
      <w:r>
        <w:rPr>
          <w:rFonts w:eastAsia="方正仿宋_GBK" w:cs="方正仿宋_GBK"/>
          <w:sz w:val="32"/>
          <w:szCs w:val="32"/>
        </w:rPr>
        <w:t>2198.79</w:t>
      </w:r>
      <w:r>
        <w:rPr>
          <w:rFonts w:eastAsia="方正仿宋_GBK" w:cs="方正仿宋_GBK"/>
          <w:sz w:val="32"/>
          <w:szCs w:val="32"/>
          <w:shd w:val="clear" w:color="auto" w:fill="FFFFFF"/>
        </w:rPr>
        <w:t>万元，较上年决算数增加99.28万元，增长4.73%。主要原因是今年上级自然灾害补助收入金额增加。较年初预算数减少327.32万元，下降12.96%，主要原因是年初预算收入包含有上年结转的上级资金。</w:t>
      </w:r>
    </w:p>
    <w:p>
      <w:pPr>
        <w:pStyle w:val="5"/>
        <w:widowControl w:val="0"/>
        <w:spacing w:before="0" w:beforeAutospacing="0" w:after="0" w:afterAutospacing="0"/>
        <w:ind w:firstLine="643" w:firstLineChars="200"/>
        <w:contextualSpacing/>
        <w:jc w:val="both"/>
        <w:rPr>
          <w:rFonts w:eastAsia="方正仿宋_GBK" w:cs="方正仿宋_GBK"/>
          <w:sz w:val="32"/>
          <w:szCs w:val="32"/>
        </w:rPr>
      </w:pPr>
      <w:r>
        <w:rPr>
          <w:rFonts w:eastAsia="方正仿宋_GBK" w:cs="方正仿宋_GBK"/>
          <w:b/>
          <w:bCs/>
          <w:sz w:val="32"/>
          <w:szCs w:val="32"/>
        </w:rPr>
        <w:t>2.支出情况。</w:t>
      </w:r>
      <w:r>
        <w:rPr>
          <w:rFonts w:eastAsia="方正仿宋_GBK" w:cs="方正仿宋_GBK"/>
          <w:sz w:val="32"/>
          <w:szCs w:val="32"/>
          <w:shd w:val="clear" w:color="auto" w:fill="FFFFFF"/>
        </w:rPr>
        <w:t>2023年度一般公共预算财政拨款支出</w:t>
      </w:r>
      <w:r>
        <w:rPr>
          <w:rFonts w:eastAsia="方正仿宋_GBK" w:cs="方正仿宋_GBK"/>
          <w:sz w:val="32"/>
          <w:szCs w:val="32"/>
        </w:rPr>
        <w:t>2198.79</w:t>
      </w:r>
      <w:r>
        <w:rPr>
          <w:rFonts w:eastAsia="方正仿宋_GBK" w:cs="方正仿宋_GBK"/>
          <w:sz w:val="32"/>
          <w:szCs w:val="32"/>
          <w:shd w:val="clear" w:color="auto" w:fill="FFFFFF"/>
        </w:rPr>
        <w:t>万元，较上年决算数增加99.28万元，增长4.73%。主要原因是今年上级自然灾害补助支出金额增加。较年初预算数减少327.32万元，下降12.96%。主要原因是年初预算支出包含有上年结转的上级资金。</w:t>
      </w:r>
    </w:p>
    <w:p>
      <w:pPr>
        <w:pStyle w:val="5"/>
        <w:widowControl w:val="0"/>
        <w:spacing w:before="0" w:beforeAutospacing="0" w:after="0" w:afterAutospacing="0"/>
        <w:ind w:firstLine="643" w:firstLineChars="200"/>
        <w:contextualSpacing/>
        <w:jc w:val="both"/>
        <w:rPr>
          <w:rFonts w:eastAsia="方正仿宋_GBK" w:cs="方正仿宋_GBK"/>
          <w:color w:val="FF0000"/>
          <w:sz w:val="32"/>
          <w:szCs w:val="32"/>
          <w:highlight w:val="cyan"/>
          <w:shd w:val="clear" w:color="auto" w:fill="FFFFFF"/>
        </w:rPr>
      </w:pPr>
      <w:r>
        <w:rPr>
          <w:rFonts w:eastAsia="方正仿宋_GBK" w:cs="方正仿宋_GBK"/>
          <w:b/>
          <w:bCs/>
          <w:sz w:val="32"/>
          <w:szCs w:val="32"/>
        </w:rPr>
        <w:t>3.比较情况。</w:t>
      </w:r>
      <w:r>
        <w:rPr>
          <w:rFonts w:eastAsia="方正仿宋_GBK" w:cs="方正仿宋_GBK"/>
          <w:sz w:val="32"/>
          <w:szCs w:val="32"/>
          <w:shd w:val="clear" w:color="auto" w:fill="FFFFFF"/>
        </w:rPr>
        <w:t>本</w:t>
      </w:r>
      <w:r>
        <w:rPr>
          <w:rFonts w:hint="eastAsia" w:eastAsia="方正仿宋_GBK" w:cs="方正仿宋_GBK"/>
          <w:sz w:val="32"/>
          <w:szCs w:val="32"/>
          <w:shd w:val="clear" w:color="auto" w:fill="FFFFFF"/>
        </w:rPr>
        <w:t>单位</w:t>
      </w:r>
      <w:r>
        <w:rPr>
          <w:rFonts w:eastAsia="方正仿宋_GBK" w:cs="方正仿宋_GBK"/>
          <w:sz w:val="32"/>
          <w:szCs w:val="32"/>
          <w:shd w:val="clear" w:color="auto" w:fill="FFFFFF"/>
        </w:rPr>
        <w:t>2023年度一般公共预算财政拨款支出主要用于以下几个方面：</w:t>
      </w:r>
    </w:p>
    <w:p>
      <w:pPr>
        <w:pStyle w:val="5"/>
        <w:widowControl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（1）教育支出</w:t>
      </w:r>
      <w:r>
        <w:rPr>
          <w:rFonts w:eastAsia="方正仿宋_GBK" w:cs="方正仿宋_GBK"/>
          <w:sz w:val="32"/>
          <w:szCs w:val="32"/>
        </w:rPr>
        <w:t>0.93</w:t>
      </w:r>
      <w:r>
        <w:rPr>
          <w:rFonts w:eastAsia="方正仿宋_GBK" w:cs="方正仿宋_GBK"/>
          <w:sz w:val="32"/>
          <w:szCs w:val="32"/>
          <w:shd w:val="clear" w:color="auto" w:fill="FFFFFF"/>
        </w:rPr>
        <w:t>万元，占</w:t>
      </w:r>
      <w:r>
        <w:rPr>
          <w:rFonts w:eastAsia="方正仿宋_GBK" w:cs="方正仿宋_GBK"/>
          <w:sz w:val="32"/>
          <w:szCs w:val="32"/>
        </w:rPr>
        <w:t>0.04</w:t>
      </w:r>
      <w:r>
        <w:rPr>
          <w:rFonts w:eastAsia="方正仿宋_GBK" w:cs="方正仿宋_GBK"/>
          <w:sz w:val="32"/>
          <w:szCs w:val="32"/>
          <w:shd w:val="clear" w:color="auto" w:fill="FFFFFF"/>
        </w:rPr>
        <w:t>%，较年初预算数减少3.27万元，下降77.86%，主要原因是今年培训采取网络培训方式，培训费用下降。</w:t>
      </w:r>
    </w:p>
    <w:p>
      <w:pPr>
        <w:pStyle w:val="5"/>
        <w:widowControl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（2）社会保障与就业支出</w:t>
      </w:r>
      <w:r>
        <w:rPr>
          <w:rFonts w:eastAsia="方正仿宋_GBK" w:cs="方正仿宋_GBK"/>
          <w:sz w:val="32"/>
          <w:szCs w:val="32"/>
        </w:rPr>
        <w:t>67.93</w:t>
      </w:r>
      <w:r>
        <w:rPr>
          <w:rFonts w:eastAsia="方正仿宋_GBK" w:cs="方正仿宋_GBK"/>
          <w:sz w:val="32"/>
          <w:szCs w:val="32"/>
          <w:shd w:val="clear" w:color="auto" w:fill="FFFFFF"/>
        </w:rPr>
        <w:t>万元，占</w:t>
      </w:r>
      <w:r>
        <w:rPr>
          <w:rFonts w:eastAsia="方正仿宋_GBK" w:cs="方正仿宋_GBK"/>
          <w:sz w:val="32"/>
          <w:szCs w:val="32"/>
        </w:rPr>
        <w:t>3.09</w:t>
      </w:r>
      <w:r>
        <w:rPr>
          <w:rFonts w:eastAsia="方正仿宋_GBK" w:cs="方正仿宋_GBK"/>
          <w:sz w:val="32"/>
          <w:szCs w:val="32"/>
          <w:shd w:val="clear" w:color="auto" w:fill="FFFFFF"/>
        </w:rPr>
        <w:t>%，较年初预算数减少2.44万元，下降3.47%，主要原因是工资清算，扣减了一部分社会保障缴费。</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Fonts w:eastAsia="方正仿宋_GBK" w:cs="方正仿宋_GBK"/>
          <w:sz w:val="32"/>
          <w:szCs w:val="32"/>
          <w:shd w:val="clear" w:color="auto" w:fill="FFFFFF"/>
        </w:rPr>
        <w:t>（3）卫生健康支出</w:t>
      </w:r>
      <w:r>
        <w:rPr>
          <w:rFonts w:eastAsia="方正仿宋_GBK" w:cs="方正仿宋_GBK"/>
          <w:sz w:val="32"/>
          <w:szCs w:val="32"/>
        </w:rPr>
        <w:t>39.08</w:t>
      </w:r>
      <w:r>
        <w:rPr>
          <w:rFonts w:eastAsia="方正仿宋_GBK" w:cs="方正仿宋_GBK"/>
          <w:sz w:val="32"/>
          <w:szCs w:val="32"/>
          <w:shd w:val="clear" w:color="auto" w:fill="FFFFFF"/>
        </w:rPr>
        <w:t>万元，占</w:t>
      </w:r>
      <w:r>
        <w:rPr>
          <w:rFonts w:eastAsia="方正仿宋_GBK" w:cs="方正仿宋_GBK"/>
          <w:sz w:val="32"/>
          <w:szCs w:val="32"/>
        </w:rPr>
        <w:t>1.78</w:t>
      </w:r>
      <w:r>
        <w:rPr>
          <w:rFonts w:eastAsia="方正仿宋_GBK" w:cs="方正仿宋_GBK"/>
          <w:sz w:val="32"/>
          <w:szCs w:val="32"/>
          <w:shd w:val="clear" w:color="auto" w:fill="FFFFFF"/>
        </w:rPr>
        <w:t>%，与年初预算数一致。</w:t>
      </w:r>
    </w:p>
    <w:p>
      <w:pPr>
        <w:widowControl w:val="0"/>
        <w:ind w:firstLine="640" w:firstLineChars="200"/>
        <w:contextualSpacing/>
        <w:jc w:val="both"/>
        <w:rPr>
          <w:rFonts w:eastAsia="方正仿宋_GBK" w:cs="方正仿宋_GBK"/>
          <w:color w:val="FF0000"/>
          <w:sz w:val="32"/>
          <w:szCs w:val="32"/>
          <w:shd w:val="clear" w:color="auto" w:fill="FFFFFF"/>
        </w:rPr>
      </w:pPr>
      <w:r>
        <w:rPr>
          <w:rFonts w:eastAsia="方正仿宋_GBK" w:cs="方正仿宋_GBK"/>
          <w:sz w:val="32"/>
          <w:szCs w:val="32"/>
          <w:shd w:val="clear" w:color="auto" w:fill="FFFFFF"/>
        </w:rPr>
        <w:t>（4）</w:t>
      </w:r>
      <w:r>
        <w:rPr>
          <w:rFonts w:eastAsia="方正仿宋_GBK" w:cs="方正仿宋_GBK"/>
          <w:sz w:val="32"/>
          <w:szCs w:val="32"/>
        </w:rPr>
        <w:t>住房保障支出33.53</w:t>
      </w:r>
      <w:r>
        <w:rPr>
          <w:rFonts w:eastAsia="方正仿宋_GBK" w:cs="方正仿宋_GBK"/>
          <w:sz w:val="32"/>
          <w:szCs w:val="32"/>
          <w:shd w:val="clear" w:color="auto" w:fill="FFFFFF"/>
        </w:rPr>
        <w:t>万元，占</w:t>
      </w:r>
      <w:r>
        <w:rPr>
          <w:rFonts w:eastAsia="方正仿宋_GBK" w:cs="方正仿宋_GBK"/>
          <w:sz w:val="32"/>
          <w:szCs w:val="32"/>
        </w:rPr>
        <w:t>1.52</w:t>
      </w:r>
      <w:r>
        <w:rPr>
          <w:rFonts w:eastAsia="方正仿宋_GBK" w:cs="方正仿宋_GBK"/>
          <w:sz w:val="32"/>
          <w:szCs w:val="32"/>
          <w:shd w:val="clear" w:color="auto" w:fill="FFFFFF"/>
        </w:rPr>
        <w:t>%，与年初预算数一致。</w:t>
      </w:r>
    </w:p>
    <w:p>
      <w:pPr>
        <w:widowControl w:val="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（5）</w:t>
      </w:r>
      <w:r>
        <w:rPr>
          <w:rFonts w:eastAsia="方正仿宋_GBK" w:cs="方正仿宋_GBK"/>
          <w:sz w:val="32"/>
          <w:szCs w:val="32"/>
        </w:rPr>
        <w:t>灾害防治及应急管理支出2057.32</w:t>
      </w:r>
      <w:r>
        <w:rPr>
          <w:rFonts w:eastAsia="方正仿宋_GBK" w:cs="方正仿宋_GBK"/>
          <w:sz w:val="32"/>
          <w:szCs w:val="32"/>
          <w:shd w:val="clear" w:color="auto" w:fill="FFFFFF"/>
        </w:rPr>
        <w:t>万元，占</w:t>
      </w:r>
      <w:r>
        <w:rPr>
          <w:rFonts w:eastAsia="方正仿宋_GBK" w:cs="方正仿宋_GBK"/>
          <w:sz w:val="32"/>
          <w:szCs w:val="32"/>
        </w:rPr>
        <w:t>93.57</w:t>
      </w:r>
      <w:r>
        <w:rPr>
          <w:rFonts w:eastAsia="方正仿宋_GBK" w:cs="方正仿宋_GBK"/>
          <w:sz w:val="32"/>
          <w:szCs w:val="32"/>
          <w:shd w:val="clear" w:color="auto" w:fill="FFFFFF"/>
        </w:rPr>
        <w:t>%，较年初预算数减少321.62万元，下降13.52%，主要原因是年初预算支出包含有上年</w:t>
      </w:r>
      <w:r>
        <w:rPr>
          <w:rFonts w:hint="eastAsia" w:eastAsia="方正仿宋_GBK" w:cs="方正仿宋_GBK"/>
          <w:sz w:val="32"/>
          <w:szCs w:val="32"/>
          <w:shd w:val="clear" w:color="auto" w:fill="FFFFFF"/>
        </w:rPr>
        <w:t>回收</w:t>
      </w:r>
      <w:r>
        <w:rPr>
          <w:rFonts w:eastAsia="方正仿宋_GBK" w:cs="方正仿宋_GBK"/>
          <w:sz w:val="32"/>
          <w:szCs w:val="32"/>
          <w:shd w:val="clear" w:color="auto" w:fill="FFFFFF"/>
        </w:rPr>
        <w:t>后财政重新分配的上级资金。</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sz w:val="32"/>
          <w:szCs w:val="32"/>
          <w:shd w:val="clear" w:color="auto" w:fill="FFFFFF"/>
        </w:rPr>
        <w:t>（四）</w:t>
      </w:r>
      <w:r>
        <w:rPr>
          <w:rStyle w:val="8"/>
          <w:rFonts w:hint="eastAsia" w:ascii="方正楷体_GBK" w:eastAsia="方正楷体_GBK" w:cs="楷体"/>
          <w:b w:val="0"/>
          <w:bCs/>
          <w:sz w:val="32"/>
          <w:szCs w:val="32"/>
          <w:shd w:val="clear" w:color="auto" w:fill="FFFFFF"/>
        </w:rPr>
        <w:t>一般公共预算财政拨款基本支出情况</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Fonts w:eastAsia="方正仿宋_GBK" w:cs="方正仿宋_GBK"/>
          <w:sz w:val="32"/>
          <w:szCs w:val="32"/>
          <w:shd w:val="clear" w:color="auto" w:fill="FFFFFF"/>
        </w:rPr>
        <w:t> 2023年度一般公共财政拨款基本支出</w:t>
      </w:r>
      <w:r>
        <w:rPr>
          <w:rFonts w:eastAsia="方正仿宋_GBK" w:cs="方正仿宋_GBK"/>
          <w:sz w:val="32"/>
          <w:szCs w:val="32"/>
        </w:rPr>
        <w:t>788.60</w:t>
      </w:r>
      <w:r>
        <w:rPr>
          <w:rFonts w:eastAsia="方正仿宋_GBK" w:cs="方正仿宋_GBK"/>
          <w:sz w:val="32"/>
          <w:szCs w:val="32"/>
          <w:shd w:val="clear" w:color="auto" w:fill="FFFFFF"/>
        </w:rPr>
        <w:t>万元。其中：人员经费</w:t>
      </w:r>
      <w:r>
        <w:rPr>
          <w:rFonts w:eastAsia="方正仿宋_GBK" w:cs="方正仿宋_GBK"/>
          <w:sz w:val="32"/>
          <w:szCs w:val="32"/>
        </w:rPr>
        <w:t>669.84</w:t>
      </w:r>
      <w:r>
        <w:rPr>
          <w:rFonts w:eastAsia="方正仿宋_GBK" w:cs="方正仿宋_GBK"/>
          <w:sz w:val="32"/>
          <w:szCs w:val="32"/>
          <w:shd w:val="clear" w:color="auto" w:fill="FFFFFF"/>
        </w:rPr>
        <w:t>万元，较上年决算数增加103.25万元，增长18.22%，主要原因是一是工资调资增加基本工资和津贴补贴等支出；二是清算补发2021-2022年工资19万。公用经费</w:t>
      </w:r>
      <w:r>
        <w:rPr>
          <w:rFonts w:eastAsia="方正仿宋_GBK" w:cs="方正仿宋_GBK"/>
          <w:sz w:val="32"/>
          <w:szCs w:val="32"/>
        </w:rPr>
        <w:t>118.76</w:t>
      </w:r>
      <w:r>
        <w:rPr>
          <w:rFonts w:eastAsia="方正仿宋_GBK" w:cs="方正仿宋_GBK"/>
          <w:sz w:val="32"/>
          <w:szCs w:val="32"/>
          <w:shd w:val="clear" w:color="auto" w:fill="FFFFFF"/>
        </w:rPr>
        <w:t>万元，较上年决算数增加29.26万元，增长32.69%，主要原因是去年财政压减公用经费支出20%，导致今年公用经费比去</w:t>
      </w:r>
      <w:r>
        <w:rPr>
          <w:rFonts w:hint="eastAsia" w:eastAsia="方正仿宋_GBK" w:cs="方正仿宋_GBK"/>
          <w:sz w:val="32"/>
          <w:szCs w:val="32"/>
          <w:shd w:val="clear" w:color="auto" w:fill="FFFFFF"/>
          <w:lang w:eastAsia="zh-CN"/>
        </w:rPr>
        <w:t>年</w:t>
      </w:r>
      <w:r>
        <w:rPr>
          <w:rFonts w:eastAsia="方正仿宋_GBK" w:cs="方正仿宋_GBK"/>
          <w:sz w:val="32"/>
          <w:szCs w:val="32"/>
          <w:shd w:val="clear" w:color="auto" w:fill="FFFFFF"/>
        </w:rPr>
        <w:t>增加。公用经费用途主要包括：办公费37.22万元、水电费0.66万元、培训费0.93万元、物业管理费0.18万元、会议费1.10万元、公务接待费1.32万元、工会经费23.65万元、福利费8.39万元、公务</w:t>
      </w:r>
      <w:r>
        <w:rPr>
          <w:rFonts w:hint="eastAsia" w:eastAsia="方正仿宋_GBK" w:cs="方正仿宋_GBK"/>
          <w:sz w:val="32"/>
          <w:szCs w:val="32"/>
          <w:shd w:val="clear" w:color="auto" w:fill="FFFFFF"/>
        </w:rPr>
        <w:t>用</w:t>
      </w:r>
      <w:r>
        <w:rPr>
          <w:rFonts w:eastAsia="方正仿宋_GBK" w:cs="方正仿宋_GBK"/>
          <w:sz w:val="32"/>
          <w:szCs w:val="32"/>
          <w:shd w:val="clear" w:color="auto" w:fill="FFFFFF"/>
        </w:rPr>
        <w:t>车运行维护费10.00万元、其他商品</w:t>
      </w:r>
      <w:r>
        <w:rPr>
          <w:rFonts w:hint="eastAsia" w:eastAsia="方正仿宋_GBK" w:cs="方正仿宋_GBK"/>
          <w:sz w:val="32"/>
          <w:szCs w:val="32"/>
          <w:shd w:val="clear" w:color="auto" w:fill="FFFFFF"/>
        </w:rPr>
        <w:t>和</w:t>
      </w:r>
      <w:r>
        <w:rPr>
          <w:rFonts w:eastAsia="方正仿宋_GBK" w:cs="方正仿宋_GBK"/>
          <w:sz w:val="32"/>
          <w:szCs w:val="32"/>
          <w:shd w:val="clear" w:color="auto" w:fill="FFFFFF"/>
        </w:rPr>
        <w:t>服务支出34.38万元、其他资金性支出0.93万元。</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bCs/>
          <w:sz w:val="32"/>
          <w:szCs w:val="32"/>
          <w:shd w:val="clear" w:color="auto" w:fill="FFFFFF"/>
        </w:rPr>
        <w:t>（五）政府性基金预算财政拨款收支决算情况</w:t>
      </w:r>
    </w:p>
    <w:p>
      <w:pPr>
        <w:pStyle w:val="5"/>
        <w:widowControl w:val="0"/>
        <w:autoSpaceDN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本</w:t>
      </w:r>
      <w:r>
        <w:rPr>
          <w:rFonts w:hint="eastAsia" w:eastAsia="方正仿宋_GBK" w:cs="方正仿宋_GBK"/>
          <w:sz w:val="32"/>
          <w:szCs w:val="32"/>
          <w:shd w:val="clear" w:color="auto" w:fill="FFFFFF"/>
        </w:rPr>
        <w:t>单位</w:t>
      </w:r>
      <w:r>
        <w:rPr>
          <w:rFonts w:eastAsia="方正仿宋_GBK" w:cs="方正仿宋_GBK"/>
          <w:sz w:val="32"/>
          <w:szCs w:val="32"/>
          <w:shd w:val="clear" w:color="auto" w:fill="FFFFFF"/>
        </w:rPr>
        <w:t>2023年度无政府性基金预算</w:t>
      </w:r>
      <w:r>
        <w:rPr>
          <w:rFonts w:hint="eastAsia" w:eastAsia="方正仿宋_GBK" w:cs="方正仿宋_GBK"/>
          <w:sz w:val="32"/>
          <w:szCs w:val="32"/>
          <w:shd w:val="clear" w:color="auto" w:fill="FFFFFF"/>
        </w:rPr>
        <w:t>财政拨款</w:t>
      </w:r>
      <w:r>
        <w:rPr>
          <w:rFonts w:eastAsia="方正仿宋_GBK" w:cs="方正仿宋_GBK"/>
          <w:sz w:val="32"/>
          <w:szCs w:val="32"/>
          <w:shd w:val="clear" w:color="auto" w:fill="FFFFFF"/>
        </w:rPr>
        <w:t>收支。</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bCs/>
          <w:sz w:val="32"/>
          <w:szCs w:val="32"/>
          <w:shd w:val="clear" w:color="auto" w:fill="FFFFFF"/>
        </w:rPr>
        <w:t>（六）国有资本经营预算财政拨款支出决算情况</w:t>
      </w:r>
    </w:p>
    <w:p>
      <w:pPr>
        <w:pStyle w:val="5"/>
        <w:widowControl w:val="0"/>
        <w:autoSpaceDN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本</w:t>
      </w:r>
      <w:r>
        <w:rPr>
          <w:rFonts w:hint="eastAsia" w:eastAsia="方正仿宋_GBK" w:cs="方正仿宋_GBK"/>
          <w:sz w:val="32"/>
          <w:szCs w:val="32"/>
          <w:shd w:val="clear" w:color="auto" w:fill="FFFFFF"/>
        </w:rPr>
        <w:t>单位</w:t>
      </w:r>
      <w:r>
        <w:rPr>
          <w:rFonts w:eastAsia="方正仿宋_GBK" w:cs="方正仿宋_GBK"/>
          <w:sz w:val="32"/>
          <w:szCs w:val="32"/>
          <w:shd w:val="clear" w:color="auto" w:fill="FFFFFF"/>
        </w:rPr>
        <w:t>2023年度无国有资本经营预算财政拨款支出。</w:t>
      </w:r>
    </w:p>
    <w:p>
      <w:pPr>
        <w:pStyle w:val="5"/>
        <w:widowControl w:val="0"/>
        <w:shd w:val="clear" w:color="auto" w:fill="FFFFFF"/>
        <w:spacing w:before="0" w:beforeAutospacing="0" w:after="0" w:afterAutospacing="0"/>
        <w:ind w:firstLine="640" w:firstLineChars="200"/>
        <w:contextualSpacing/>
        <w:jc w:val="both"/>
        <w:rPr>
          <w:rStyle w:val="8"/>
          <w:rFonts w:ascii="方正黑体_GBK" w:eastAsia="方正黑体_GBK" w:cs="黑体"/>
          <w:b w:val="0"/>
          <w:sz w:val="32"/>
          <w:szCs w:val="32"/>
          <w:shd w:val="clear" w:color="auto" w:fill="FFFFFF"/>
        </w:rPr>
      </w:pPr>
      <w:r>
        <w:rPr>
          <w:rStyle w:val="8"/>
          <w:rFonts w:hint="eastAsia" w:ascii="方正黑体_GBK" w:eastAsia="方正黑体_GBK" w:cs="黑体"/>
          <w:b w:val="0"/>
          <w:sz w:val="32"/>
          <w:szCs w:val="32"/>
          <w:shd w:val="clear" w:color="auto" w:fill="FFFFFF"/>
        </w:rPr>
        <w:t>三、“三公”经费情况说明</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bCs/>
          <w:sz w:val="32"/>
          <w:szCs w:val="32"/>
          <w:shd w:val="clear" w:color="auto" w:fill="FFFFFF"/>
        </w:rPr>
        <w:t>（一）“三公”经费支出总体情况</w:t>
      </w:r>
    </w:p>
    <w:p>
      <w:pPr>
        <w:pStyle w:val="5"/>
        <w:widowControl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2023年度“三公”经费支出共计</w:t>
      </w:r>
      <w:r>
        <w:rPr>
          <w:rFonts w:eastAsia="方正仿宋_GBK" w:cs="方正仿宋_GBK"/>
          <w:sz w:val="32"/>
          <w:szCs w:val="32"/>
        </w:rPr>
        <w:t>11.32</w:t>
      </w:r>
      <w:r>
        <w:rPr>
          <w:rFonts w:eastAsia="方正仿宋_GBK" w:cs="方正仿宋_GBK"/>
          <w:sz w:val="32"/>
          <w:szCs w:val="32"/>
          <w:shd w:val="clear" w:color="auto" w:fill="FFFFFF"/>
        </w:rPr>
        <w:t>万元，较年初预算数减少6.68万元，下降37.11%，主要原因</w:t>
      </w:r>
      <w:r>
        <w:rPr>
          <w:rFonts w:hint="eastAsia" w:eastAsia="方正仿宋_GBK" w:cs="方正仿宋_GBK"/>
          <w:sz w:val="32"/>
          <w:szCs w:val="32"/>
          <w:shd w:val="clear" w:color="auto" w:fill="FFFFFF"/>
        </w:rPr>
        <w:t>：</w:t>
      </w:r>
      <w:r>
        <w:rPr>
          <w:rFonts w:eastAsia="方正仿宋_GBK" w:cs="方正仿宋_GBK"/>
          <w:sz w:val="32"/>
          <w:szCs w:val="32"/>
          <w:shd w:val="clear" w:color="auto" w:fill="FFFFFF"/>
        </w:rPr>
        <w:t>一是公车运行维护费减少5万元；二是降低了接待费餐标，接待费减少。较上年支出数减少5.45万元，下降32.50%，主要原因</w:t>
      </w:r>
      <w:r>
        <w:rPr>
          <w:rFonts w:hint="eastAsia" w:eastAsia="方正仿宋_GBK" w:cs="方正仿宋_GBK"/>
          <w:sz w:val="32"/>
          <w:szCs w:val="32"/>
          <w:shd w:val="clear" w:color="auto" w:fill="FFFFFF"/>
        </w:rPr>
        <w:t>：</w:t>
      </w:r>
      <w:r>
        <w:rPr>
          <w:rFonts w:eastAsia="方正仿宋_GBK" w:cs="方正仿宋_GBK"/>
          <w:sz w:val="32"/>
          <w:szCs w:val="32"/>
          <w:shd w:val="clear" w:color="auto" w:fill="FFFFFF"/>
        </w:rPr>
        <w:t>一是公车运行维护费减少5万元；二是降低了接待费餐标，接待费减少。</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bCs/>
          <w:sz w:val="32"/>
          <w:szCs w:val="32"/>
          <w:shd w:val="clear" w:color="auto" w:fill="FFFFFF"/>
        </w:rPr>
        <w:t>（二）“三公”经费分项支出情况</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Fonts w:eastAsia="方正仿宋_GBK" w:cs="方正仿宋_GBK"/>
          <w:sz w:val="32"/>
          <w:szCs w:val="32"/>
          <w:shd w:val="clear" w:color="auto" w:fill="FFFFFF"/>
        </w:rPr>
        <w:t>2023年度本单位因公出国（境）费用</w:t>
      </w:r>
      <w:r>
        <w:rPr>
          <w:rFonts w:eastAsia="方正仿宋_GBK" w:cs="方正仿宋_GBK"/>
          <w:sz w:val="32"/>
          <w:szCs w:val="32"/>
        </w:rPr>
        <w:t>0.00</w:t>
      </w:r>
      <w:r>
        <w:rPr>
          <w:rFonts w:eastAsia="方正仿宋_GBK" w:cs="方正仿宋_GBK"/>
          <w:sz w:val="32"/>
          <w:szCs w:val="32"/>
          <w:shd w:val="clear" w:color="auto" w:fill="FFFFFF"/>
        </w:rPr>
        <w:t>万元，较年初预算数无增减，与去年持平。</w:t>
      </w:r>
    </w:p>
    <w:p>
      <w:pPr>
        <w:pStyle w:val="5"/>
        <w:widowControl w:val="0"/>
        <w:spacing w:before="0" w:beforeAutospacing="0" w:after="0" w:afterAutospacing="0"/>
        <w:ind w:firstLine="616" w:firstLineChars="200"/>
        <w:contextualSpacing/>
        <w:jc w:val="both"/>
        <w:rPr>
          <w:rFonts w:eastAsia="方正仿宋_GBK" w:cs="方正仿宋_GBK"/>
          <w:spacing w:val="-6"/>
          <w:sz w:val="32"/>
          <w:szCs w:val="32"/>
        </w:rPr>
      </w:pPr>
      <w:r>
        <w:rPr>
          <w:rFonts w:eastAsia="方正仿宋_GBK" w:cs="方正仿宋_GBK"/>
          <w:spacing w:val="-6"/>
          <w:sz w:val="32"/>
          <w:szCs w:val="32"/>
          <w:shd w:val="clear" w:color="auto" w:fill="FFFFFF"/>
        </w:rPr>
        <w:t>公务车购置费</w:t>
      </w:r>
      <w:r>
        <w:rPr>
          <w:rFonts w:eastAsia="方正仿宋_GBK" w:cs="方正仿宋_GBK"/>
          <w:spacing w:val="-6"/>
          <w:sz w:val="32"/>
          <w:szCs w:val="32"/>
        </w:rPr>
        <w:t>0.00</w:t>
      </w:r>
      <w:r>
        <w:rPr>
          <w:rFonts w:eastAsia="方正仿宋_GBK" w:cs="方正仿宋_GBK"/>
          <w:spacing w:val="-6"/>
          <w:sz w:val="32"/>
          <w:szCs w:val="32"/>
          <w:shd w:val="clear" w:color="auto" w:fill="FFFFFF"/>
        </w:rPr>
        <w:t>万元，较年初预算数无增减，与去年持平。</w:t>
      </w:r>
    </w:p>
    <w:p>
      <w:pPr>
        <w:pStyle w:val="5"/>
        <w:widowControl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公务</w:t>
      </w:r>
      <w:r>
        <w:rPr>
          <w:rFonts w:hint="eastAsia" w:eastAsia="方正仿宋_GBK" w:cs="方正仿宋_GBK"/>
          <w:sz w:val="32"/>
          <w:szCs w:val="32"/>
          <w:shd w:val="clear" w:color="auto" w:fill="FFFFFF"/>
          <w:lang w:eastAsia="zh-CN"/>
        </w:rPr>
        <w:t>用</w:t>
      </w:r>
      <w:r>
        <w:rPr>
          <w:rFonts w:eastAsia="方正仿宋_GBK" w:cs="方正仿宋_GBK"/>
          <w:sz w:val="32"/>
          <w:szCs w:val="32"/>
          <w:shd w:val="clear" w:color="auto" w:fill="FFFFFF"/>
        </w:rPr>
        <w:t>车运行维护费</w:t>
      </w:r>
      <w:r>
        <w:rPr>
          <w:rFonts w:eastAsia="方正仿宋_GBK" w:cs="方正仿宋_GBK"/>
          <w:sz w:val="32"/>
          <w:szCs w:val="32"/>
        </w:rPr>
        <w:t>10.00</w:t>
      </w:r>
      <w:r>
        <w:rPr>
          <w:rFonts w:eastAsia="方正仿宋_GBK" w:cs="方正仿宋_GBK"/>
          <w:sz w:val="32"/>
          <w:szCs w:val="32"/>
          <w:shd w:val="clear" w:color="auto" w:fill="FFFFFF"/>
        </w:rPr>
        <w:t>万元，主要用于公务车辆的维修维护保养费、过路费、停车费、油费、洗车费等支出。费用支出较年初预算数减少5.00万元，下降33.33%，主要原因是财政年中压减公务</w:t>
      </w:r>
      <w:r>
        <w:rPr>
          <w:rFonts w:hint="eastAsia" w:eastAsia="方正仿宋_GBK" w:cs="方正仿宋_GBK"/>
          <w:sz w:val="32"/>
          <w:szCs w:val="32"/>
          <w:shd w:val="clear" w:color="auto" w:fill="FFFFFF"/>
          <w:lang w:eastAsia="zh-CN"/>
        </w:rPr>
        <w:t>用</w:t>
      </w:r>
      <w:bookmarkStart w:id="0" w:name="_GoBack"/>
      <w:bookmarkEnd w:id="0"/>
      <w:r>
        <w:rPr>
          <w:rFonts w:eastAsia="方正仿宋_GBK" w:cs="方正仿宋_GBK"/>
          <w:sz w:val="32"/>
          <w:szCs w:val="32"/>
          <w:shd w:val="clear" w:color="auto" w:fill="FFFFFF"/>
        </w:rPr>
        <w:t>车运行维护费支出5万元。较上年支出数减少4.97万元，下降33.20%，主要原因是财政年中压减公务用车运行维护费支出。</w:t>
      </w:r>
    </w:p>
    <w:p>
      <w:pPr>
        <w:pStyle w:val="5"/>
        <w:widowControl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Fonts w:eastAsia="方正仿宋_GBK" w:cs="方正仿宋_GBK"/>
          <w:sz w:val="32"/>
          <w:szCs w:val="32"/>
          <w:shd w:val="clear" w:color="auto" w:fill="FFFFFF"/>
        </w:rPr>
        <w:t>公务接待费</w:t>
      </w:r>
      <w:r>
        <w:rPr>
          <w:rFonts w:eastAsia="方正仿宋_GBK" w:cs="方正仿宋_GBK"/>
          <w:sz w:val="32"/>
          <w:szCs w:val="32"/>
        </w:rPr>
        <w:t>1.32</w:t>
      </w:r>
      <w:r>
        <w:rPr>
          <w:rFonts w:eastAsia="方正仿宋_GBK" w:cs="方正仿宋_GBK"/>
          <w:sz w:val="32"/>
          <w:szCs w:val="32"/>
          <w:shd w:val="clear" w:color="auto" w:fill="FFFFFF"/>
        </w:rPr>
        <w:t>万元，主要用于接待上级部门督查、检查、调研及区县间交叉检查。费用支出较年初预算数减少1.68万元，下降56.00%，主要原因施行中央八项规定，降低了接待费餐标，接待费减少。较上年支出数减少0.48万元，下降26.67%，主要原因是降低了接待费餐标，接待费减少。</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bCs/>
          <w:sz w:val="32"/>
          <w:szCs w:val="32"/>
          <w:shd w:val="clear" w:color="auto" w:fill="FFFFFF"/>
        </w:rPr>
        <w:t>（三）“三公”经费实物量情况</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Fonts w:eastAsia="方正仿宋_GBK" w:cs="方正仿宋_GBK"/>
          <w:sz w:val="32"/>
          <w:szCs w:val="32"/>
          <w:shd w:val="clear" w:color="auto" w:fill="FFFFFF"/>
        </w:rPr>
        <w:t xml:space="preserve"> 2023年度本单位因公出国（境）共计</w:t>
      </w:r>
      <w:r>
        <w:rPr>
          <w:rFonts w:eastAsia="方正仿宋_GBK" w:cs="方正仿宋_GBK"/>
          <w:sz w:val="32"/>
          <w:szCs w:val="32"/>
        </w:rPr>
        <w:t>0</w:t>
      </w:r>
      <w:r>
        <w:rPr>
          <w:rFonts w:eastAsia="方正仿宋_GBK" w:cs="方正仿宋_GBK"/>
          <w:sz w:val="32"/>
          <w:szCs w:val="32"/>
          <w:shd w:val="clear" w:color="auto" w:fill="FFFFFF"/>
        </w:rPr>
        <w:t>个团组，</w:t>
      </w:r>
      <w:r>
        <w:rPr>
          <w:rFonts w:eastAsia="方正仿宋_GBK" w:cs="方正仿宋_GBK"/>
          <w:sz w:val="32"/>
          <w:szCs w:val="32"/>
        </w:rPr>
        <w:t>0</w:t>
      </w:r>
      <w:r>
        <w:rPr>
          <w:rFonts w:eastAsia="方正仿宋_GBK" w:cs="方正仿宋_GBK"/>
          <w:sz w:val="32"/>
          <w:szCs w:val="32"/>
          <w:shd w:val="clear" w:color="auto" w:fill="FFFFFF"/>
        </w:rPr>
        <w:t>人；公务用车购置</w:t>
      </w:r>
      <w:r>
        <w:rPr>
          <w:rFonts w:eastAsia="方正仿宋_GBK" w:cs="方正仿宋_GBK"/>
          <w:sz w:val="32"/>
          <w:szCs w:val="32"/>
        </w:rPr>
        <w:t>0</w:t>
      </w:r>
      <w:r>
        <w:rPr>
          <w:rFonts w:eastAsia="方正仿宋_GBK" w:cs="方正仿宋_GBK"/>
          <w:sz w:val="32"/>
          <w:szCs w:val="32"/>
          <w:shd w:val="clear" w:color="auto" w:fill="FFFFFF"/>
        </w:rPr>
        <w:t>辆，公务车保有量为</w:t>
      </w:r>
      <w:r>
        <w:rPr>
          <w:rFonts w:eastAsia="方正仿宋_GBK" w:cs="方正仿宋_GBK"/>
          <w:sz w:val="32"/>
          <w:szCs w:val="32"/>
        </w:rPr>
        <w:t>3</w:t>
      </w:r>
      <w:r>
        <w:rPr>
          <w:rFonts w:eastAsia="方正仿宋_GBK" w:cs="方正仿宋_GBK"/>
          <w:sz w:val="32"/>
          <w:szCs w:val="32"/>
          <w:shd w:val="clear" w:color="auto" w:fill="FFFFFF"/>
        </w:rPr>
        <w:t>辆；国内公务接待</w:t>
      </w:r>
      <w:r>
        <w:rPr>
          <w:rFonts w:eastAsia="方正仿宋_GBK" w:cs="方正仿宋_GBK"/>
          <w:sz w:val="32"/>
          <w:szCs w:val="32"/>
        </w:rPr>
        <w:t>21</w:t>
      </w:r>
      <w:r>
        <w:rPr>
          <w:rFonts w:eastAsia="方正仿宋_GBK" w:cs="方正仿宋_GBK"/>
          <w:sz w:val="32"/>
          <w:szCs w:val="32"/>
          <w:shd w:val="clear" w:color="auto" w:fill="FFFFFF"/>
        </w:rPr>
        <w:t>批次</w:t>
      </w:r>
      <w:r>
        <w:rPr>
          <w:rFonts w:eastAsia="方正仿宋_GBK" w:cs="方正仿宋_GBK"/>
          <w:sz w:val="32"/>
          <w:szCs w:val="32"/>
        </w:rPr>
        <w:t>140</w:t>
      </w:r>
      <w:r>
        <w:rPr>
          <w:rFonts w:eastAsia="方正仿宋_GBK" w:cs="方正仿宋_GBK"/>
          <w:sz w:val="32"/>
          <w:szCs w:val="32"/>
          <w:shd w:val="clear" w:color="auto" w:fill="FFFFFF"/>
        </w:rPr>
        <w:t>人，其中：国内外事接待</w:t>
      </w:r>
      <w:r>
        <w:rPr>
          <w:rFonts w:eastAsia="方正仿宋_GBK" w:cs="方正仿宋_GBK"/>
          <w:sz w:val="32"/>
          <w:szCs w:val="32"/>
        </w:rPr>
        <w:t>0</w:t>
      </w:r>
      <w:r>
        <w:rPr>
          <w:rFonts w:eastAsia="方正仿宋_GBK" w:cs="方正仿宋_GBK"/>
          <w:sz w:val="32"/>
          <w:szCs w:val="32"/>
          <w:shd w:val="clear" w:color="auto" w:fill="FFFFFF"/>
        </w:rPr>
        <w:t>批次，</w:t>
      </w:r>
      <w:r>
        <w:rPr>
          <w:rFonts w:eastAsia="方正仿宋_GBK" w:cs="方正仿宋_GBK"/>
          <w:sz w:val="32"/>
          <w:szCs w:val="32"/>
        </w:rPr>
        <w:t>0</w:t>
      </w:r>
      <w:r>
        <w:rPr>
          <w:rFonts w:eastAsia="方正仿宋_GBK" w:cs="方正仿宋_GBK"/>
          <w:sz w:val="32"/>
          <w:szCs w:val="32"/>
          <w:shd w:val="clear" w:color="auto" w:fill="FFFFFF"/>
        </w:rPr>
        <w:t>人；国（境）外公务接待</w:t>
      </w:r>
      <w:r>
        <w:rPr>
          <w:rFonts w:eastAsia="方正仿宋_GBK" w:cs="方正仿宋_GBK"/>
          <w:sz w:val="32"/>
          <w:szCs w:val="32"/>
        </w:rPr>
        <w:t>0</w:t>
      </w:r>
      <w:r>
        <w:rPr>
          <w:rFonts w:eastAsia="方正仿宋_GBK" w:cs="方正仿宋_GBK"/>
          <w:sz w:val="32"/>
          <w:szCs w:val="32"/>
          <w:shd w:val="clear" w:color="auto" w:fill="FFFFFF"/>
        </w:rPr>
        <w:t>批次，</w:t>
      </w:r>
      <w:r>
        <w:rPr>
          <w:rFonts w:eastAsia="方正仿宋_GBK" w:cs="方正仿宋_GBK"/>
          <w:sz w:val="32"/>
          <w:szCs w:val="32"/>
        </w:rPr>
        <w:t>0</w:t>
      </w:r>
      <w:r>
        <w:rPr>
          <w:rFonts w:eastAsia="方正仿宋_GBK" w:cs="方正仿宋_GBK"/>
          <w:sz w:val="32"/>
          <w:szCs w:val="32"/>
          <w:shd w:val="clear" w:color="auto" w:fill="FFFFFF"/>
        </w:rPr>
        <w:t>人。2023年本</w:t>
      </w:r>
      <w:r>
        <w:rPr>
          <w:rFonts w:hint="eastAsia" w:eastAsia="方正仿宋_GBK" w:cs="方正仿宋_GBK"/>
          <w:sz w:val="32"/>
          <w:szCs w:val="32"/>
          <w:shd w:val="clear" w:color="auto" w:fill="FFFFFF"/>
        </w:rPr>
        <w:t>单位</w:t>
      </w:r>
      <w:r>
        <w:rPr>
          <w:rFonts w:eastAsia="方正仿宋_GBK" w:cs="方正仿宋_GBK"/>
          <w:sz w:val="32"/>
          <w:szCs w:val="32"/>
          <w:shd w:val="clear" w:color="auto" w:fill="FFFFFF"/>
        </w:rPr>
        <w:t>人均接待费</w:t>
      </w:r>
      <w:r>
        <w:rPr>
          <w:rFonts w:eastAsia="方正仿宋_GBK" w:cs="方正仿宋_GBK"/>
          <w:sz w:val="32"/>
          <w:szCs w:val="32"/>
        </w:rPr>
        <w:t>94.61</w:t>
      </w:r>
      <w:r>
        <w:rPr>
          <w:rFonts w:eastAsia="方正仿宋_GBK" w:cs="方正仿宋_GBK"/>
          <w:sz w:val="32"/>
          <w:szCs w:val="32"/>
          <w:shd w:val="clear" w:color="auto" w:fill="FFFFFF"/>
        </w:rPr>
        <w:t>元，车均维护费</w:t>
      </w:r>
      <w:r>
        <w:rPr>
          <w:rFonts w:eastAsia="方正仿宋_GBK" w:cs="方正仿宋_GBK"/>
          <w:sz w:val="32"/>
          <w:szCs w:val="32"/>
        </w:rPr>
        <w:t>3.33</w:t>
      </w:r>
      <w:r>
        <w:rPr>
          <w:rFonts w:eastAsia="方正仿宋_GBK" w:cs="方正仿宋_GBK"/>
          <w:sz w:val="32"/>
          <w:szCs w:val="32"/>
          <w:shd w:val="clear" w:color="auto" w:fill="FFFFFF"/>
        </w:rPr>
        <w:t>万元。</w:t>
      </w:r>
    </w:p>
    <w:p>
      <w:pPr>
        <w:pStyle w:val="5"/>
        <w:widowControl w:val="0"/>
        <w:shd w:val="clear" w:color="auto" w:fill="FFFFFF"/>
        <w:spacing w:before="0" w:beforeAutospacing="0" w:after="0" w:afterAutospacing="0"/>
        <w:ind w:firstLine="640" w:firstLineChars="200"/>
        <w:contextualSpacing/>
        <w:jc w:val="both"/>
        <w:rPr>
          <w:rStyle w:val="8"/>
          <w:rFonts w:ascii="方正黑体_GBK" w:eastAsia="方正黑体_GBK" w:cs="黑体"/>
          <w:b w:val="0"/>
          <w:sz w:val="32"/>
          <w:szCs w:val="32"/>
          <w:shd w:val="clear" w:color="auto" w:fill="FFFFFF"/>
        </w:rPr>
      </w:pPr>
      <w:r>
        <w:rPr>
          <w:rStyle w:val="8"/>
          <w:rFonts w:hint="eastAsia" w:ascii="方正黑体_GBK" w:eastAsia="方正黑体_GBK" w:cs="黑体"/>
          <w:b w:val="0"/>
          <w:sz w:val="32"/>
          <w:szCs w:val="32"/>
          <w:shd w:val="clear" w:color="auto" w:fill="FFFFFF"/>
        </w:rPr>
        <w:t>四、其他需要说明的事项</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hint="eastAsia" w:ascii="方正楷体_GBK" w:eastAsia="方正楷体_GBK" w:cs="楷体"/>
          <w:b w:val="0"/>
          <w:bCs/>
          <w:sz w:val="32"/>
          <w:szCs w:val="32"/>
          <w:shd w:val="clear" w:color="auto" w:fill="FFFFFF"/>
        </w:rPr>
        <w:t>（一）机关运行经费情况</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Fonts w:eastAsia="方正仿宋_GBK" w:cs="方正仿宋_GBK"/>
          <w:sz w:val="32"/>
          <w:szCs w:val="32"/>
        </w:rPr>
        <w:t>按照</w:t>
      </w:r>
      <w:r>
        <w:rPr>
          <w:rFonts w:hint="eastAsia" w:eastAsia="方正仿宋_GBK" w:cs="方正仿宋_GBK"/>
          <w:sz w:val="32"/>
          <w:szCs w:val="32"/>
        </w:rPr>
        <w:t>单位</w:t>
      </w:r>
      <w:r>
        <w:rPr>
          <w:rFonts w:eastAsia="方正仿宋_GBK" w:cs="方正仿宋_GBK"/>
          <w:sz w:val="32"/>
          <w:szCs w:val="32"/>
        </w:rPr>
        <w:t>决算列报口径，我单位不在机关运行经费统计范围之内。</w:t>
      </w:r>
    </w:p>
    <w:p>
      <w:pPr>
        <w:pStyle w:val="5"/>
        <w:widowControl w:val="0"/>
        <w:spacing w:before="0" w:beforeAutospacing="0" w:after="0" w:afterAutospacing="0"/>
        <w:ind w:firstLine="640" w:firstLineChars="200"/>
        <w:contextualSpacing/>
        <w:jc w:val="both"/>
        <w:rPr>
          <w:rFonts w:eastAsia="方正仿宋_GBK" w:cs="楷体"/>
          <w:bCs/>
          <w:sz w:val="32"/>
          <w:szCs w:val="32"/>
          <w:shd w:val="clear" w:color="auto" w:fill="FFFFFF"/>
        </w:rPr>
      </w:pPr>
      <w:r>
        <w:rPr>
          <w:rFonts w:eastAsia="方正仿宋_GBK" w:cs="方正仿宋_GBK"/>
          <w:sz w:val="32"/>
          <w:szCs w:val="32"/>
          <w:shd w:val="clear" w:color="auto" w:fill="FFFFFF"/>
        </w:rPr>
        <w:t>本年度会议费支出</w:t>
      </w:r>
      <w:r>
        <w:rPr>
          <w:rFonts w:eastAsia="方正仿宋_GBK" w:cs="方正仿宋_GBK"/>
          <w:sz w:val="32"/>
          <w:szCs w:val="32"/>
        </w:rPr>
        <w:t>2.14</w:t>
      </w:r>
      <w:r>
        <w:rPr>
          <w:rFonts w:eastAsia="方正仿宋_GBK" w:cs="方正仿宋_GBK"/>
          <w:sz w:val="32"/>
          <w:szCs w:val="32"/>
          <w:shd w:val="clear" w:color="auto" w:fill="FFFFFF"/>
        </w:rPr>
        <w:t>万元，较上年决算数增加1.91万元，增长830.43%，主要原因是今年自然灾害应急响应增加，临灾会商增加，会议费增加。本年度培训费支出</w:t>
      </w:r>
      <w:r>
        <w:rPr>
          <w:rFonts w:eastAsia="方正仿宋_GBK" w:cs="方正仿宋_GBK"/>
          <w:sz w:val="32"/>
          <w:szCs w:val="32"/>
        </w:rPr>
        <w:t>0.93</w:t>
      </w:r>
      <w:r>
        <w:rPr>
          <w:rFonts w:eastAsia="方正仿宋_GBK" w:cs="方正仿宋_GBK"/>
          <w:sz w:val="32"/>
          <w:szCs w:val="32"/>
          <w:shd w:val="clear" w:color="auto" w:fill="FFFFFF"/>
        </w:rPr>
        <w:t>万元，较上年决算数减少2.77万元，下降74.86%，主要原因是今年培训采取线上网络培训方式，培训费减少。</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sz w:val="32"/>
          <w:szCs w:val="32"/>
          <w:shd w:val="clear" w:color="auto" w:fill="FFFFFF"/>
        </w:rPr>
      </w:pPr>
      <w:r>
        <w:rPr>
          <w:rStyle w:val="8"/>
          <w:rFonts w:hint="eastAsia" w:ascii="方正楷体_GBK" w:eastAsia="方正楷体_GBK" w:cs="楷体"/>
          <w:b w:val="0"/>
          <w:sz w:val="32"/>
          <w:szCs w:val="32"/>
          <w:shd w:val="clear" w:color="auto" w:fill="FFFFFF"/>
        </w:rPr>
        <w:t>（二）国有资产占用情况说明</w:t>
      </w:r>
    </w:p>
    <w:p>
      <w:pPr>
        <w:pStyle w:val="5"/>
        <w:widowControl w:val="0"/>
        <w:autoSpaceDN w:val="0"/>
        <w:spacing w:before="0" w:beforeAutospacing="0" w:after="0" w:afterAutospacing="0"/>
        <w:ind w:firstLine="640" w:firstLineChars="200"/>
        <w:jc w:val="both"/>
        <w:rPr>
          <w:rFonts w:eastAsia="方正仿宋_GBK" w:cs="方正楷体_GBK"/>
          <w:kern w:val="2"/>
          <w:sz w:val="30"/>
          <w:szCs w:val="30"/>
        </w:rPr>
      </w:pPr>
      <w:r>
        <w:rPr>
          <w:rFonts w:eastAsia="方正仿宋_GBK" w:cs="方正仿宋_GBK"/>
          <w:sz w:val="32"/>
          <w:szCs w:val="32"/>
          <w:shd w:val="clear" w:color="auto" w:fill="FFFFFF"/>
        </w:rPr>
        <w:t>截至2023年12月31日，本单位共有车辆</w:t>
      </w:r>
      <w:r>
        <w:rPr>
          <w:rFonts w:eastAsia="方正仿宋_GBK" w:cs="方正仿宋_GBK"/>
          <w:sz w:val="32"/>
          <w:szCs w:val="32"/>
        </w:rPr>
        <w:t>3</w:t>
      </w:r>
      <w:r>
        <w:rPr>
          <w:rFonts w:eastAsia="方正仿宋_GBK" w:cs="方正仿宋_GBK"/>
          <w:sz w:val="32"/>
          <w:szCs w:val="32"/>
          <w:shd w:val="clear" w:color="auto" w:fill="FFFFFF"/>
        </w:rPr>
        <w:t>辆，其中，应急保障用车</w:t>
      </w:r>
      <w:r>
        <w:rPr>
          <w:rFonts w:eastAsia="方正仿宋_GBK" w:cs="方正仿宋_GBK"/>
          <w:sz w:val="32"/>
          <w:szCs w:val="32"/>
        </w:rPr>
        <w:t>3</w:t>
      </w:r>
      <w:r>
        <w:rPr>
          <w:rFonts w:eastAsia="方正仿宋_GBK" w:cs="方正仿宋_GBK"/>
          <w:sz w:val="32"/>
          <w:szCs w:val="32"/>
          <w:shd w:val="clear" w:color="auto" w:fill="FFFFFF"/>
        </w:rPr>
        <w:t>辆。单价100万元（含）以上专用设备</w:t>
      </w:r>
      <w:r>
        <w:rPr>
          <w:rFonts w:eastAsia="方正仿宋_GBK" w:cs="方正仿宋_GBK"/>
          <w:sz w:val="32"/>
          <w:szCs w:val="32"/>
        </w:rPr>
        <w:t>0</w:t>
      </w:r>
      <w:r>
        <w:rPr>
          <w:rFonts w:eastAsia="方正仿宋_GBK" w:cs="方正仿宋_GBK"/>
          <w:sz w:val="32"/>
          <w:szCs w:val="32"/>
          <w:shd w:val="clear" w:color="auto" w:fill="FFFFFF"/>
        </w:rPr>
        <w:t>台（套）。</w:t>
      </w:r>
    </w:p>
    <w:p>
      <w:pPr>
        <w:pStyle w:val="5"/>
        <w:widowControl w:val="0"/>
        <w:shd w:val="clear" w:color="auto" w:fill="FFFFFF"/>
        <w:spacing w:before="0" w:beforeAutospacing="0" w:after="0" w:afterAutospacing="0"/>
        <w:ind w:firstLine="640" w:firstLineChars="200"/>
        <w:contextualSpacing/>
        <w:jc w:val="both"/>
        <w:rPr>
          <w:rStyle w:val="8"/>
          <w:rFonts w:ascii="方正楷体_GBK" w:eastAsia="方正楷体_GBK" w:cs="楷体"/>
          <w:b w:val="0"/>
          <w:bCs/>
          <w:sz w:val="32"/>
          <w:szCs w:val="32"/>
          <w:shd w:val="clear" w:color="auto" w:fill="FFFFFF"/>
        </w:rPr>
      </w:pPr>
      <w:r>
        <w:rPr>
          <w:rStyle w:val="8"/>
          <w:rFonts w:ascii="方正楷体_GBK" w:eastAsia="方正楷体_GBK" w:cs="楷体"/>
          <w:b w:val="0"/>
          <w:bCs/>
          <w:sz w:val="32"/>
          <w:szCs w:val="32"/>
          <w:shd w:val="clear" w:color="auto" w:fill="FFFFFF"/>
        </w:rPr>
        <w:t>（三）</w:t>
      </w:r>
      <w:r>
        <w:rPr>
          <w:rStyle w:val="8"/>
          <w:rFonts w:hint="eastAsia" w:ascii="方正楷体_GBK" w:eastAsia="方正楷体_GBK" w:cs="楷体"/>
          <w:b w:val="0"/>
          <w:bCs/>
          <w:sz w:val="32"/>
          <w:szCs w:val="32"/>
          <w:shd w:val="clear" w:color="auto" w:fill="FFFFFF"/>
        </w:rPr>
        <w:t>政府采购支出情况说明</w:t>
      </w:r>
    </w:p>
    <w:p>
      <w:pPr>
        <w:pStyle w:val="5"/>
        <w:widowControl w:val="0"/>
        <w:spacing w:before="0" w:beforeAutospacing="0" w:after="0" w:afterAutospacing="0"/>
        <w:ind w:firstLine="640" w:firstLineChars="200"/>
        <w:contextualSpacing/>
        <w:jc w:val="both"/>
        <w:rPr>
          <w:rFonts w:eastAsia="方正仿宋_GBK" w:cs="方正仿宋_GBK"/>
          <w:color w:val="FF0000"/>
          <w:sz w:val="32"/>
          <w:szCs w:val="32"/>
          <w:shd w:val="clear" w:color="auto" w:fill="FFFFFF"/>
        </w:rPr>
      </w:pPr>
      <w:r>
        <w:rPr>
          <w:rFonts w:eastAsia="方正仿宋_GBK" w:cs="方正仿宋_GBK"/>
          <w:sz w:val="32"/>
          <w:szCs w:val="32"/>
          <w:shd w:val="clear" w:color="auto" w:fill="FFFFFF"/>
        </w:rPr>
        <w:t>  2023年度本单位政府采购支出总额</w:t>
      </w:r>
      <w:r>
        <w:rPr>
          <w:rFonts w:eastAsia="方正仿宋_GBK" w:cs="方正仿宋_GBK"/>
          <w:sz w:val="32"/>
          <w:szCs w:val="32"/>
        </w:rPr>
        <w:t>2.39</w:t>
      </w:r>
      <w:r>
        <w:rPr>
          <w:rFonts w:eastAsia="方正仿宋_GBK" w:cs="方正仿宋_GBK"/>
          <w:sz w:val="32"/>
          <w:szCs w:val="32"/>
          <w:shd w:val="clear" w:color="auto" w:fill="FFFFFF"/>
        </w:rPr>
        <w:t>万元，其中：政府采购货物支出</w:t>
      </w:r>
      <w:r>
        <w:rPr>
          <w:rFonts w:eastAsia="方正仿宋_GBK" w:cs="方正仿宋_GBK"/>
          <w:sz w:val="32"/>
          <w:szCs w:val="32"/>
        </w:rPr>
        <w:t>2.39</w:t>
      </w:r>
      <w:r>
        <w:rPr>
          <w:rFonts w:eastAsia="方正仿宋_GBK" w:cs="方正仿宋_GBK"/>
          <w:sz w:val="32"/>
          <w:szCs w:val="32"/>
          <w:shd w:val="clear" w:color="auto" w:fill="FFFFFF"/>
        </w:rPr>
        <w:t>万元。授予中小企业合同金额</w:t>
      </w:r>
      <w:r>
        <w:rPr>
          <w:rFonts w:eastAsia="方正仿宋_GBK" w:cs="方正仿宋_GBK"/>
          <w:sz w:val="32"/>
          <w:szCs w:val="32"/>
        </w:rPr>
        <w:t>2.39万</w:t>
      </w:r>
      <w:r>
        <w:rPr>
          <w:rFonts w:eastAsia="方正仿宋_GBK" w:cs="方正仿宋_GBK"/>
          <w:sz w:val="32"/>
          <w:szCs w:val="32"/>
          <w:shd w:val="clear" w:color="auto" w:fill="FFFFFF"/>
        </w:rPr>
        <w:t>元，占政府采购支出总额的</w:t>
      </w:r>
      <w:r>
        <w:rPr>
          <w:rFonts w:eastAsia="方正仿宋_GBK" w:cs="方正仿宋_GBK"/>
          <w:sz w:val="32"/>
          <w:szCs w:val="32"/>
        </w:rPr>
        <w:t>100.00</w:t>
      </w:r>
      <w:r>
        <w:rPr>
          <w:rFonts w:eastAsia="方正仿宋_GBK" w:cs="方正仿宋_GBK"/>
          <w:sz w:val="32"/>
          <w:szCs w:val="32"/>
          <w:shd w:val="clear" w:color="auto" w:fill="FFFFFF"/>
        </w:rPr>
        <w:t>%，其中：授予小微企业合同金额</w:t>
      </w:r>
      <w:r>
        <w:rPr>
          <w:rFonts w:eastAsia="方正仿宋_GBK" w:cs="方正仿宋_GBK"/>
          <w:sz w:val="32"/>
          <w:szCs w:val="32"/>
        </w:rPr>
        <w:t>2.39</w:t>
      </w:r>
      <w:r>
        <w:rPr>
          <w:rFonts w:eastAsia="方正仿宋_GBK" w:cs="方正仿宋_GBK"/>
          <w:sz w:val="32"/>
          <w:szCs w:val="32"/>
          <w:shd w:val="clear" w:color="auto" w:fill="FFFFFF"/>
        </w:rPr>
        <w:t>万元，占政府采购支出总额的</w:t>
      </w:r>
      <w:r>
        <w:rPr>
          <w:rFonts w:eastAsia="方正仿宋_GBK" w:cs="方正仿宋_GBK"/>
          <w:sz w:val="32"/>
          <w:szCs w:val="32"/>
        </w:rPr>
        <w:t>100.00</w:t>
      </w:r>
      <w:r>
        <w:rPr>
          <w:rFonts w:eastAsia="方正仿宋_GBK" w:cs="方正仿宋_GBK"/>
          <w:sz w:val="32"/>
          <w:szCs w:val="32"/>
          <w:shd w:val="clear" w:color="auto" w:fill="FFFFFF"/>
        </w:rPr>
        <w:t xml:space="preserve"> %。主要用于采购单位办公用品。</w:t>
      </w:r>
    </w:p>
    <w:p>
      <w:pPr>
        <w:pStyle w:val="5"/>
        <w:widowControl w:val="0"/>
        <w:shd w:val="clear" w:color="auto" w:fill="FFFFFF"/>
        <w:spacing w:before="0" w:beforeAutospacing="0" w:after="0" w:afterAutospacing="0"/>
        <w:ind w:firstLine="640" w:firstLineChars="200"/>
        <w:contextualSpacing/>
        <w:jc w:val="both"/>
        <w:rPr>
          <w:rStyle w:val="8"/>
          <w:rFonts w:ascii="方正黑体_GBK" w:eastAsia="方正黑体_GBK" w:cs="黑体"/>
          <w:b w:val="0"/>
          <w:sz w:val="32"/>
          <w:szCs w:val="32"/>
          <w:shd w:val="clear" w:color="auto" w:fill="FFFFFF"/>
        </w:rPr>
      </w:pPr>
      <w:r>
        <w:rPr>
          <w:rStyle w:val="8"/>
          <w:rFonts w:hint="eastAsia" w:ascii="方正黑体_GBK" w:eastAsia="方正黑体_GBK" w:cs="黑体"/>
          <w:b w:val="0"/>
          <w:sz w:val="32"/>
          <w:szCs w:val="32"/>
          <w:shd w:val="clear" w:color="auto" w:fill="FFFFFF"/>
        </w:rPr>
        <w:t>五、预算绩效管理情况</w:t>
      </w:r>
    </w:p>
    <w:p>
      <w:pPr>
        <w:pStyle w:val="5"/>
        <w:widowControl w:val="0"/>
        <w:autoSpaceDN w:val="0"/>
        <w:adjustRightInd w:val="0"/>
        <w:spacing w:before="0" w:beforeAutospacing="0" w:after="0" w:afterAutospacing="0"/>
        <w:ind w:firstLine="640" w:firstLineChars="200"/>
        <w:jc w:val="both"/>
        <w:rPr>
          <w:rFonts w:ascii="方正楷体_GBK" w:eastAsia="方正楷体_GBK" w:cs="方正楷体_GBK"/>
        </w:rPr>
      </w:pPr>
      <w:r>
        <w:rPr>
          <w:rStyle w:val="14"/>
          <w:rFonts w:hint="eastAsia" w:ascii="方正楷体_GBK" w:eastAsia="方正楷体_GBK" w:cs="方正楷体_GBK"/>
          <w:b w:val="0"/>
          <w:kern w:val="2"/>
          <w:sz w:val="32"/>
          <w:szCs w:val="32"/>
          <w:shd w:val="clear" w:color="auto" w:fill="FFFFFF"/>
        </w:rPr>
        <w:t>（一）预算绩效管理工作开展情况</w:t>
      </w:r>
    </w:p>
    <w:p>
      <w:pPr>
        <w:pStyle w:val="5"/>
        <w:widowControl w:val="0"/>
        <w:autoSpaceDN w:val="0"/>
        <w:adjustRightInd w:val="0"/>
        <w:spacing w:before="0" w:beforeAutospacing="0" w:after="0" w:afterAutospacing="0"/>
        <w:ind w:firstLine="640" w:firstLineChars="200"/>
        <w:jc w:val="both"/>
        <w:rPr>
          <w:rFonts w:eastAsia="方正仿宋_GBK" w:cs="方正仿宋_GBK"/>
          <w:sz w:val="32"/>
          <w:szCs w:val="32"/>
          <w:shd w:val="clear" w:color="auto" w:fill="FFFFFF"/>
        </w:rPr>
      </w:pPr>
      <w:r>
        <w:rPr>
          <w:rFonts w:eastAsia="方正仿宋_GBK" w:cs="方正仿宋_GBK"/>
          <w:sz w:val="32"/>
          <w:szCs w:val="32"/>
          <w:shd w:val="clear" w:color="auto" w:fill="FFFFFF"/>
        </w:rPr>
        <w:t>根据预算绩效管理要求，我单位对14个项目开展了绩效自评，其中，以填报目标自评表形式开展自评14项，涉及资金1539.26万元。</w:t>
      </w:r>
    </w:p>
    <w:p>
      <w:pPr>
        <w:pStyle w:val="5"/>
        <w:widowControl w:val="0"/>
        <w:autoSpaceDN w:val="0"/>
        <w:adjustRightInd w:val="0"/>
        <w:spacing w:before="0" w:beforeAutospacing="0" w:after="0" w:afterAutospacing="0"/>
        <w:ind w:firstLine="640" w:firstLineChars="200"/>
        <w:jc w:val="both"/>
        <w:rPr>
          <w:rStyle w:val="14"/>
          <w:rFonts w:ascii="方正楷体_GBK" w:eastAsia="方正楷体_GBK" w:cs="方正楷体_GBK"/>
          <w:b w:val="0"/>
          <w:kern w:val="2"/>
          <w:sz w:val="32"/>
          <w:szCs w:val="32"/>
          <w:shd w:val="clear" w:color="auto" w:fill="FFFFFF"/>
        </w:rPr>
      </w:pPr>
      <w:r>
        <w:rPr>
          <w:rStyle w:val="14"/>
          <w:rFonts w:hint="eastAsia" w:ascii="方正楷体_GBK" w:eastAsia="方正楷体_GBK" w:cs="方正楷体_GBK"/>
          <w:b w:val="0"/>
          <w:kern w:val="2"/>
          <w:sz w:val="32"/>
          <w:szCs w:val="32"/>
          <w:shd w:val="clear" w:color="auto" w:fill="FFFFFF"/>
        </w:rPr>
        <w:t>（二）绩效自评结果</w:t>
      </w:r>
    </w:p>
    <w:p>
      <w:pPr>
        <w:pStyle w:val="5"/>
        <w:widowControl w:val="0"/>
        <w:autoSpaceDN w:val="0"/>
        <w:adjustRightInd w:val="0"/>
        <w:spacing w:before="0" w:beforeAutospacing="0" w:after="0" w:afterAutospacing="0" w:line="579" w:lineRule="exact"/>
        <w:ind w:firstLine="643" w:firstLineChars="200"/>
        <w:jc w:val="both"/>
        <w:rPr>
          <w:rFonts w:eastAsia="方正仿宋_GBK" w:cs="方正仿宋_GBK"/>
          <w:b/>
          <w:bCs/>
          <w:sz w:val="32"/>
          <w:szCs w:val="32"/>
        </w:rPr>
      </w:pPr>
      <w:r>
        <w:rPr>
          <w:rFonts w:eastAsia="方正仿宋_GBK" w:cs="方正仿宋_GBK"/>
          <w:b/>
          <w:bCs/>
          <w:sz w:val="32"/>
          <w:szCs w:val="32"/>
        </w:rPr>
        <w:t>1. 绩效目标自评表</w:t>
      </w:r>
    </w:p>
    <w:p>
      <w:pPr>
        <w:pStyle w:val="5"/>
        <w:widowControl w:val="0"/>
        <w:tabs>
          <w:tab w:val="center" w:pos="4153"/>
          <w:tab w:val="left" w:pos="7275"/>
        </w:tabs>
        <w:autoSpaceDN w:val="0"/>
        <w:spacing w:before="0" w:beforeAutospacing="0" w:after="0" w:afterAutospacing="0" w:line="579" w:lineRule="exact"/>
        <w:jc w:val="center"/>
        <w:rPr>
          <w:rFonts w:ascii="方正黑体_GBK" w:eastAsia="方正黑体_GBK" w:cs="方正黑体_GBK"/>
          <w:color w:val="000000"/>
          <w:sz w:val="36"/>
          <w:szCs w:val="36"/>
        </w:rPr>
      </w:pPr>
      <w:r>
        <w:rPr>
          <w:rFonts w:ascii="方正黑体_GBK" w:eastAsia="方正黑体_GBK" w:cs="方正黑体_GBK"/>
          <w:color w:val="000000"/>
          <w:sz w:val="36"/>
          <w:szCs w:val="36"/>
        </w:rPr>
        <w:t>2023年度项目绩效自评表</w:t>
      </w:r>
    </w:p>
    <w:tbl>
      <w:tblPr>
        <w:tblStyle w:val="6"/>
        <w:tblW w:w="10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464"/>
        <w:gridCol w:w="225"/>
        <w:gridCol w:w="850"/>
        <w:gridCol w:w="851"/>
        <w:gridCol w:w="566"/>
        <w:gridCol w:w="142"/>
        <w:gridCol w:w="851"/>
        <w:gridCol w:w="709"/>
        <w:gridCol w:w="141"/>
        <w:gridCol w:w="851"/>
        <w:gridCol w:w="850"/>
        <w:gridCol w:w="851"/>
        <w:gridCol w:w="43"/>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项目</w:t>
            </w:r>
          </w:p>
          <w:p>
            <w:pPr>
              <w:widowControl w:val="0"/>
              <w:autoSpaceDN w:val="0"/>
              <w:snapToGrid w:val="0"/>
              <w:jc w:val="center"/>
              <w:rPr>
                <w:rFonts w:eastAsia="方正仿宋_GBK" w:cs="方正仿宋_GBK"/>
                <w:color w:val="000000"/>
              </w:rPr>
            </w:pPr>
            <w:r>
              <w:rPr>
                <w:rFonts w:cs="方正仿宋_GBK"/>
                <w:color w:val="000000"/>
              </w:rPr>
              <w:t>名称</w:t>
            </w:r>
          </w:p>
        </w:tc>
        <w:tc>
          <w:tcPr>
            <w:tcW w:w="3956" w:type="dxa"/>
            <w:gridSpan w:val="5"/>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应急管理经费</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自评</w:t>
            </w:r>
          </w:p>
          <w:p>
            <w:pPr>
              <w:widowControl w:val="0"/>
              <w:autoSpaceDN w:val="0"/>
              <w:snapToGrid w:val="0"/>
              <w:jc w:val="center"/>
              <w:rPr>
                <w:rFonts w:cs="方正仿宋_GBK"/>
                <w:color w:val="000000"/>
              </w:rPr>
            </w:pPr>
            <w:r>
              <w:rPr>
                <w:rFonts w:cs="方正仿宋_GBK"/>
                <w:color w:val="000000"/>
              </w:rPr>
              <w:t>总分（分）</w:t>
            </w:r>
          </w:p>
        </w:tc>
        <w:tc>
          <w:tcPr>
            <w:tcW w:w="3761" w:type="dxa"/>
            <w:gridSpan w:val="6"/>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项目主管</w:t>
            </w:r>
          </w:p>
          <w:p>
            <w:pPr>
              <w:widowControl w:val="0"/>
              <w:autoSpaceDN w:val="0"/>
              <w:snapToGrid w:val="0"/>
              <w:jc w:val="center"/>
              <w:rPr>
                <w:rFonts w:eastAsia="方正仿宋_GBK" w:cs="方正仿宋_GBK"/>
                <w:color w:val="000000"/>
              </w:rPr>
            </w:pPr>
            <w:r>
              <w:rPr>
                <w:rFonts w:cs="方正仿宋_GBK"/>
                <w:color w:val="000000"/>
              </w:rPr>
              <w:t>部门</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603-重庆市江津区应急管理局</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财政归口科室</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产业发展科</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项目</w:t>
            </w:r>
          </w:p>
          <w:p>
            <w:pPr>
              <w:widowControl w:val="0"/>
              <w:autoSpaceDN w:val="0"/>
              <w:snapToGrid w:val="0"/>
              <w:jc w:val="center"/>
              <w:rPr>
                <w:rFonts w:eastAsia="方正仿宋_GBK" w:cs="方正仿宋_GBK"/>
                <w:color w:val="000000"/>
              </w:rPr>
            </w:pPr>
            <w:r>
              <w:rPr>
                <w:rFonts w:cs="方正仿宋_GBK"/>
                <w:color w:val="000000"/>
              </w:rPr>
              <w:t>联系人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周俊彦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联系电话</w:t>
            </w:r>
          </w:p>
        </w:tc>
        <w:tc>
          <w:tcPr>
            <w:tcW w:w="1919"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13608315488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autoSpaceDN w:val="0"/>
              <w:snapToGrid w:val="0"/>
              <w:ind w:left="113" w:right="113"/>
              <w:jc w:val="center"/>
              <w:rPr>
                <w:rFonts w:eastAsia="方正仿宋_GBK" w:cs="方正仿宋_GBK"/>
                <w:color w:val="000000"/>
              </w:rPr>
            </w:pPr>
            <w:r>
              <w:rPr>
                <w:rFonts w:cs="方正仿宋_GBK"/>
                <w:color w:val="000000"/>
              </w:rPr>
              <w:t>项目资金（万元）</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年度总金额</w:t>
            </w: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年初</w:t>
            </w:r>
          </w:p>
          <w:p>
            <w:pPr>
              <w:widowControl w:val="0"/>
              <w:autoSpaceDN w:val="0"/>
              <w:snapToGrid w:val="0"/>
              <w:jc w:val="center"/>
              <w:rPr>
                <w:rFonts w:eastAsia="方正仿宋_GBK" w:cs="方正仿宋_GBK"/>
                <w:color w:val="000000"/>
              </w:rPr>
            </w:pPr>
            <w:r>
              <w:rPr>
                <w:rFonts w:cs="方正仿宋_GBK"/>
                <w:color w:val="000000"/>
              </w:rPr>
              <w:t>预算数</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全年（调整）预算数</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全年执行数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执行率（%）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执行率权重</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执行率</w:t>
            </w:r>
          </w:p>
          <w:p>
            <w:pPr>
              <w:widowControl w:val="0"/>
              <w:autoSpaceDN w:val="0"/>
              <w:snapToGrid w:val="0"/>
              <w:jc w:val="center"/>
              <w:rPr>
                <w:rFonts w:cs="方正仿宋_GBK"/>
                <w:color w:val="000000"/>
              </w:rPr>
            </w:pPr>
            <w:r>
              <w:rPr>
                <w:rFonts w:cs="方正仿宋_GBK"/>
                <w:color w:val="000000"/>
              </w:rPr>
              <w:t>得分</w:t>
            </w:r>
          </w:p>
          <w:p>
            <w:pPr>
              <w:widowControl w:val="0"/>
              <w:autoSpaceDN w:val="0"/>
              <w:snapToGrid w:val="0"/>
              <w:jc w:val="center"/>
              <w:rPr>
                <w:rFonts w:eastAsia="方正仿宋_GBK" w:cs="方正仿宋_GBK"/>
                <w:color w:val="000000"/>
              </w:rPr>
            </w:pPr>
            <w:r>
              <w:rPr>
                <w:rFonts w:cs="方正仿宋_GBK"/>
                <w:color w:val="000000"/>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464" w:type="dxa"/>
            <w:vMerge w:val="continue"/>
            <w:tcBorders>
              <w:top w:val="single" w:color="auto" w:sz="4" w:space="0"/>
              <w:left w:val="single" w:color="auto" w:sz="4" w:space="0"/>
              <w:bottom w:val="single" w:color="auto" w:sz="4" w:space="0"/>
              <w:right w:val="single" w:color="auto" w:sz="4" w:space="0"/>
            </w:tcBorders>
            <w:vAlign w:val="center"/>
          </w:tc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23.92</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23.92</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23.92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rPr>
            </w:pPr>
            <w:r>
              <w:rPr>
                <w:rFonts w:eastAsia="方正仿宋_GBK" w:cs="方正仿宋_GBK"/>
              </w:rPr>
              <w:t>10</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其中：</w:t>
            </w:r>
          </w:p>
          <w:p>
            <w:pPr>
              <w:widowControl w:val="0"/>
              <w:autoSpaceDN w:val="0"/>
              <w:snapToGrid w:val="0"/>
              <w:jc w:val="center"/>
              <w:rPr>
                <w:rFonts w:eastAsia="方正仿宋_GBK" w:cs="方正仿宋_GBK"/>
                <w:color w:val="000000"/>
              </w:rPr>
            </w:pPr>
            <w:r>
              <w:rPr>
                <w:rFonts w:cs="方正仿宋_GBK"/>
                <w:color w:val="000000"/>
              </w:rPr>
              <w:t>财政拨款</w:t>
            </w: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23.92</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23.92</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23.92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rPr>
            </w:pPr>
            <w:r>
              <w:rPr>
                <w:rFonts w:eastAsia="方正仿宋_GBK" w:cs="方正仿宋_GBK"/>
              </w:rPr>
              <w:t>10</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当年绩效目标</w:t>
            </w:r>
          </w:p>
        </w:tc>
        <w:tc>
          <w:tcPr>
            <w:tcW w:w="3390" w:type="dxa"/>
            <w:gridSpan w:val="4"/>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年初绩效目标</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全年（调整）绩效目标</w:t>
            </w:r>
          </w:p>
        </w:tc>
        <w:tc>
          <w:tcPr>
            <w:tcW w:w="2769" w:type="dxa"/>
            <w:gridSpan w:val="4"/>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全年目标实际完成情况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3390" w:type="dxa"/>
            <w:gridSpan w:val="4"/>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both"/>
              <w:rPr>
                <w:rFonts w:eastAsia="方正仿宋_GBK" w:cs="方正仿宋_GBK"/>
                <w:color w:val="000000"/>
              </w:rPr>
            </w:pPr>
            <w:r>
              <w:rPr>
                <w:rFonts w:eastAsia="方正仿宋_GBK" w:cs="方正仿宋_GBK"/>
                <w:color w:val="000000"/>
              </w:rPr>
              <w:t>按照突发事件应对法要求编制应急预案、创建全国综合减灾示范社区、应急避难场所建设等，保障各项工作能顺利开展。</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both"/>
              <w:rPr>
                <w:rFonts w:eastAsia="方正仿宋_GBK" w:cs="方正仿宋_GBK"/>
                <w:color w:val="000000"/>
              </w:rPr>
            </w:pPr>
          </w:p>
        </w:tc>
        <w:tc>
          <w:tcPr>
            <w:tcW w:w="2769" w:type="dxa"/>
            <w:gridSpan w:val="4"/>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both"/>
              <w:rPr>
                <w:rFonts w:eastAsia="方正仿宋_GBK" w:cs="方正仿宋_GBK"/>
                <w:color w:val="000000"/>
              </w:rPr>
            </w:pPr>
            <w:r>
              <w:rPr>
                <w:rFonts w:eastAsia="方正仿宋_GBK" w:cs="方正仿宋_GBK"/>
                <w:color w:val="000000"/>
              </w:rPr>
              <w:t>建设区级避难场所9处，对镇街应急预案进行了调整汇编。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6" w:type="dxa"/>
            <w:vMerge w:val="restart"/>
            <w:tcBorders>
              <w:top w:val="single" w:color="auto" w:sz="4" w:space="0"/>
              <w:left w:val="single" w:color="auto" w:sz="4" w:space="0"/>
              <w:right w:val="single" w:color="auto" w:sz="4" w:space="0"/>
            </w:tcBorders>
            <w:textDirection w:val="tbRlV"/>
            <w:vAlign w:val="center"/>
          </w:tcPr>
          <w:p>
            <w:pPr>
              <w:widowControl w:val="0"/>
              <w:autoSpaceDN w:val="0"/>
              <w:snapToGrid w:val="0"/>
              <w:jc w:val="center"/>
              <w:rPr>
                <w:rFonts w:eastAsia="方正仿宋_GBK" w:cs="方正仿宋_GBK"/>
                <w:color w:val="000000"/>
              </w:rPr>
            </w:pPr>
            <w:r>
              <w:rPr>
                <w:rFonts w:cs="方正仿宋_GBK"/>
                <w:color w:val="000000"/>
              </w:rPr>
              <w:t>绩效指标</w:t>
            </w: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指标</w:t>
            </w:r>
          </w:p>
          <w:p>
            <w:pPr>
              <w:widowControl w:val="0"/>
              <w:autoSpaceDN w:val="0"/>
              <w:snapToGrid w:val="0"/>
              <w:jc w:val="center"/>
              <w:rPr>
                <w:rFonts w:eastAsia="方正仿宋_GBK" w:cs="方正仿宋_GBK"/>
                <w:color w:val="000000"/>
              </w:rPr>
            </w:pPr>
            <w:r>
              <w:rPr>
                <w:rFonts w:cs="方正仿宋_GBK"/>
                <w:color w:val="000000"/>
              </w:rPr>
              <w:t>名称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计量</w:t>
            </w:r>
          </w:p>
          <w:p>
            <w:pPr>
              <w:widowControl w:val="0"/>
              <w:autoSpaceDN w:val="0"/>
              <w:snapToGrid w:val="0"/>
              <w:jc w:val="center"/>
              <w:rPr>
                <w:rFonts w:eastAsia="方正仿宋_GBK" w:cs="方正仿宋_GBK"/>
                <w:color w:val="000000"/>
              </w:rPr>
            </w:pPr>
            <w:r>
              <w:rPr>
                <w:rFonts w:cs="方正仿宋_GBK"/>
                <w:color w:val="000000"/>
              </w:rPr>
              <w:t>单位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指标</w:t>
            </w:r>
          </w:p>
          <w:p>
            <w:pPr>
              <w:widowControl w:val="0"/>
              <w:autoSpaceDN w:val="0"/>
              <w:snapToGrid w:val="0"/>
              <w:jc w:val="center"/>
              <w:rPr>
                <w:rFonts w:eastAsia="方正仿宋_GBK" w:cs="方正仿宋_GBK"/>
                <w:color w:val="000000"/>
              </w:rPr>
            </w:pPr>
            <w:r>
              <w:rPr>
                <w:rFonts w:cs="方正仿宋_GBK"/>
                <w:color w:val="000000"/>
              </w:rPr>
              <w:t>性质</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指标</w:t>
            </w:r>
          </w:p>
          <w:p>
            <w:pPr>
              <w:widowControl w:val="0"/>
              <w:autoSpaceDN w:val="0"/>
              <w:snapToGrid w:val="0"/>
              <w:jc w:val="center"/>
              <w:rPr>
                <w:rFonts w:eastAsia="方正仿宋_GBK" w:cs="方正仿宋_GBK"/>
                <w:color w:val="000000"/>
              </w:rPr>
            </w:pPr>
            <w:r>
              <w:rPr>
                <w:rFonts w:cs="方正仿宋_GBK"/>
                <w:color w:val="000000"/>
              </w:rPr>
              <w:t>值</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全年</w:t>
            </w:r>
          </w:p>
          <w:p>
            <w:pPr>
              <w:widowControl w:val="0"/>
              <w:autoSpaceDN w:val="0"/>
              <w:snapToGrid w:val="0"/>
              <w:jc w:val="center"/>
              <w:rPr>
                <w:rFonts w:eastAsia="方正仿宋_GBK" w:cs="方正仿宋_GBK"/>
                <w:color w:val="000000"/>
              </w:rPr>
            </w:pPr>
            <w:r>
              <w:rPr>
                <w:rFonts w:cs="方正仿宋_GBK"/>
                <w:color w:val="000000"/>
              </w:rPr>
              <w:t>完成值</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偏离度（%）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得分</w:t>
            </w:r>
          </w:p>
          <w:p>
            <w:pPr>
              <w:widowControl w:val="0"/>
              <w:autoSpaceDN w:val="0"/>
              <w:snapToGrid w:val="0"/>
              <w:jc w:val="center"/>
              <w:rPr>
                <w:rFonts w:cs="方正仿宋_GBK"/>
                <w:color w:val="000000"/>
              </w:rPr>
            </w:pPr>
            <w:r>
              <w:rPr>
                <w:rFonts w:cs="方正仿宋_GBK"/>
                <w:color w:val="000000"/>
              </w:rPr>
              <w:t>系数</w:t>
            </w:r>
          </w:p>
          <w:p>
            <w:pPr>
              <w:widowControl w:val="0"/>
              <w:autoSpaceDN w:val="0"/>
              <w:snapToGrid w:val="0"/>
              <w:jc w:val="center"/>
              <w:rPr>
                <w:rFonts w:eastAsia="方正仿宋_GBK" w:cs="方正仿宋_GBK"/>
                <w:color w:val="000000"/>
              </w:rPr>
            </w:pPr>
            <w:r>
              <w:rPr>
                <w:rFonts w:cs="方正仿宋_GBK"/>
                <w:color w:val="000000"/>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指标</w:t>
            </w:r>
          </w:p>
          <w:p>
            <w:pPr>
              <w:widowControl w:val="0"/>
              <w:autoSpaceDN w:val="0"/>
              <w:snapToGrid w:val="0"/>
              <w:jc w:val="center"/>
              <w:rPr>
                <w:rFonts w:cs="方正仿宋_GBK"/>
                <w:color w:val="000000"/>
              </w:rPr>
            </w:pPr>
            <w:r>
              <w:rPr>
                <w:rFonts w:cs="方正仿宋_GBK"/>
                <w:color w:val="000000"/>
              </w:rPr>
              <w:t>权重</w:t>
            </w:r>
          </w:p>
          <w:p>
            <w:pPr>
              <w:widowControl w:val="0"/>
              <w:autoSpaceDN w:val="0"/>
              <w:snapToGrid w:val="0"/>
              <w:jc w:val="center"/>
              <w:rPr>
                <w:rFonts w:eastAsia="方正仿宋_GBK" w:cs="方正仿宋_GBK"/>
                <w:color w:val="000000"/>
              </w:rPr>
            </w:pPr>
            <w:r>
              <w:rPr>
                <w:rFonts w:cs="方正仿宋_GBK"/>
                <w:color w:val="000000"/>
              </w:rPr>
              <w:t>（分）</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指标得分</w:t>
            </w:r>
          </w:p>
          <w:p>
            <w:pPr>
              <w:widowControl w:val="0"/>
              <w:autoSpaceDN w:val="0"/>
              <w:snapToGrid w:val="0"/>
              <w:jc w:val="center"/>
              <w:rPr>
                <w:rFonts w:eastAsia="方正仿宋_GBK" w:cs="方正仿宋_GBK"/>
                <w:color w:val="000000"/>
              </w:rPr>
            </w:pPr>
            <w:r>
              <w:rPr>
                <w:rFonts w:cs="方正仿宋_GBK"/>
                <w:color w:val="000000"/>
              </w:rPr>
              <w:t>（分）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cs="方正仿宋_GBK"/>
                <w:color w:val="000000"/>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6" w:type="dxa"/>
            <w:vMerge w:val="continue"/>
            <w:tcBorders>
              <w:left w:val="single" w:color="auto" w:sz="4" w:space="0"/>
              <w:right w:val="single" w:color="auto" w:sz="4" w:space="0"/>
            </w:tcBorders>
            <w:vAlign w:val="center"/>
          </w:tc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ascii="方正仿宋_GBK" w:eastAsia="方正仿宋_GBK" w:cs="方正仿宋_GBK"/>
                <w:color w:val="000000"/>
              </w:rPr>
            </w:pPr>
            <w:r>
              <w:rPr>
                <w:rFonts w:ascii="方正仿宋_GBK" w:eastAsia="方正仿宋_GBK" w:cs="方正仿宋_GBK"/>
                <w:color w:val="000000"/>
              </w:rPr>
              <w:t>建设区级避难场所数量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处</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9</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6" w:type="dxa"/>
            <w:vMerge w:val="continue"/>
            <w:tcBorders>
              <w:left w:val="single" w:color="auto" w:sz="4" w:space="0"/>
              <w:right w:val="single" w:color="auto" w:sz="4" w:space="0"/>
            </w:tcBorders>
            <w:vAlign w:val="center"/>
          </w:tc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ascii="方正仿宋_GBK" w:eastAsia="方正仿宋_GBK" w:cs="方正仿宋_GBK"/>
                <w:color w:val="000000"/>
              </w:rPr>
            </w:pPr>
            <w:r>
              <w:rPr>
                <w:rFonts w:ascii="方正仿宋_GBK" w:eastAsia="方正仿宋_GBK" w:cs="方正仿宋_GBK"/>
                <w:color w:val="000000"/>
              </w:rPr>
              <w:t>应急综合普查板块数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46" w:type="dxa"/>
            <w:vMerge w:val="continue"/>
            <w:tcBorders>
              <w:left w:val="single" w:color="auto" w:sz="4" w:space="0"/>
              <w:right w:val="single" w:color="auto" w:sz="4" w:space="0"/>
            </w:tcBorders>
            <w:vAlign w:val="center"/>
          </w:tc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ascii="方正仿宋_GBK" w:eastAsia="方正仿宋_GBK" w:cs="方正仿宋_GBK"/>
                <w:color w:val="000000"/>
              </w:rPr>
            </w:pPr>
            <w:r>
              <w:rPr>
                <w:rFonts w:ascii="方正仿宋_GBK" w:eastAsia="方正仿宋_GBK" w:cs="方正仿宋_GBK"/>
                <w:color w:val="000000"/>
              </w:rPr>
              <w:t>提升防灾减灾系统数据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90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90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20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46" w:type="dxa"/>
            <w:vMerge w:val="continue"/>
            <w:tcBorders>
              <w:left w:val="single" w:color="auto" w:sz="4" w:space="0"/>
              <w:right w:val="single" w:color="auto" w:sz="4" w:space="0"/>
            </w:tcBorders>
            <w:vAlign w:val="center"/>
          </w:tc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ascii="方正仿宋_GBK" w:eastAsia="方正仿宋_GBK" w:cs="方正仿宋_GBK"/>
                <w:color w:val="000000"/>
              </w:rPr>
            </w:pPr>
            <w:r>
              <w:rPr>
                <w:rFonts w:hint="eastAsia" w:ascii="方正仿宋_GBK" w:eastAsia="方正仿宋_GBK" w:cs="方正仿宋_GBK"/>
                <w:color w:val="000000"/>
              </w:rPr>
              <w:t>防灾减灾能力提升率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50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100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20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hint="eastAsia" w:eastAsia="方正仿宋_GBK" w:cs="方正仿宋_GBK"/>
                <w:color w:val="000000"/>
              </w:rPr>
              <w:t>20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6" w:type="dxa"/>
            <w:vMerge w:val="continue"/>
            <w:tcBorders>
              <w:left w:val="single" w:color="auto" w:sz="4" w:space="0"/>
              <w:bottom w:val="single" w:color="auto" w:sz="4" w:space="0"/>
              <w:right w:val="single" w:color="auto" w:sz="4" w:space="0"/>
            </w:tcBorders>
            <w:vAlign w:val="center"/>
          </w:tc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ascii="方正仿宋_GBK" w:eastAsia="方正仿宋_GBK" w:cs="方正仿宋_GBK"/>
                <w:color w:val="000000"/>
              </w:rPr>
            </w:pPr>
            <w:r>
              <w:rPr>
                <w:rFonts w:ascii="方正仿宋_GBK" w:eastAsia="方正仿宋_GBK" w:cs="方正仿宋_GBK"/>
                <w:color w:val="000000"/>
              </w:rPr>
              <w:t>群众对防灾减灾工作满意度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90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11.11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r>
              <w:rPr>
                <w:rFonts w:eastAsia="方正仿宋_GBK" w:cs="方正仿宋_GBK"/>
                <w:color w:val="000000"/>
              </w:rPr>
              <w:t>10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autoSpaceDN w:val="0"/>
              <w:snapToGrid w:val="0"/>
              <w:jc w:val="center"/>
              <w:rPr>
                <w:rFonts w:eastAsia="方正仿宋_GBK" w:cs="方正仿宋_GBK"/>
                <w:color w:val="000000"/>
              </w:rPr>
            </w:pPr>
          </w:p>
        </w:tc>
      </w:tr>
    </w:tbl>
    <w:p>
      <w:pPr>
        <w:pStyle w:val="5"/>
        <w:widowControl w:val="0"/>
        <w:autoSpaceDN w:val="0"/>
        <w:adjustRightInd w:val="0"/>
        <w:spacing w:before="0" w:beforeAutospacing="0" w:after="0" w:afterAutospacing="0" w:line="579" w:lineRule="exact"/>
        <w:ind w:firstLine="643" w:firstLineChars="200"/>
        <w:jc w:val="both"/>
        <w:rPr>
          <w:rFonts w:eastAsia="方正仿宋_GBK" w:cs="方正仿宋_GBK"/>
          <w:b/>
          <w:bCs/>
          <w:sz w:val="32"/>
          <w:szCs w:val="32"/>
        </w:rPr>
      </w:pPr>
      <w:r>
        <w:rPr>
          <w:rFonts w:eastAsia="方正仿宋_GBK" w:cs="方正仿宋_GBK"/>
          <w:b/>
          <w:bCs/>
          <w:sz w:val="32"/>
          <w:szCs w:val="32"/>
        </w:rPr>
        <w:t>2.绩效自评报告或案例</w:t>
      </w:r>
    </w:p>
    <w:p>
      <w:pPr>
        <w:pStyle w:val="5"/>
        <w:widowControl w:val="0"/>
        <w:tabs>
          <w:tab w:val="center" w:pos="4153"/>
          <w:tab w:val="left" w:pos="7275"/>
        </w:tabs>
        <w:autoSpaceDN w:val="0"/>
        <w:spacing w:before="0" w:beforeAutospacing="0" w:after="0" w:afterAutospacing="0" w:line="579" w:lineRule="exact"/>
        <w:ind w:firstLine="640" w:firstLineChars="200"/>
        <w:jc w:val="both"/>
        <w:rPr>
          <w:rFonts w:eastAsia="方正仿宋_GBK" w:cs="方正仿宋_GBK"/>
          <w:sz w:val="32"/>
          <w:szCs w:val="32"/>
        </w:rPr>
      </w:pPr>
      <w:r>
        <w:rPr>
          <w:rFonts w:eastAsia="方正仿宋_GBK" w:cs="方正仿宋_GBK"/>
          <w:sz w:val="32"/>
          <w:szCs w:val="32"/>
        </w:rPr>
        <w:t>本单位无此事项。</w:t>
      </w:r>
    </w:p>
    <w:p>
      <w:pPr>
        <w:pStyle w:val="5"/>
        <w:widowControl w:val="0"/>
        <w:autoSpaceDN w:val="0"/>
        <w:adjustRightInd w:val="0"/>
        <w:spacing w:before="0" w:beforeAutospacing="0" w:after="0" w:afterAutospacing="0" w:line="579" w:lineRule="exact"/>
        <w:ind w:firstLine="643" w:firstLineChars="200"/>
        <w:jc w:val="both"/>
        <w:rPr>
          <w:rFonts w:eastAsia="方正仿宋_GBK" w:cs="方正仿宋_GBK"/>
          <w:b/>
          <w:bCs/>
          <w:sz w:val="32"/>
          <w:szCs w:val="32"/>
        </w:rPr>
      </w:pPr>
      <w:r>
        <w:rPr>
          <w:rFonts w:eastAsia="方正仿宋_GBK" w:cs="方正仿宋_GBK"/>
          <w:b/>
          <w:bCs/>
          <w:sz w:val="32"/>
          <w:szCs w:val="32"/>
        </w:rPr>
        <w:t>3.关于绩效自评结果的说明</w:t>
      </w:r>
    </w:p>
    <w:p>
      <w:pPr>
        <w:pStyle w:val="5"/>
        <w:widowControl w:val="0"/>
        <w:autoSpaceDN w:val="0"/>
        <w:adjustRightInd w:val="0"/>
        <w:spacing w:before="0" w:beforeAutospacing="0" w:after="0" w:afterAutospacing="0" w:line="579" w:lineRule="exact"/>
        <w:ind w:firstLine="640" w:firstLineChars="200"/>
        <w:jc w:val="both"/>
        <w:rPr>
          <w:rFonts w:eastAsia="方正仿宋_GBK" w:cs="方正仿宋_GBK"/>
          <w:bCs/>
          <w:sz w:val="32"/>
          <w:szCs w:val="32"/>
        </w:rPr>
      </w:pPr>
      <w:r>
        <w:rPr>
          <w:rFonts w:eastAsia="方正仿宋_GBK" w:cs="方正仿宋_GBK"/>
          <w:bCs/>
          <w:sz w:val="32"/>
          <w:szCs w:val="32"/>
        </w:rPr>
        <w:t>该项目资金是按照突发事件应对法要求编制应急预案、创建全国综合减灾示范社区、应急避难场所建设等，保障各项工作能顺利开展。按资金使用要求，基本达到年初设定的绩效目标。</w:t>
      </w:r>
    </w:p>
    <w:p>
      <w:pPr>
        <w:pStyle w:val="5"/>
        <w:widowControl w:val="0"/>
        <w:autoSpaceDN w:val="0"/>
        <w:adjustRightInd w:val="0"/>
        <w:spacing w:before="0" w:beforeAutospacing="0" w:after="0" w:afterAutospacing="0"/>
        <w:ind w:firstLine="640" w:firstLineChars="200"/>
        <w:jc w:val="both"/>
        <w:rPr>
          <w:rStyle w:val="14"/>
          <w:rFonts w:ascii="方正楷体_GBK" w:eastAsia="方正楷体_GBK" w:cs="方正楷体_GBK"/>
          <w:b w:val="0"/>
          <w:kern w:val="2"/>
          <w:sz w:val="32"/>
          <w:szCs w:val="32"/>
          <w:shd w:val="clear" w:color="auto" w:fill="FFFFFF"/>
        </w:rPr>
      </w:pPr>
      <w:r>
        <w:rPr>
          <w:rStyle w:val="14"/>
          <w:rFonts w:hint="eastAsia" w:ascii="方正楷体_GBK" w:eastAsia="方正楷体_GBK" w:cs="方正楷体_GBK"/>
          <w:b w:val="0"/>
          <w:kern w:val="2"/>
          <w:sz w:val="32"/>
          <w:szCs w:val="32"/>
          <w:shd w:val="clear" w:color="auto" w:fill="FFFFFF"/>
        </w:rPr>
        <w:t>（三）重点绩效评价结果</w:t>
      </w:r>
    </w:p>
    <w:p>
      <w:pPr>
        <w:pStyle w:val="5"/>
        <w:widowControl w:val="0"/>
        <w:autoSpaceDN w:val="0"/>
        <w:adjustRightInd w:val="0"/>
        <w:spacing w:before="0" w:beforeAutospacing="0" w:after="0" w:afterAutospacing="0"/>
        <w:ind w:firstLine="640" w:firstLineChars="200"/>
        <w:jc w:val="both"/>
        <w:rPr>
          <w:rFonts w:eastAsia="方正仿宋_GBK" w:cs="方正仿宋_GBK"/>
          <w:sz w:val="32"/>
          <w:szCs w:val="32"/>
        </w:rPr>
      </w:pPr>
      <w:r>
        <w:rPr>
          <w:rFonts w:hint="eastAsia" w:eastAsia="方正仿宋_GBK" w:cs="方正仿宋_GBK"/>
          <w:sz w:val="32"/>
          <w:szCs w:val="32"/>
        </w:rPr>
        <w:t>本单位无此事项。</w:t>
      </w:r>
    </w:p>
    <w:p>
      <w:pPr>
        <w:pStyle w:val="5"/>
        <w:widowControl w:val="0"/>
        <w:autoSpaceDN w:val="0"/>
        <w:adjustRightInd w:val="0"/>
        <w:spacing w:before="0" w:beforeAutospacing="0" w:after="0" w:afterAutospacing="0"/>
        <w:ind w:firstLine="640" w:firstLineChars="200"/>
        <w:jc w:val="both"/>
        <w:rPr>
          <w:rStyle w:val="14"/>
          <w:rFonts w:ascii="方正黑体_GBK" w:eastAsia="方正黑体_GBK" w:cs="方正楷体_GBK"/>
          <w:b w:val="0"/>
          <w:kern w:val="2"/>
          <w:sz w:val="32"/>
          <w:szCs w:val="32"/>
          <w:shd w:val="clear" w:color="auto" w:fill="FFFFFF"/>
        </w:rPr>
      </w:pPr>
      <w:r>
        <w:rPr>
          <w:rStyle w:val="14"/>
          <w:rFonts w:hint="eastAsia" w:ascii="方正黑体_GBK" w:eastAsia="方正黑体_GBK" w:cs="方正楷体_GBK"/>
          <w:b w:val="0"/>
          <w:kern w:val="2"/>
          <w:sz w:val="32"/>
          <w:szCs w:val="32"/>
          <w:shd w:val="clear" w:color="auto" w:fill="FFFFFF"/>
        </w:rPr>
        <w:t>六、专业名词解释</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14"/>
          <w:rFonts w:hint="eastAsia" w:ascii="方正楷体_GBK" w:eastAsia="方正楷体_GBK" w:cs="方正楷体_GBK"/>
          <w:b w:val="0"/>
          <w:kern w:val="2"/>
          <w:sz w:val="32"/>
          <w:szCs w:val="32"/>
          <w:shd w:val="clear" w:color="auto" w:fill="FFFFFF"/>
        </w:rPr>
        <w:t>（一）财政拨款收入：</w:t>
      </w:r>
      <w:r>
        <w:rPr>
          <w:rFonts w:eastAsia="方正仿宋_GBK" w:cs="方正仿宋_GBK"/>
          <w:sz w:val="32"/>
          <w:szCs w:val="32"/>
          <w:shd w:val="clear" w:color="auto" w:fill="FFFFFF"/>
        </w:rPr>
        <w:t>指本年度从本级财政部门取得的财政拨款，包括一般公共预算财政拨款和政府性基金预算财政拨款。</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14"/>
          <w:rFonts w:hint="eastAsia" w:ascii="方正楷体_GBK" w:eastAsia="方正楷体_GBK" w:cs="方正楷体_GBK"/>
          <w:b w:val="0"/>
          <w:kern w:val="2"/>
          <w:sz w:val="32"/>
          <w:szCs w:val="32"/>
          <w:shd w:val="clear" w:color="auto" w:fill="FFFFFF"/>
        </w:rPr>
        <w:t> （二）年末结转和结余：</w:t>
      </w:r>
      <w:r>
        <w:rPr>
          <w:rFonts w:eastAsia="方正仿宋_GBK" w:cs="方正仿宋_GBK"/>
          <w:sz w:val="32"/>
          <w:szCs w:val="32"/>
          <w:shd w:val="clear" w:color="auto" w:fill="FFFFFF"/>
        </w:rPr>
        <w:t>指单位结转下年的基本支出结转、项目支出结转和结余、经营结余。</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14"/>
          <w:rFonts w:hint="eastAsia" w:ascii="方正楷体_GBK" w:eastAsia="方正楷体_GBK" w:cs="方正楷体_GBK"/>
          <w:b w:val="0"/>
          <w:kern w:val="2"/>
          <w:sz w:val="32"/>
          <w:szCs w:val="32"/>
          <w:shd w:val="clear" w:color="auto" w:fill="FFFFFF"/>
        </w:rPr>
        <w:t>（三）基本支出：</w:t>
      </w:r>
      <w:r>
        <w:rPr>
          <w:rFonts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8"/>
          <w:rFonts w:hint="eastAsia" w:ascii="方正楷体_GBK" w:eastAsia="方正楷体_GBK" w:cs="楷体"/>
          <w:b w:val="0"/>
          <w:sz w:val="32"/>
          <w:szCs w:val="32"/>
          <w:shd w:val="clear" w:color="auto" w:fill="FFFFFF"/>
        </w:rPr>
        <w:t>（四）项目支出</w:t>
      </w:r>
      <w:r>
        <w:rPr>
          <w:rFonts w:hint="eastAsia" w:ascii="方正楷体_GBK" w:eastAsia="方正楷体_GBK" w:cs="楷体"/>
          <w:sz w:val="32"/>
          <w:szCs w:val="32"/>
          <w:shd w:val="clear" w:color="auto" w:fill="FFFFFF"/>
        </w:rPr>
        <w:t>：</w:t>
      </w:r>
      <w:r>
        <w:rPr>
          <w:rFonts w:eastAsia="方正仿宋_GBK" w:cs="方正仿宋_GBK"/>
          <w:sz w:val="32"/>
          <w:szCs w:val="32"/>
          <w:shd w:val="clear" w:color="auto" w:fill="FFFFFF"/>
        </w:rPr>
        <w:t>指在基本支出之外为完成特定行政任务和事业发展目标所发生的支出。</w:t>
      </w:r>
      <w:r>
        <w:rPr>
          <w:rStyle w:val="8"/>
          <w:rFonts w:eastAsia="方正仿宋_GBK" w:cs="方正仿宋_GBK"/>
          <w:b w:val="0"/>
          <w:sz w:val="32"/>
          <w:szCs w:val="32"/>
          <w:shd w:val="clear" w:color="auto" w:fill="FFFFFF"/>
        </w:rPr>
        <w:t> </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8"/>
          <w:rFonts w:hint="eastAsia" w:ascii="方正楷体_GBK" w:eastAsia="方正楷体_GBK" w:cs="楷体"/>
          <w:b w:val="0"/>
          <w:sz w:val="32"/>
          <w:szCs w:val="32"/>
          <w:shd w:val="clear" w:color="auto" w:fill="FFFFFF"/>
        </w:rPr>
        <w:t>（五）“三公”经费：</w:t>
      </w:r>
      <w:r>
        <w:rPr>
          <w:rFonts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8"/>
          <w:rFonts w:hint="eastAsia" w:ascii="方正楷体_GBK" w:eastAsia="方正楷体_GBK" w:cs="楷体"/>
          <w:b w:val="0"/>
          <w:sz w:val="32"/>
          <w:szCs w:val="32"/>
          <w:shd w:val="clear" w:color="auto" w:fill="FFFFFF"/>
        </w:rPr>
        <w:t>（六）工资福利支出（支出经济分类科目类级）：</w:t>
      </w:r>
      <w:r>
        <w:rPr>
          <w:rFonts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8"/>
          <w:rFonts w:hint="eastAsia" w:ascii="方正楷体_GBK" w:eastAsia="方正楷体_GBK" w:cs="楷体"/>
          <w:b w:val="0"/>
          <w:sz w:val="32"/>
          <w:szCs w:val="32"/>
          <w:shd w:val="clear" w:color="auto" w:fill="FFFFFF"/>
        </w:rPr>
        <w:t>（七）商品和服务支出（支出经济分类科目类级）：</w:t>
      </w:r>
      <w:r>
        <w:rPr>
          <w:rFonts w:eastAsia="方正仿宋_GBK" w:cs="方正仿宋_GBK"/>
          <w:sz w:val="32"/>
          <w:szCs w:val="32"/>
          <w:shd w:val="clear" w:color="auto" w:fill="FFFFFF"/>
        </w:rPr>
        <w:t>反映单位购买商品和服务的支出（不包括用于购置固定资产的支出、战略性和应急储备支出）。</w:t>
      </w:r>
    </w:p>
    <w:p>
      <w:pPr>
        <w:pStyle w:val="5"/>
        <w:widowControl w:val="0"/>
        <w:spacing w:before="0" w:beforeAutospacing="0" w:after="0" w:afterAutospacing="0"/>
        <w:ind w:firstLine="640" w:firstLineChars="200"/>
        <w:contextualSpacing/>
        <w:jc w:val="both"/>
        <w:rPr>
          <w:rFonts w:eastAsia="方正仿宋_GBK" w:cs="方正仿宋_GBK"/>
          <w:sz w:val="32"/>
          <w:szCs w:val="32"/>
        </w:rPr>
      </w:pPr>
      <w:r>
        <w:rPr>
          <w:rStyle w:val="8"/>
          <w:rFonts w:hint="eastAsia" w:ascii="方正楷体_GBK" w:eastAsia="方正楷体_GBK" w:cs="楷体"/>
          <w:b w:val="0"/>
          <w:sz w:val="32"/>
          <w:szCs w:val="32"/>
          <w:shd w:val="clear" w:color="auto" w:fill="FFFFFF"/>
        </w:rPr>
        <w:t>（八）对个人和家庭的补助（支出经济分类科目类级）：</w:t>
      </w:r>
      <w:r>
        <w:rPr>
          <w:rFonts w:eastAsia="方正仿宋_GBK" w:cs="方正仿宋_GBK"/>
          <w:sz w:val="32"/>
          <w:szCs w:val="32"/>
          <w:shd w:val="clear" w:color="auto" w:fill="FFFFFF"/>
        </w:rPr>
        <w:t>反映用于对个人和家庭的补助支出。</w:t>
      </w:r>
    </w:p>
    <w:p>
      <w:pPr>
        <w:pStyle w:val="5"/>
        <w:widowControl w:val="0"/>
        <w:spacing w:before="0" w:beforeAutospacing="0" w:after="0" w:afterAutospacing="0"/>
        <w:ind w:firstLine="640" w:firstLineChars="200"/>
        <w:contextualSpacing/>
        <w:jc w:val="both"/>
        <w:rPr>
          <w:rFonts w:eastAsia="方正仿宋_GBK" w:cs="方正仿宋_GBK"/>
          <w:sz w:val="32"/>
          <w:szCs w:val="32"/>
          <w:shd w:val="clear" w:color="auto" w:fill="FFFFFF"/>
        </w:rPr>
      </w:pPr>
      <w:r>
        <w:rPr>
          <w:rStyle w:val="8"/>
          <w:rFonts w:hint="eastAsia" w:ascii="方正楷体_GBK" w:eastAsia="方正楷体_GBK" w:cs="楷体"/>
          <w:b w:val="0"/>
          <w:sz w:val="32"/>
          <w:szCs w:val="32"/>
          <w:shd w:val="clear" w:color="auto" w:fill="FFFFFF"/>
        </w:rPr>
        <w:t>（九）其他资本性支出（支出经济分类科目类级）：</w:t>
      </w:r>
      <w:r>
        <w:rPr>
          <w:rFonts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widowControl w:val="0"/>
        <w:spacing w:before="0" w:beforeAutospacing="0" w:after="0" w:afterAutospacing="0"/>
        <w:ind w:firstLine="640" w:firstLineChars="200"/>
        <w:contextualSpacing/>
        <w:jc w:val="both"/>
        <w:rPr>
          <w:rStyle w:val="8"/>
          <w:rFonts w:ascii="方正黑体_GBK" w:eastAsia="方正黑体_GBK" w:cs="方正仿宋_GBK"/>
          <w:b w:val="0"/>
          <w:sz w:val="32"/>
          <w:szCs w:val="32"/>
          <w:shd w:val="clear" w:color="auto" w:fill="FFFFFF"/>
        </w:rPr>
      </w:pPr>
      <w:r>
        <w:rPr>
          <w:rStyle w:val="8"/>
          <w:rFonts w:hint="eastAsia" w:ascii="方正黑体_GBK" w:eastAsia="方正黑体_GBK" w:cs="黑体"/>
          <w:b w:val="0"/>
          <w:sz w:val="32"/>
          <w:szCs w:val="32"/>
          <w:shd w:val="clear" w:color="auto" w:fill="FFFFFF"/>
        </w:rPr>
        <w:t>七、决算公开联系方式</w:t>
      </w:r>
    </w:p>
    <w:p>
      <w:pPr>
        <w:pStyle w:val="5"/>
        <w:widowControl w:val="0"/>
        <w:shd w:val="clear" w:color="auto" w:fill="FFFFFF"/>
        <w:autoSpaceDN w:val="0"/>
        <w:spacing w:before="0" w:beforeAutospacing="0" w:after="0" w:afterAutospacing="0" w:line="579" w:lineRule="exact"/>
        <w:ind w:firstLine="640" w:firstLineChars="200"/>
        <w:jc w:val="both"/>
        <w:rPr>
          <w:rFonts w:eastAsia="方正仿宋_GBK" w:cs="方正仿宋_GBK"/>
          <w:sz w:val="32"/>
          <w:szCs w:val="32"/>
        </w:rPr>
      </w:pPr>
      <w:r>
        <w:rPr>
          <w:rFonts w:eastAsia="方正仿宋_GBK" w:cs="方正仿宋_GBK"/>
          <w:sz w:val="32"/>
          <w:szCs w:val="32"/>
        </w:rPr>
        <w:t>本单位决算公开信息反馈和联系方式：</w:t>
      </w:r>
    </w:p>
    <w:p>
      <w:pPr>
        <w:pStyle w:val="5"/>
        <w:widowControl w:val="0"/>
        <w:shd w:val="clear" w:color="auto" w:fill="FFFFFF"/>
        <w:autoSpaceDN w:val="0"/>
        <w:spacing w:before="0" w:beforeAutospacing="0" w:after="0" w:afterAutospacing="0" w:line="579" w:lineRule="exact"/>
        <w:ind w:firstLine="640" w:firstLineChars="200"/>
        <w:jc w:val="both"/>
        <w:rPr>
          <w:rFonts w:eastAsia="方正仿宋_GBK" w:cs="宋体"/>
          <w:sz w:val="21"/>
          <w:szCs w:val="21"/>
        </w:rPr>
      </w:pPr>
      <w:r>
        <w:rPr>
          <w:rFonts w:eastAsia="方正仿宋_GBK" w:cs="方正仿宋_GBK"/>
          <w:sz w:val="32"/>
          <w:szCs w:val="32"/>
        </w:rPr>
        <w:t>联系人：李剑冰   联系电话：13637711699</w:t>
      </w:r>
    </w:p>
    <w:sectPr>
      <w:headerReference r:id="rId3" w:type="default"/>
      <w:footerReference r:id="rId4" w:type="default"/>
      <w:footerReference r:id="rId5" w:type="even"/>
      <w:pgSz w:w="11913" w:h="16840"/>
      <w:pgMar w:top="2098" w:right="1474" w:bottom="1985" w:left="1588" w:header="851" w:footer="1474"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40" w:leftChars="100" w:right="240" w:rightChars="100"/>
      <w:rPr>
        <w:sz w:val="28"/>
        <w:szCs w:val="28"/>
      </w:rPr>
    </w:pPr>
    <w:r>
      <w:rPr>
        <w:rStyle w:val="9"/>
        <w:sz w:val="28"/>
        <w:szCs w:val="28"/>
      </w:rPr>
      <w:fldChar w:fldCharType="begin"/>
    </w:r>
    <w:r>
      <w:rPr>
        <w:rStyle w:val="9"/>
        <w:sz w:val="28"/>
        <w:szCs w:val="28"/>
      </w:rPr>
      <w:instrText xml:space="preserve">Page</w:instrText>
    </w:r>
    <w:r>
      <w:rPr>
        <w:rStyle w:val="9"/>
        <w:sz w:val="28"/>
        <w:szCs w:val="28"/>
      </w:rPr>
      <w:fldChar w:fldCharType="separate"/>
    </w:r>
    <w:r>
      <w:rPr>
        <w:rStyle w:val="9"/>
        <w:sz w:val="28"/>
        <w:szCs w:val="28"/>
      </w:rPr>
      <w:t>- 4 -</w:t>
    </w:r>
    <w:r>
      <w:rPr>
        <w:rStyle w:val="9"/>
        <w:sz w:val="28"/>
        <w:szCs w:val="28"/>
      </w:rPr>
      <w:fldChar w:fldCharType="end"/>
    </w:r>
  </w:p>
  <w:p>
    <w:pPr>
      <w:pStyle w:val="2"/>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56"/>
  <w:displayHorizontalDrawingGridEvery w:val="0"/>
  <w:noPunctuationKerning w:val="true"/>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A01AF3"/>
    <w:rsid w:val="001D609E"/>
    <w:rsid w:val="00214846"/>
    <w:rsid w:val="002A4DA0"/>
    <w:rsid w:val="006A0B7B"/>
    <w:rsid w:val="009139FD"/>
    <w:rsid w:val="009E6020"/>
    <w:rsid w:val="00A01AF3"/>
    <w:rsid w:val="00A43737"/>
    <w:rsid w:val="00AD22B4"/>
    <w:rsid w:val="00BC6B21"/>
    <w:rsid w:val="00CB22AE"/>
    <w:rsid w:val="00D41486"/>
    <w:rsid w:val="00E03B44"/>
    <w:rsid w:val="D3B7A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qFormat/>
    <w:uiPriority w:val="0"/>
    <w:pPr>
      <w:spacing w:before="100" w:beforeAutospacing="1" w:after="100" w:afterAutospacing="1"/>
    </w:pPr>
  </w:style>
  <w:style w:type="character" w:styleId="8">
    <w:name w:val="Strong"/>
    <w:qFormat/>
    <w:uiPriority w:val="0"/>
    <w:rPr>
      <w:b/>
    </w:rPr>
  </w:style>
  <w:style w:type="character" w:styleId="9">
    <w:name w:val="page number"/>
    <w:basedOn w:val="7"/>
    <w:qFormat/>
    <w:uiPriority w:val="0"/>
  </w:style>
  <w:style w:type="paragraph" w:customStyle="1" w:styleId="10">
    <w:name w:val="列出段落1"/>
    <w:basedOn w:val="1"/>
    <w:qFormat/>
    <w:uiPriority w:val="0"/>
    <w:pPr>
      <w:ind w:firstLine="200" w:firstLineChars="200"/>
    </w:pPr>
  </w:style>
  <w:style w:type="paragraph" w:customStyle="1" w:styleId="11">
    <w:name w:val="普通(网站) Char"/>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customStyle="1" w:styleId="12">
    <w:name w:val="21"/>
    <w:qFormat/>
    <w:uiPriority w:val="0"/>
    <w:rPr>
      <w:rFonts w:ascii="Wingdings" w:hAnsi="Wingdings" w:cs="Wingdings"/>
      <w:b/>
      <w:bCs/>
    </w:rPr>
  </w:style>
  <w:style w:type="paragraph" w:customStyle="1" w:styleId="13">
    <w:name w:val="列出段落2"/>
    <w:qFormat/>
    <w:uiPriority w:val="0"/>
    <w:pPr>
      <w:ind w:firstLine="200" w:firstLineChars="200"/>
    </w:pPr>
    <w:rPr>
      <w:rFonts w:ascii="宋体" w:hAnsi="Times New Roman" w:eastAsia="宋体" w:cs="Times New Roman"/>
      <w:sz w:val="24"/>
      <w:szCs w:val="24"/>
      <w:lang w:val="en-US" w:eastAsia="zh-CN" w:bidi="ar-SA"/>
    </w:rPr>
  </w:style>
  <w:style w:type="character" w:customStyle="1" w:styleId="14">
    <w:name w:val="23"/>
    <w:basedOn w:val="7"/>
    <w:qFormat/>
    <w:uiPriority w:val="0"/>
    <w:rPr>
      <w:rFonts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701</Words>
  <Characters>4000</Characters>
  <Lines>33</Lines>
  <Paragraphs>9</Paragraphs>
  <TotalTime>180</TotalTime>
  <ScaleCrop>false</ScaleCrop>
  <LinksUpToDate>false</LinksUpToDate>
  <CharactersWithSpaces>4692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2024-08-21T21:45:00Z</dcterms:created>
  <dc:creator>Administrator</dc:creator>
  <cp:lastModifiedBy>uos</cp:lastModifiedBy>
  <dcterms:modified xsi:type="dcterms:W3CDTF">2024-08-22T16:32:58Z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BB46EABDBB2749749395447164B066B3_12</vt:lpwstr>
  </property>
</Properties>
</file>