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5C" w:rsidRDefault="00FE4F5C">
      <w:pPr>
        <w:spacing w:line="579" w:lineRule="exact"/>
        <w:jc w:val="center"/>
        <w:rPr>
          <w:rFonts w:ascii="方正小标宋_GBK" w:eastAsia="方正小标宋_GBK" w:cs="方正小标宋_GBK" w:hint="eastAsia"/>
          <w:sz w:val="44"/>
          <w:szCs w:val="44"/>
        </w:rPr>
      </w:pPr>
      <w:r w:rsidRPr="00FE4F5C">
        <w:rPr>
          <w:rFonts w:ascii="方正小标宋_GBK" w:eastAsia="方正小标宋_GBK" w:cs="方正小标宋_GBK" w:hint="eastAsia"/>
          <w:sz w:val="44"/>
          <w:szCs w:val="44"/>
        </w:rPr>
        <w:t>重庆方润机械有限公司</w:t>
      </w:r>
    </w:p>
    <w:p w:rsidR="007473B8" w:rsidRDefault="00211B5C">
      <w:pPr>
        <w:spacing w:line="579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行政处罚信息公示</w:t>
      </w:r>
    </w:p>
    <w:p w:rsidR="007473B8" w:rsidRDefault="007473B8">
      <w:pPr>
        <w:spacing w:line="579" w:lineRule="exact"/>
        <w:rPr>
          <w:rFonts w:ascii="方正小标宋_GBK" w:eastAsia="方正小标宋_GBK" w:cs="方正小标宋_GBK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7"/>
        <w:gridCol w:w="4883"/>
      </w:tblGrid>
      <w:tr w:rsidR="007473B8">
        <w:trPr>
          <w:trHeight w:val="686"/>
          <w:jc w:val="center"/>
        </w:trPr>
        <w:tc>
          <w:tcPr>
            <w:tcW w:w="8520" w:type="dxa"/>
            <w:gridSpan w:val="2"/>
            <w:vAlign w:val="center"/>
          </w:tcPr>
          <w:p w:rsidR="007473B8" w:rsidRDefault="00211B5C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cs="方正小标宋_GBK" w:hint="eastAsia"/>
                <w:sz w:val="44"/>
                <w:szCs w:val="44"/>
              </w:rPr>
              <w:t>行政处罚信息公示</w:t>
            </w:r>
          </w:p>
        </w:tc>
      </w:tr>
      <w:tr w:rsidR="007473B8">
        <w:trPr>
          <w:trHeight w:val="1144"/>
          <w:jc w:val="center"/>
        </w:trPr>
        <w:tc>
          <w:tcPr>
            <w:tcW w:w="3637" w:type="dxa"/>
            <w:vAlign w:val="center"/>
          </w:tcPr>
          <w:p w:rsidR="007473B8" w:rsidRDefault="00211B5C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cs="方正小标宋_GBK" w:hint="eastAsia"/>
                <w:sz w:val="32"/>
                <w:szCs w:val="32"/>
              </w:rPr>
              <w:t>行政相对人名称</w:t>
            </w:r>
          </w:p>
        </w:tc>
        <w:tc>
          <w:tcPr>
            <w:tcW w:w="4883" w:type="dxa"/>
            <w:vAlign w:val="center"/>
          </w:tcPr>
          <w:p w:rsidR="007473B8" w:rsidRDefault="00FE4F5C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 w:rsidRPr="00FE4F5C">
              <w:rPr>
                <w:rFonts w:ascii="方正仿宋_GBK" w:eastAsia="方正仿宋_GBK" w:hint="eastAsia"/>
                <w:sz w:val="32"/>
                <w:szCs w:val="32"/>
              </w:rPr>
              <w:t>重庆方润机械有限公司</w:t>
            </w:r>
          </w:p>
        </w:tc>
      </w:tr>
      <w:tr w:rsidR="007473B8">
        <w:trPr>
          <w:trHeight w:val="910"/>
          <w:jc w:val="center"/>
        </w:trPr>
        <w:tc>
          <w:tcPr>
            <w:tcW w:w="3637" w:type="dxa"/>
            <w:vAlign w:val="center"/>
          </w:tcPr>
          <w:p w:rsidR="007473B8" w:rsidRDefault="00211B5C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cs="方正小标宋_GBK" w:hint="eastAsia"/>
                <w:sz w:val="32"/>
                <w:szCs w:val="32"/>
              </w:rPr>
              <w:t>行政处罚决定书文号</w:t>
            </w:r>
          </w:p>
        </w:tc>
        <w:tc>
          <w:tcPr>
            <w:tcW w:w="4883" w:type="dxa"/>
            <w:vAlign w:val="center"/>
          </w:tcPr>
          <w:p w:rsidR="007473B8" w:rsidRDefault="00FE4F5C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 w:rsidRPr="00FE4F5C">
              <w:rPr>
                <w:rFonts w:ascii="方正仿宋_GBK" w:eastAsia="方正仿宋_GBK" w:hint="eastAsia"/>
                <w:sz w:val="32"/>
                <w:szCs w:val="32"/>
              </w:rPr>
              <w:t>(津)应急罚〔2023〕工矿 00086号</w:t>
            </w:r>
          </w:p>
        </w:tc>
      </w:tr>
      <w:tr w:rsidR="007473B8">
        <w:trPr>
          <w:trHeight w:val="784"/>
          <w:jc w:val="center"/>
        </w:trPr>
        <w:tc>
          <w:tcPr>
            <w:tcW w:w="3637" w:type="dxa"/>
            <w:vAlign w:val="center"/>
          </w:tcPr>
          <w:p w:rsidR="007473B8" w:rsidRDefault="00211B5C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cs="方正小标宋_GBK"/>
                <w:sz w:val="32"/>
                <w:szCs w:val="32"/>
              </w:rPr>
              <w:t>处罚时间</w:t>
            </w:r>
          </w:p>
        </w:tc>
        <w:tc>
          <w:tcPr>
            <w:tcW w:w="4883" w:type="dxa"/>
            <w:vAlign w:val="center"/>
          </w:tcPr>
          <w:p w:rsidR="007473B8" w:rsidRDefault="00211B5C" w:rsidP="00FE4F5C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2023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年</w:t>
            </w:r>
            <w:r w:rsidR="00165E96">
              <w:rPr>
                <w:rFonts w:ascii="方正仿宋_GBK" w:eastAsia="方正仿宋_GBK" w:hint="eastAsia"/>
                <w:sz w:val="32"/>
                <w:szCs w:val="32"/>
              </w:rPr>
              <w:t>3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 w:rsidR="00FE4F5C">
              <w:rPr>
                <w:rFonts w:ascii="方正仿宋_GBK" w:eastAsia="方正仿宋_GBK" w:hint="eastAsia"/>
                <w:sz w:val="32"/>
                <w:szCs w:val="32"/>
              </w:rPr>
              <w:t>23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日</w:t>
            </w:r>
          </w:p>
        </w:tc>
      </w:tr>
      <w:tr w:rsidR="007473B8">
        <w:trPr>
          <w:trHeight w:val="1771"/>
          <w:jc w:val="center"/>
        </w:trPr>
        <w:tc>
          <w:tcPr>
            <w:tcW w:w="3637" w:type="dxa"/>
            <w:vAlign w:val="center"/>
          </w:tcPr>
          <w:p w:rsidR="007473B8" w:rsidRDefault="00211B5C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cs="方正小标宋_GBK" w:hint="eastAsia"/>
                <w:sz w:val="32"/>
                <w:szCs w:val="32"/>
              </w:rPr>
              <w:t>违法事实</w:t>
            </w:r>
          </w:p>
        </w:tc>
        <w:tc>
          <w:tcPr>
            <w:tcW w:w="4883" w:type="dxa"/>
            <w:vAlign w:val="center"/>
          </w:tcPr>
          <w:p w:rsidR="007473B8" w:rsidRDefault="00FE4F5C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 w:rsidRPr="00FE4F5C">
              <w:rPr>
                <w:rFonts w:ascii="方正仿宋_GBK" w:eastAsia="方正仿宋_GBK" w:hint="eastAsia"/>
                <w:sz w:val="32"/>
                <w:szCs w:val="32"/>
              </w:rPr>
              <w:t>铸造熔炼炉冷却水系统未配置温度、进出水流量检测及报警装置,没有设置防止冷却水进入炉内的安全设施。</w:t>
            </w:r>
          </w:p>
        </w:tc>
      </w:tr>
      <w:tr w:rsidR="007473B8">
        <w:trPr>
          <w:trHeight w:val="1771"/>
          <w:jc w:val="center"/>
        </w:trPr>
        <w:tc>
          <w:tcPr>
            <w:tcW w:w="3637" w:type="dxa"/>
            <w:vAlign w:val="center"/>
          </w:tcPr>
          <w:p w:rsidR="007473B8" w:rsidRDefault="00211B5C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cs="方正小标宋_GBK" w:hint="eastAsia"/>
                <w:sz w:val="32"/>
                <w:szCs w:val="32"/>
              </w:rPr>
              <w:t>处罚依据</w:t>
            </w:r>
          </w:p>
        </w:tc>
        <w:tc>
          <w:tcPr>
            <w:tcW w:w="4883" w:type="dxa"/>
            <w:vAlign w:val="center"/>
          </w:tcPr>
          <w:p w:rsidR="007473B8" w:rsidRDefault="00FE4F5C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 w:rsidRPr="00FE4F5C">
              <w:rPr>
                <w:rFonts w:ascii="方正仿宋_GBK" w:eastAsia="方正仿宋_GBK" w:hint="eastAsia"/>
                <w:sz w:val="32"/>
                <w:szCs w:val="32"/>
              </w:rPr>
              <w:t>《中华人民共和国安全生产法》第一百零二条</w:t>
            </w:r>
          </w:p>
        </w:tc>
      </w:tr>
      <w:tr w:rsidR="007473B8">
        <w:trPr>
          <w:trHeight w:val="1078"/>
          <w:jc w:val="center"/>
        </w:trPr>
        <w:tc>
          <w:tcPr>
            <w:tcW w:w="3637" w:type="dxa"/>
            <w:vAlign w:val="center"/>
          </w:tcPr>
          <w:p w:rsidR="007473B8" w:rsidRDefault="00211B5C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cs="方正小标宋_GBK" w:hint="eastAsia"/>
                <w:sz w:val="32"/>
                <w:szCs w:val="32"/>
              </w:rPr>
              <w:t>处罚结果</w:t>
            </w:r>
          </w:p>
        </w:tc>
        <w:tc>
          <w:tcPr>
            <w:tcW w:w="4883" w:type="dxa"/>
            <w:vAlign w:val="center"/>
          </w:tcPr>
          <w:p w:rsidR="007473B8" w:rsidRDefault="00211B5C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处罚人民币</w:t>
            </w:r>
            <w:r w:rsidR="00FE4F5C" w:rsidRPr="00FE4F5C">
              <w:rPr>
                <w:rFonts w:ascii="方正仿宋_GBK" w:eastAsia="方正仿宋_GBK" w:hint="eastAsia"/>
                <w:sz w:val="32"/>
                <w:szCs w:val="32"/>
              </w:rPr>
              <w:t>25000元（贰万伍仟元整）</w:t>
            </w:r>
          </w:p>
        </w:tc>
      </w:tr>
      <w:tr w:rsidR="007473B8">
        <w:trPr>
          <w:trHeight w:val="1072"/>
          <w:jc w:val="center"/>
        </w:trPr>
        <w:tc>
          <w:tcPr>
            <w:tcW w:w="3637" w:type="dxa"/>
            <w:vAlign w:val="center"/>
          </w:tcPr>
          <w:p w:rsidR="007473B8" w:rsidRDefault="00211B5C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cs="方正小标宋_GBK"/>
                <w:sz w:val="32"/>
                <w:szCs w:val="32"/>
              </w:rPr>
              <w:t>处罚机关</w:t>
            </w:r>
          </w:p>
        </w:tc>
        <w:tc>
          <w:tcPr>
            <w:tcW w:w="4883" w:type="dxa"/>
            <w:vAlign w:val="center"/>
          </w:tcPr>
          <w:p w:rsidR="007473B8" w:rsidRDefault="00211B5C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重庆市江津区应急管理局</w:t>
            </w:r>
          </w:p>
        </w:tc>
      </w:tr>
    </w:tbl>
    <w:p w:rsidR="007473B8" w:rsidRDefault="007473B8">
      <w:pPr>
        <w:spacing w:line="579" w:lineRule="exact"/>
        <w:rPr>
          <w:rFonts w:ascii="方正小标宋_GBK" w:eastAsia="方正小标宋_GBK" w:cs="方正小标宋_GBK"/>
          <w:sz w:val="44"/>
          <w:szCs w:val="44"/>
        </w:rPr>
      </w:pPr>
    </w:p>
    <w:sectPr w:rsidR="007473B8" w:rsidSect="007473B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B5C" w:rsidRDefault="00211B5C" w:rsidP="00165E96">
      <w:r>
        <w:separator/>
      </w:r>
    </w:p>
  </w:endnote>
  <w:endnote w:type="continuationSeparator" w:id="1">
    <w:p w:rsidR="00211B5C" w:rsidRDefault="00211B5C" w:rsidP="00165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B5C" w:rsidRDefault="00211B5C" w:rsidP="00165E96">
      <w:r>
        <w:separator/>
      </w:r>
    </w:p>
  </w:footnote>
  <w:footnote w:type="continuationSeparator" w:id="1">
    <w:p w:rsidR="00211B5C" w:rsidRDefault="00211B5C" w:rsidP="00165E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</w:compat>
  <w:docVars>
    <w:docVar w:name="commondata" w:val="eyJoZGlkIjoiNjRmZmZjMzkzYzAyNjYyNGQ2Y2ZlM2MwMDAzNmJmNWUifQ=="/>
  </w:docVars>
  <w:rsids>
    <w:rsidRoot w:val="007473B8"/>
    <w:rsid w:val="00165E96"/>
    <w:rsid w:val="00211B5C"/>
    <w:rsid w:val="007473B8"/>
    <w:rsid w:val="00FE4F5C"/>
    <w:rsid w:val="1F283062"/>
    <w:rsid w:val="4D065AA7"/>
    <w:rsid w:val="6AE43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7473B8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5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5E96"/>
    <w:rPr>
      <w:rFonts w:ascii="Calibri" w:hAnsi="Calibri" w:cs="Arial"/>
      <w:kern w:val="2"/>
      <w:sz w:val="18"/>
      <w:szCs w:val="18"/>
    </w:rPr>
  </w:style>
  <w:style w:type="paragraph" w:styleId="a4">
    <w:name w:val="footer"/>
    <w:basedOn w:val="a"/>
    <w:link w:val="Char0"/>
    <w:rsid w:val="00165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5E96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2023-11-23T08:53:00Z</dcterms:created>
  <dcterms:modified xsi:type="dcterms:W3CDTF">2023-11-23T08:53:00Z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DAB233E04E224E7F8BFD0C002AE68AD6_13</vt:lpwstr>
  </property>
</Properties>
</file>