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8D9E8">
      <w:pPr>
        <w:spacing w:line="256" w:lineRule="auto"/>
        <w:rPr>
          <w:rFonts w:ascii="Arial"/>
          <w:sz w:val="21"/>
        </w:rPr>
      </w:pPr>
    </w:p>
    <w:p w14:paraId="7F4A96C8">
      <w:pPr>
        <w:spacing w:line="257" w:lineRule="auto"/>
        <w:rPr>
          <w:rFonts w:ascii="Arial"/>
          <w:sz w:val="21"/>
        </w:rPr>
      </w:pPr>
    </w:p>
    <w:p w14:paraId="228F50E4">
      <w:pPr>
        <w:spacing w:line="257" w:lineRule="auto"/>
        <w:rPr>
          <w:rFonts w:ascii="Arial"/>
          <w:sz w:val="21"/>
        </w:rPr>
      </w:pPr>
    </w:p>
    <w:p w14:paraId="431670D8">
      <w:pPr>
        <w:spacing w:line="257" w:lineRule="auto"/>
        <w:rPr>
          <w:rFonts w:ascii="Arial"/>
          <w:sz w:val="21"/>
        </w:rPr>
      </w:pPr>
    </w:p>
    <w:p w14:paraId="2795B316">
      <w:pPr>
        <w:spacing w:line="257" w:lineRule="auto"/>
        <w:rPr>
          <w:rFonts w:ascii="Arial"/>
          <w:sz w:val="21"/>
        </w:rPr>
      </w:pPr>
    </w:p>
    <w:p w14:paraId="7883E7AB">
      <w:pPr>
        <w:spacing w:line="257" w:lineRule="auto"/>
        <w:rPr>
          <w:rFonts w:ascii="Arial"/>
          <w:sz w:val="21"/>
        </w:rPr>
      </w:pPr>
    </w:p>
    <w:p w14:paraId="02225FCF">
      <w:pPr>
        <w:spacing w:line="257" w:lineRule="auto"/>
        <w:rPr>
          <w:rFonts w:ascii="Arial"/>
          <w:sz w:val="21"/>
        </w:rPr>
      </w:pPr>
    </w:p>
    <w:p w14:paraId="187DD51E">
      <w:pPr>
        <w:spacing w:line="257" w:lineRule="auto"/>
        <w:rPr>
          <w:rFonts w:ascii="Arial"/>
          <w:sz w:val="21"/>
        </w:rPr>
      </w:pPr>
    </w:p>
    <w:p w14:paraId="5A759CCA">
      <w:pPr>
        <w:spacing w:line="257" w:lineRule="auto"/>
        <w:rPr>
          <w:rFonts w:ascii="Arial"/>
          <w:sz w:val="21"/>
        </w:rPr>
      </w:pPr>
    </w:p>
    <w:p w14:paraId="7A539C2D">
      <w:pPr>
        <w:spacing w:line="257" w:lineRule="auto"/>
        <w:rPr>
          <w:rFonts w:ascii="Arial"/>
          <w:sz w:val="21"/>
        </w:rPr>
      </w:pPr>
    </w:p>
    <w:p w14:paraId="4018874C">
      <w:pPr>
        <w:spacing w:before="485" w:line="239" w:lineRule="auto"/>
        <w:jc w:val="right"/>
        <w:outlineLvl w:val="0"/>
        <w:rPr>
          <w:rFonts w:ascii="方正小标宋_GBK" w:hAnsi="方正小标宋_GBK" w:eastAsia="方正小标宋_GBK" w:cs="方正小标宋_GBK"/>
          <w:sz w:val="130"/>
          <w:szCs w:val="130"/>
        </w:rPr>
      </w:pPr>
      <w:r>
        <w:rPr>
          <w:rFonts w:ascii="方正小标宋_GBK" w:hAnsi="方正小标宋_GBK" w:eastAsia="方正小标宋_GBK" w:cs="方正小标宋_GBK"/>
          <w:b/>
          <w:bCs/>
          <w:color w:val="FF0000"/>
          <w:spacing w:val="-18"/>
          <w:w w:val="53"/>
          <w:sz w:val="130"/>
          <w:szCs w:val="130"/>
        </w:rPr>
        <w:t>重庆市医</w:t>
      </w:r>
      <w:r>
        <w:rPr>
          <w:rFonts w:ascii="方正小标宋_GBK" w:hAnsi="方正小标宋_GBK" w:eastAsia="方正小标宋_GBK" w:cs="方正小标宋_GBK"/>
          <w:b/>
          <w:bCs/>
          <w:color w:val="FF0000"/>
          <w:spacing w:val="-17"/>
          <w:w w:val="53"/>
          <w:sz w:val="130"/>
          <w:szCs w:val="130"/>
        </w:rPr>
        <w:t>疗保障局办公室文</w:t>
      </w:r>
      <w:r>
        <w:rPr>
          <w:rFonts w:ascii="方正小标宋_GBK" w:hAnsi="方正小标宋_GBK" w:eastAsia="方正小标宋_GBK" w:cs="方正小标宋_GBK"/>
          <w:b/>
          <w:bCs/>
          <w:color w:val="FF0000"/>
          <w:w w:val="53"/>
          <w:sz w:val="130"/>
          <w:szCs w:val="130"/>
        </w:rPr>
        <w:t>件</w:t>
      </w:r>
    </w:p>
    <w:p w14:paraId="27737282">
      <w:pPr>
        <w:pStyle w:val="2"/>
        <w:spacing w:before="337" w:line="507" w:lineRule="exact"/>
        <w:ind w:left="2965"/>
      </w:pPr>
      <w:r>
        <w:rPr>
          <w:spacing w:val="4"/>
          <w:position w:val="4"/>
        </w:rPr>
        <w:t>渝医保办〔</w:t>
      </w:r>
      <w:r>
        <w:rPr>
          <w:rFonts w:ascii="Times New Roman" w:hAnsi="Times New Roman" w:eastAsia="Times New Roman" w:cs="Times New Roman"/>
          <w:spacing w:val="4"/>
          <w:position w:val="4"/>
        </w:rPr>
        <w:t>2025</w:t>
      </w:r>
      <w:r>
        <w:rPr>
          <w:spacing w:val="4"/>
          <w:position w:val="4"/>
        </w:rPr>
        <w:t>〕</w:t>
      </w:r>
      <w:r>
        <w:rPr>
          <w:rFonts w:ascii="Times New Roman" w:hAnsi="Times New Roman" w:eastAsia="Times New Roman" w:cs="Times New Roman"/>
          <w:spacing w:val="4"/>
          <w:position w:val="4"/>
        </w:rPr>
        <w:t>18</w:t>
      </w:r>
      <w:r>
        <w:rPr>
          <w:spacing w:val="4"/>
          <w:position w:val="4"/>
        </w:rPr>
        <w:t>号</w:t>
      </w:r>
    </w:p>
    <w:p w14:paraId="5DDEA7C3">
      <w:pPr>
        <w:spacing w:before="102" w:line="43" w:lineRule="exact"/>
      </w:pPr>
      <w:r>
        <w:pict>
          <v:shape id="_x0000_s1026" o:spid="_x0000_s1026" style="height:2.2pt;width:458.2pt;" filled="f" stroked="t" coordsize="9164,44" path="m0,21l9163,21e">
            <v:fill on="f" focussize="0,0"/>
            <v:stroke weight="2.16pt" color="#FF0000" miterlimit="2" joinstyle="bevel"/>
            <v:imagedata o:title=""/>
            <o:lock v:ext="edit"/>
            <w10:wrap type="none"/>
            <w10:anchorlock/>
          </v:shape>
        </w:pict>
      </w:r>
    </w:p>
    <w:p w14:paraId="6E62AF8D">
      <w:pPr>
        <w:spacing w:line="268" w:lineRule="auto"/>
        <w:rPr>
          <w:rFonts w:ascii="Arial"/>
          <w:sz w:val="21"/>
        </w:rPr>
      </w:pPr>
    </w:p>
    <w:p w14:paraId="45167181">
      <w:pPr>
        <w:spacing w:line="268" w:lineRule="auto"/>
        <w:rPr>
          <w:rFonts w:ascii="Arial"/>
          <w:sz w:val="21"/>
        </w:rPr>
      </w:pPr>
    </w:p>
    <w:p w14:paraId="6C2FA393">
      <w:pPr>
        <w:spacing w:before="161" w:line="224" w:lineRule="auto"/>
        <w:ind w:left="2169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重庆市医疗保障局办公室</w:t>
      </w:r>
    </w:p>
    <w:p w14:paraId="0DF73590">
      <w:pPr>
        <w:spacing w:before="1" w:line="224" w:lineRule="auto"/>
        <w:ind w:left="624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关于公布《重庆市基本医疗保险门诊特殊</w:t>
      </w:r>
    </w:p>
    <w:p w14:paraId="2F4795A8">
      <w:pPr>
        <w:spacing w:line="651" w:lineRule="exact"/>
        <w:ind w:left="112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-5"/>
          <w:position w:val="5"/>
          <w:sz w:val="43"/>
          <w:szCs w:val="43"/>
        </w:rPr>
        <w:t>疾病保障指南（2025年版）》的通知</w:t>
      </w:r>
    </w:p>
    <w:p w14:paraId="044B77D8">
      <w:pPr>
        <w:spacing w:line="272" w:lineRule="auto"/>
        <w:rPr>
          <w:rFonts w:ascii="Arial"/>
          <w:sz w:val="21"/>
        </w:rPr>
      </w:pPr>
    </w:p>
    <w:p w14:paraId="6B9F55EF">
      <w:pPr>
        <w:spacing w:line="273" w:lineRule="auto"/>
        <w:rPr>
          <w:rFonts w:ascii="Arial"/>
          <w:sz w:val="21"/>
        </w:rPr>
      </w:pPr>
    </w:p>
    <w:p w14:paraId="120A1A68">
      <w:pPr>
        <w:pStyle w:val="2"/>
        <w:spacing w:before="114" w:line="318" w:lineRule="auto"/>
        <w:ind w:left="180" w:right="162" w:hanging="6"/>
      </w:pPr>
      <w:r>
        <w:rPr>
          <w:spacing w:val="2"/>
        </w:rPr>
        <w:t>各区县（自治县）医疗保障局，两江新区社会保障局、高新区政</w:t>
      </w:r>
      <w:r>
        <w:rPr>
          <w:spacing w:val="8"/>
        </w:rPr>
        <w:t>务服务和社会事务中心、万盛经开区人力社保局：</w:t>
      </w:r>
    </w:p>
    <w:p w14:paraId="60BC210B">
      <w:pPr>
        <w:pStyle w:val="2"/>
        <w:spacing w:before="9" w:line="317" w:lineRule="auto"/>
        <w:ind w:left="178" w:right="39" w:firstLine="648"/>
        <w:jc w:val="both"/>
      </w:pPr>
      <w:r>
        <w:rPr>
          <w:spacing w:val="17"/>
        </w:rPr>
        <w:t>为保障我市城镇职工基本医疗保险和城乡居民基本医</w:t>
      </w:r>
      <w:r>
        <w:rPr>
          <w:spacing w:val="16"/>
        </w:rPr>
        <w:t>疗保</w:t>
      </w:r>
      <w:r>
        <w:rPr>
          <w:spacing w:val="5"/>
        </w:rPr>
        <w:t>险参保人员门诊特殊疾病医疗费用待遇，加强和规范门诊特殊疾病管理，根据《重庆市医疗保障局关于印发〈重庆市基本医疗保</w:t>
      </w:r>
      <w:r>
        <w:rPr>
          <w:spacing w:val="7"/>
        </w:rPr>
        <w:t>险门诊特殊疾病管理办法〉的通知》（渝医</w:t>
      </w:r>
      <w:r>
        <w:rPr>
          <w:spacing w:val="6"/>
        </w:rPr>
        <w:t>保发〔</w:t>
      </w:r>
      <w:r>
        <w:rPr>
          <w:rFonts w:ascii="Times New Roman" w:hAnsi="Times New Roman" w:eastAsia="Times New Roman" w:cs="Times New Roman"/>
          <w:spacing w:val="6"/>
        </w:rPr>
        <w:t>2025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10</w:t>
      </w:r>
      <w:r>
        <w:rPr>
          <w:spacing w:val="6"/>
        </w:rPr>
        <w:t>号）</w:t>
      </w:r>
      <w:r>
        <w:rPr>
          <w:spacing w:val="5"/>
        </w:rPr>
        <w:t>精神，研究制定了《重庆市基本医疗保险门诊特殊疾病保障指南</w:t>
      </w:r>
    </w:p>
    <w:p w14:paraId="3CBC155A">
      <w:pPr>
        <w:spacing w:line="317" w:lineRule="auto"/>
        <w:sectPr>
          <w:footerReference r:id="rId5" w:type="default"/>
          <w:pgSz w:w="11906" w:h="16839"/>
          <w:pgMar w:top="1431" w:right="1313" w:bottom="1166" w:left="1429" w:header="0" w:footer="798" w:gutter="0"/>
          <w:cols w:space="720" w:num="1"/>
        </w:sectPr>
      </w:pPr>
    </w:p>
    <w:p w14:paraId="414B1547">
      <w:pPr>
        <w:spacing w:line="354" w:lineRule="auto"/>
        <w:rPr>
          <w:rFonts w:ascii="Arial"/>
          <w:sz w:val="21"/>
        </w:rPr>
      </w:pPr>
    </w:p>
    <w:p w14:paraId="5B0F4921">
      <w:pPr>
        <w:spacing w:line="354" w:lineRule="auto"/>
        <w:rPr>
          <w:rFonts w:ascii="Arial"/>
          <w:sz w:val="21"/>
        </w:rPr>
      </w:pPr>
    </w:p>
    <w:p w14:paraId="51B57AA2">
      <w:pPr>
        <w:pStyle w:val="2"/>
        <w:spacing w:before="114" w:line="504" w:lineRule="exact"/>
      </w:pPr>
      <w:r>
        <w:rPr>
          <w:spacing w:val="9"/>
          <w:position w:val="4"/>
        </w:rPr>
        <w:t>（</w:t>
      </w:r>
      <w:r>
        <w:rPr>
          <w:rFonts w:ascii="Times New Roman" w:hAnsi="Times New Roman" w:eastAsia="Times New Roman" w:cs="Times New Roman"/>
          <w:spacing w:val="9"/>
          <w:position w:val="4"/>
        </w:rPr>
        <w:t>2025</w:t>
      </w:r>
      <w:r>
        <w:rPr>
          <w:spacing w:val="9"/>
          <w:position w:val="4"/>
        </w:rPr>
        <w:t>版）》，现予以公布，并提出以下意见，请遵照执行。</w:t>
      </w:r>
    </w:p>
    <w:p w14:paraId="75ABEED1">
      <w:pPr>
        <w:pStyle w:val="2"/>
        <w:spacing w:before="132" w:line="292" w:lineRule="auto"/>
        <w:ind w:left="22" w:right="2" w:firstLine="663"/>
      </w:pPr>
      <w:r>
        <w:rPr>
          <w:spacing w:val="4"/>
        </w:rPr>
        <w:t>一、门诊特殊疾病保障指南是依据临床指南确定的医保诊断</w:t>
      </w:r>
      <w:r>
        <w:rPr>
          <w:spacing w:val="5"/>
        </w:rPr>
        <w:t>标准及报销范围，根据临床指南的变化及医保基金的承受能力进行动态更新。</w:t>
      </w:r>
    </w:p>
    <w:p w14:paraId="4D06A158">
      <w:pPr>
        <w:pStyle w:val="2"/>
        <w:spacing w:before="147" w:line="308" w:lineRule="auto"/>
        <w:ind w:left="22" w:firstLine="658"/>
      </w:pPr>
      <w:r>
        <w:rPr>
          <w:spacing w:val="4"/>
        </w:rPr>
        <w:t>二、门诊特殊疾病保障指南中所列药品、检验、检查、医疗</w:t>
      </w:r>
      <w:r>
        <w:rPr>
          <w:spacing w:val="2"/>
        </w:rPr>
        <w:t>服务项目及开展项目必需的药品、耗材、治疗项目，在结算时依</w:t>
      </w:r>
      <w:r>
        <w:rPr>
          <w:spacing w:val="5"/>
        </w:rPr>
        <w:t>据其医保属性及医保规定执行；其名称、编码、分类在国家医保局及我市有新的规定时，从其新规定。门诊特殊疾病保障指南医保分类编码有变化或未列举的药品，其说明书适应症符合“医保报销范围”的药品按规定纳入报销范围。门诊特殊疾病医疗保障</w:t>
      </w:r>
      <w:r>
        <w:rPr>
          <w:spacing w:val="6"/>
        </w:rPr>
        <w:t>指南中规定的“医保基金支付不超过</w:t>
      </w:r>
      <w:r>
        <w:rPr>
          <w:rFonts w:ascii="Times New Roman" w:hAnsi="Times New Roman" w:eastAsia="Times New Roman" w:cs="Times New Roman"/>
          <w:spacing w:val="6"/>
        </w:rPr>
        <w:t>X</w:t>
      </w:r>
      <w:r>
        <w:rPr>
          <w:spacing w:val="6"/>
        </w:rPr>
        <w:t>次”，是指限该门诊特殊疾病支付次数。</w:t>
      </w:r>
    </w:p>
    <w:p w14:paraId="5BAC8714">
      <w:pPr>
        <w:pStyle w:val="2"/>
        <w:spacing w:before="144" w:line="307" w:lineRule="auto"/>
        <w:ind w:left="24" w:firstLine="661"/>
      </w:pPr>
      <w:r>
        <w:rPr>
          <w:spacing w:val="4"/>
        </w:rPr>
        <w:t>三、门诊特殊疾病的中医药诊疗范围。中成药：由具有中成</w:t>
      </w:r>
      <w:r>
        <w:rPr>
          <w:spacing w:val="17"/>
        </w:rPr>
        <w:t>药处方资质的医师根据病情需要及中成药说明书适应症为门诊</w:t>
      </w:r>
      <w:r>
        <w:rPr>
          <w:spacing w:val="5"/>
        </w:rPr>
        <w:t>特殊疾病患者开具。除中成药外的中医药诊疗：恶性肿瘤门诊特殊疾病患者可直接到中医院或中医科就诊；其余病种由专科医师根据患者病情需要，需经中医医师会诊后提出使用建议。具有相应中医资质的医师应规范诊疗行为，辨证施治，在提出中医诊疗方案前需详细记录患者的症候类型，加强处方点评，充分发挥中</w:t>
      </w:r>
      <w:bookmarkStart w:id="0" w:name="_GoBack"/>
      <w:bookmarkEnd w:id="0"/>
      <w:r>
        <w:rPr>
          <w:spacing w:val="7"/>
        </w:rPr>
        <w:t>医个性化治疗的优势。</w:t>
      </w:r>
    </w:p>
    <w:p w14:paraId="0B079C55">
      <w:pPr>
        <w:pStyle w:val="2"/>
        <w:spacing w:before="162" w:line="225" w:lineRule="auto"/>
        <w:jc w:val="right"/>
      </w:pPr>
      <w:r>
        <w:rPr>
          <w:spacing w:val="3"/>
        </w:rPr>
        <w:t>四、各区县医疗保障部门要积极会同相关部门做好门诊特殊</w:t>
      </w:r>
    </w:p>
    <w:p w14:paraId="458C974D">
      <w:pPr>
        <w:spacing w:line="225" w:lineRule="auto"/>
        <w:sectPr>
          <w:footerReference r:id="rId6" w:type="default"/>
          <w:pgSz w:w="11906" w:h="16839"/>
          <w:pgMar w:top="1431" w:right="1473" w:bottom="1166" w:left="1577" w:header="0" w:footer="798" w:gutter="0"/>
          <w:cols w:space="720" w:num="1"/>
        </w:sectPr>
      </w:pPr>
    </w:p>
    <w:p w14:paraId="4BF19A51">
      <w:pPr>
        <w:spacing w:line="249" w:lineRule="auto"/>
        <w:rPr>
          <w:rFonts w:ascii="Arial"/>
          <w:sz w:val="21"/>
        </w:rPr>
      </w:pPr>
    </w:p>
    <w:p w14:paraId="2D922BFF">
      <w:pPr>
        <w:spacing w:line="249" w:lineRule="auto"/>
        <w:rPr>
          <w:rFonts w:ascii="Arial"/>
          <w:sz w:val="21"/>
        </w:rPr>
      </w:pPr>
    </w:p>
    <w:p w14:paraId="64987BCE">
      <w:pPr>
        <w:spacing w:line="250" w:lineRule="auto"/>
        <w:rPr>
          <w:rFonts w:ascii="Arial"/>
          <w:sz w:val="21"/>
        </w:rPr>
      </w:pPr>
    </w:p>
    <w:p w14:paraId="0492E6CB">
      <w:pPr>
        <w:pStyle w:val="2"/>
        <w:spacing w:before="114" w:line="321" w:lineRule="auto"/>
        <w:ind w:right="195" w:firstLine="5"/>
        <w:jc w:val="both"/>
      </w:pPr>
      <w:r>
        <w:rPr>
          <w:spacing w:val="5"/>
        </w:rPr>
        <w:t>疾病保障工作，加强对定点医疗机构的指导，密切关注政策落地进展和规范。相关医疗机构要加强对门诊特殊疾病诊疗行为的管理，依据门诊特殊疾病保障指南规范诊疗行为，因病施检、因病</w:t>
      </w:r>
      <w:r>
        <w:rPr>
          <w:spacing w:val="3"/>
        </w:rPr>
        <w:t>施治，促进临床合理用药。</w:t>
      </w:r>
    </w:p>
    <w:p w14:paraId="7C5D93E8">
      <w:pPr>
        <w:spacing w:line="418" w:lineRule="auto"/>
        <w:rPr>
          <w:rFonts w:ascii="Arial"/>
          <w:sz w:val="21"/>
        </w:rPr>
      </w:pPr>
    </w:p>
    <w:p w14:paraId="05D0C24E">
      <w:pPr>
        <w:pStyle w:val="2"/>
        <w:spacing w:before="113" w:line="506" w:lineRule="exact"/>
        <w:jc w:val="right"/>
      </w:pPr>
      <w:r>
        <w:rPr>
          <w:spacing w:val="-30"/>
          <w:position w:val="4"/>
        </w:rPr>
        <w:t>附件：《重庆市基本医疗保险门诊特殊疾病保障指南（</w:t>
      </w:r>
      <w:r>
        <w:rPr>
          <w:rFonts w:ascii="Times New Roman" w:hAnsi="Times New Roman" w:eastAsia="Times New Roman" w:cs="Times New Roman"/>
          <w:spacing w:val="-30"/>
          <w:position w:val="4"/>
        </w:rPr>
        <w:t>2025</w:t>
      </w:r>
      <w:r>
        <w:rPr>
          <w:spacing w:val="-30"/>
          <w:position w:val="4"/>
        </w:rPr>
        <w:t>年版）》</w:t>
      </w:r>
    </w:p>
    <w:p w14:paraId="452988F1">
      <w:pPr>
        <w:spacing w:line="242" w:lineRule="auto"/>
        <w:rPr>
          <w:rFonts w:ascii="Arial"/>
          <w:sz w:val="21"/>
        </w:rPr>
      </w:pPr>
    </w:p>
    <w:p w14:paraId="21F43FFC">
      <w:pPr>
        <w:spacing w:line="242" w:lineRule="auto"/>
        <w:rPr>
          <w:rFonts w:ascii="Arial"/>
          <w:sz w:val="21"/>
        </w:rPr>
      </w:pPr>
    </w:p>
    <w:p w14:paraId="18B424E4">
      <w:pPr>
        <w:spacing w:line="243" w:lineRule="auto"/>
        <w:rPr>
          <w:rFonts w:ascii="Arial"/>
          <w:sz w:val="21"/>
        </w:rPr>
      </w:pPr>
    </w:p>
    <w:p w14:paraId="12BDB2E5">
      <w:pPr>
        <w:spacing w:line="243" w:lineRule="auto"/>
        <w:rPr>
          <w:rFonts w:ascii="Arial"/>
          <w:sz w:val="21"/>
        </w:rPr>
      </w:pPr>
    </w:p>
    <w:p w14:paraId="340DF50F">
      <w:pPr>
        <w:spacing w:line="243" w:lineRule="auto"/>
        <w:rPr>
          <w:rFonts w:ascii="Arial"/>
          <w:sz w:val="21"/>
        </w:rPr>
      </w:pPr>
    </w:p>
    <w:p w14:paraId="317D299E">
      <w:pPr>
        <w:pStyle w:val="2"/>
        <w:spacing w:before="113" w:line="237" w:lineRule="auto"/>
        <w:ind w:left="4501"/>
      </w:pPr>
      <w:r>
        <w:rPr>
          <w:spacing w:val="7"/>
        </w:rPr>
        <w:t>重庆市医疗保障局办公室</w:t>
      </w:r>
    </w:p>
    <w:p w14:paraId="2F7C74F6">
      <w:pPr>
        <w:pStyle w:val="2"/>
        <w:spacing w:before="95" w:line="511" w:lineRule="exact"/>
        <w:ind w:left="4994"/>
      </w:pPr>
      <w:r>
        <w:rPr>
          <w:rFonts w:ascii="Times New Roman" w:hAnsi="Times New Roman" w:eastAsia="Times New Roman" w:cs="Times New Roman"/>
          <w:spacing w:val="-1"/>
          <w:position w:val="4"/>
        </w:rPr>
        <w:t>2025</w:t>
      </w:r>
      <w:r>
        <w:rPr>
          <w:spacing w:val="-1"/>
          <w:position w:val="4"/>
        </w:rPr>
        <w:t>年</w:t>
      </w:r>
      <w:r>
        <w:rPr>
          <w:rFonts w:ascii="Times New Roman" w:hAnsi="Times New Roman" w:eastAsia="Times New Roman" w:cs="Times New Roman"/>
          <w:spacing w:val="-1"/>
          <w:position w:val="4"/>
        </w:rPr>
        <w:t>3</w:t>
      </w:r>
      <w:r>
        <w:rPr>
          <w:spacing w:val="-1"/>
          <w:position w:val="4"/>
        </w:rPr>
        <w:t>月</w:t>
      </w:r>
      <w:r>
        <w:rPr>
          <w:rFonts w:ascii="Times New Roman" w:hAnsi="Times New Roman" w:eastAsia="Times New Roman" w:cs="Times New Roman"/>
          <w:spacing w:val="-1"/>
          <w:position w:val="4"/>
        </w:rPr>
        <w:t>25</w:t>
      </w:r>
      <w:r>
        <w:rPr>
          <w:spacing w:val="-1"/>
          <w:position w:val="4"/>
        </w:rPr>
        <w:t>日</w:t>
      </w:r>
    </w:p>
    <w:p w14:paraId="5AB2ED02">
      <w:pPr>
        <w:pStyle w:val="2"/>
        <w:spacing w:before="124" w:line="237" w:lineRule="auto"/>
        <w:ind w:left="778"/>
      </w:pPr>
      <w:r>
        <w:rPr>
          <w:spacing w:val="11"/>
        </w:rPr>
        <w:t>（此件公开发布）</w:t>
      </w:r>
    </w:p>
    <w:p w14:paraId="2C7F3228">
      <w:pPr>
        <w:spacing w:line="237" w:lineRule="auto"/>
        <w:sectPr>
          <w:footerReference r:id="rId7" w:type="default"/>
          <w:pgSz w:w="11906" w:h="16839"/>
          <w:pgMar w:top="1431" w:right="1277" w:bottom="1166" w:left="1600" w:header="0" w:footer="800" w:gutter="0"/>
          <w:cols w:space="720" w:num="1"/>
        </w:sectPr>
      </w:pPr>
    </w:p>
    <w:p w14:paraId="23ABF0D2">
      <w:pPr>
        <w:spacing w:before="2"/>
      </w:pPr>
    </w:p>
    <w:p w14:paraId="50352CB7">
      <w:pPr>
        <w:spacing w:before="2"/>
      </w:pPr>
    </w:p>
    <w:p w14:paraId="21EED569">
      <w:pPr>
        <w:spacing w:before="2"/>
      </w:pPr>
    </w:p>
    <w:p w14:paraId="5013529B">
      <w:pPr>
        <w:spacing w:before="2"/>
      </w:pPr>
    </w:p>
    <w:p w14:paraId="77F4C8A7">
      <w:pPr>
        <w:spacing w:before="2"/>
      </w:pPr>
    </w:p>
    <w:p w14:paraId="674C4226">
      <w:pPr>
        <w:spacing w:before="1"/>
      </w:pPr>
    </w:p>
    <w:p w14:paraId="7E5AD198">
      <w:pPr>
        <w:spacing w:before="1"/>
      </w:pPr>
    </w:p>
    <w:p w14:paraId="411ACF18">
      <w:pPr>
        <w:spacing w:before="1"/>
      </w:pPr>
    </w:p>
    <w:p w14:paraId="78749A60">
      <w:pPr>
        <w:spacing w:before="1"/>
      </w:pPr>
    </w:p>
    <w:p w14:paraId="09D7CF21">
      <w:pPr>
        <w:spacing w:before="1"/>
      </w:pPr>
    </w:p>
    <w:p w14:paraId="41DE0658">
      <w:pPr>
        <w:spacing w:before="1"/>
      </w:pPr>
    </w:p>
    <w:p w14:paraId="26152750">
      <w:pPr>
        <w:spacing w:before="1"/>
      </w:pPr>
    </w:p>
    <w:p w14:paraId="55F10082">
      <w:pPr>
        <w:spacing w:before="1"/>
      </w:pPr>
    </w:p>
    <w:p w14:paraId="640073C5">
      <w:pPr>
        <w:spacing w:before="1"/>
      </w:pPr>
    </w:p>
    <w:p w14:paraId="4BCFAC93">
      <w:pPr>
        <w:spacing w:before="1"/>
      </w:pPr>
    </w:p>
    <w:p w14:paraId="778B86FE">
      <w:pPr>
        <w:spacing w:before="1"/>
      </w:pPr>
    </w:p>
    <w:p w14:paraId="77BB2E6E">
      <w:pPr>
        <w:spacing w:before="1"/>
      </w:pPr>
    </w:p>
    <w:p w14:paraId="0FD3FDC8">
      <w:pPr>
        <w:spacing w:before="1"/>
      </w:pPr>
    </w:p>
    <w:p w14:paraId="7E337486">
      <w:pPr>
        <w:spacing w:before="1"/>
      </w:pPr>
    </w:p>
    <w:p w14:paraId="1B33D3AD">
      <w:pPr>
        <w:spacing w:before="1"/>
      </w:pPr>
    </w:p>
    <w:p w14:paraId="24FCF145">
      <w:pPr>
        <w:spacing w:before="1"/>
      </w:pPr>
    </w:p>
    <w:p w14:paraId="6722D84B">
      <w:pPr>
        <w:spacing w:before="1"/>
      </w:pPr>
    </w:p>
    <w:p w14:paraId="46E2643D">
      <w:pPr>
        <w:spacing w:before="1"/>
      </w:pPr>
    </w:p>
    <w:p w14:paraId="48D8E5C7">
      <w:pPr>
        <w:spacing w:before="1"/>
      </w:pPr>
    </w:p>
    <w:p w14:paraId="5EC111F4">
      <w:pPr>
        <w:spacing w:before="1"/>
      </w:pPr>
    </w:p>
    <w:p w14:paraId="6D15ACB9">
      <w:pPr>
        <w:spacing w:before="1"/>
      </w:pPr>
    </w:p>
    <w:p w14:paraId="22DDAAC3">
      <w:pPr>
        <w:spacing w:before="1"/>
      </w:pPr>
    </w:p>
    <w:p w14:paraId="0AAC45B3">
      <w:pPr>
        <w:spacing w:before="1"/>
      </w:pPr>
    </w:p>
    <w:p w14:paraId="47A0A178">
      <w:pPr>
        <w:spacing w:before="1"/>
      </w:pPr>
    </w:p>
    <w:p w14:paraId="7252CC6A">
      <w:pPr>
        <w:spacing w:before="1"/>
      </w:pPr>
    </w:p>
    <w:p w14:paraId="0F811A39">
      <w:pPr>
        <w:spacing w:before="1"/>
      </w:pPr>
    </w:p>
    <w:p w14:paraId="2DFCB3F0">
      <w:pPr>
        <w:spacing w:before="1"/>
      </w:pPr>
    </w:p>
    <w:p w14:paraId="09D74085">
      <w:pPr>
        <w:spacing w:before="1"/>
      </w:pPr>
    </w:p>
    <w:p w14:paraId="0F4300FF">
      <w:pPr>
        <w:spacing w:before="1"/>
      </w:pPr>
    </w:p>
    <w:p w14:paraId="333FBF1B">
      <w:pPr>
        <w:spacing w:before="1"/>
      </w:pPr>
    </w:p>
    <w:p w14:paraId="23002A37">
      <w:pPr>
        <w:spacing w:before="1"/>
      </w:pPr>
    </w:p>
    <w:p w14:paraId="0F1ADBC6">
      <w:pPr>
        <w:spacing w:before="1"/>
      </w:pPr>
    </w:p>
    <w:p w14:paraId="1FBE6042">
      <w:pPr>
        <w:spacing w:before="1"/>
      </w:pPr>
    </w:p>
    <w:p w14:paraId="2DA4A76E">
      <w:pPr>
        <w:spacing w:before="1"/>
      </w:pPr>
    </w:p>
    <w:p w14:paraId="6EA94FB9">
      <w:pPr>
        <w:spacing w:before="1"/>
      </w:pPr>
    </w:p>
    <w:p w14:paraId="1271E0E7">
      <w:pPr>
        <w:spacing w:before="1"/>
      </w:pPr>
    </w:p>
    <w:p w14:paraId="26375D94">
      <w:pPr>
        <w:spacing w:before="1"/>
      </w:pPr>
    </w:p>
    <w:p w14:paraId="4D9234AA">
      <w:pPr>
        <w:spacing w:before="1"/>
      </w:pPr>
    </w:p>
    <w:p w14:paraId="1D5A7608">
      <w:pPr>
        <w:spacing w:before="1"/>
      </w:pPr>
    </w:p>
    <w:p w14:paraId="3C515A53">
      <w:pPr>
        <w:spacing w:before="1"/>
      </w:pPr>
    </w:p>
    <w:p w14:paraId="06A658B7">
      <w:pPr>
        <w:spacing w:before="1"/>
      </w:pPr>
    </w:p>
    <w:p w14:paraId="27E94FDE">
      <w:pPr>
        <w:spacing w:before="1"/>
      </w:pPr>
    </w:p>
    <w:p w14:paraId="3FF8A6D4">
      <w:pPr>
        <w:spacing w:before="1"/>
      </w:pPr>
    </w:p>
    <w:p w14:paraId="35F0DACE">
      <w:pPr>
        <w:spacing w:before="1"/>
      </w:pPr>
    </w:p>
    <w:p w14:paraId="4431E800">
      <w:pPr>
        <w:spacing w:before="1"/>
      </w:pPr>
    </w:p>
    <w:p w14:paraId="39F08E72">
      <w:pPr>
        <w:spacing w:before="1"/>
      </w:pPr>
    </w:p>
    <w:p w14:paraId="7B502E10">
      <w:pPr>
        <w:spacing w:before="1"/>
      </w:pPr>
    </w:p>
    <w:tbl>
      <w:tblPr>
        <w:tblStyle w:val="5"/>
        <w:tblW w:w="883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7"/>
        <w:gridCol w:w="4247"/>
      </w:tblGrid>
      <w:tr w14:paraId="624774B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09" w:hRule="atLeast"/>
        </w:trPr>
        <w:tc>
          <w:tcPr>
            <w:tcW w:w="4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80D1CE">
            <w:pPr>
              <w:spacing w:before="237" w:line="212" w:lineRule="auto"/>
              <w:ind w:left="413"/>
              <w:outlineLvl w:val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8"/>
                <w:szCs w:val="28"/>
              </w:rPr>
              <w:t>重庆市医疗保障局办公室</w:t>
            </w:r>
          </w:p>
        </w:tc>
        <w:tc>
          <w:tcPr>
            <w:tcW w:w="42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EF39AB">
            <w:pPr>
              <w:spacing w:before="201" w:line="233" w:lineRule="auto"/>
              <w:ind w:left="1206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2025</w:t>
            </w:r>
            <w:r>
              <w:rPr>
                <w:rFonts w:ascii="方正仿宋_GBK" w:hAnsi="方正仿宋_GBK" w:eastAsia="方正仿宋_GBK" w:cs="方正仿宋_GBK"/>
                <w:spacing w:val="-10"/>
                <w:sz w:val="28"/>
                <w:szCs w:val="2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3</w:t>
            </w:r>
            <w:r>
              <w:rPr>
                <w:rFonts w:ascii="方正仿宋_GBK" w:hAnsi="方正仿宋_GBK" w:eastAsia="方正仿宋_GBK" w:cs="方正仿宋_GBK"/>
                <w:spacing w:val="-10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26</w:t>
            </w:r>
            <w:r>
              <w:rPr>
                <w:rFonts w:ascii="方正仿宋_GBK" w:hAnsi="方正仿宋_GBK" w:eastAsia="方正仿宋_GBK" w:cs="方正仿宋_GBK"/>
                <w:spacing w:val="-10"/>
                <w:sz w:val="28"/>
                <w:szCs w:val="28"/>
              </w:rPr>
              <w:t>日印发</w:t>
            </w:r>
          </w:p>
        </w:tc>
      </w:tr>
    </w:tbl>
    <w:p w14:paraId="10D96A6E">
      <w:pPr>
        <w:rPr>
          <w:rFonts w:ascii="Arial"/>
          <w:sz w:val="21"/>
        </w:rPr>
      </w:pPr>
    </w:p>
    <w:sectPr>
      <w:footerReference r:id="rId8" w:type="default"/>
      <w:pgSz w:w="11906" w:h="16839"/>
      <w:pgMar w:top="1431" w:right="1535" w:bottom="1166" w:left="1535" w:header="0" w:footer="7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46F72">
    <w:pPr>
      <w:spacing w:before="1" w:line="235" w:lineRule="auto"/>
      <w:ind w:left="83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0B96F">
    <w:pPr>
      <w:spacing w:before="1" w:line="235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443F4">
    <w:pPr>
      <w:spacing w:line="234" w:lineRule="auto"/>
      <w:ind w:left="81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CF392">
    <w:pPr>
      <w:spacing w:before="1" w:line="235" w:lineRule="auto"/>
      <w:ind w:left="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5154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937</Words>
  <Characters>962</Characters>
  <TotalTime>0</TotalTime>
  <ScaleCrop>false</ScaleCrop>
  <LinksUpToDate>false</LinksUpToDate>
  <CharactersWithSpaces>1009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2025-03-26T11:32:00Z</dcterms:created>
  <dc:creator>伶伶</dc:creator>
  <cp:lastModifiedBy>袁航</cp:lastModifiedBy>
  <dcterms:modified xsi:type="dcterms:W3CDTF">2025-09-01T08:57:45Z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2025-09-01T16:57:25Z</vt:filetime>
  </property>
  <property fmtid="{D5CDD505-2E9C-101B-9397-08002B2CF9AE}" pid="4" name="KSOTemplateDocerSaveRecord">
    <vt:lpwstr>eyJoZGlkIjoiOTkwZmY5M2FiOGI3NmUxNmU3Mzg0ZTkyMmNkZjI3NWMiLCJ1c2VySWQiOiIxNjc5NDU3OTgyIn0=</vt:lpwstr>
  </property>
  <property fmtid="{D5CDD505-2E9C-101B-9397-08002B2CF9AE}" pid="5" name="KSOProductBuildVer">
    <vt:lpwstr>2052-12.1.0.21915</vt:lpwstr>
  </property>
  <property fmtid="{D5CDD505-2E9C-101B-9397-08002B2CF9AE}" pid="6" name="ICV">
    <vt:lpwstr>84DFB8D3AC2F4808BB861D8DCFEA09B0_12</vt:lpwstr>
  </property>
</Properties>
</file>