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_GBK" w:hAnsi="方正小标宋_GBK" w:eastAsia="方正小标宋_GBK" w:cs="方正小标宋_GBK"/>
          <w:color w:val="000000"/>
          <w:sz w:val="48"/>
          <w:szCs w:val="48"/>
          <w:highlight w:val="none"/>
        </w:rPr>
      </w:pPr>
      <w:r>
        <w:rPr>
          <w:rFonts w:hint="eastAsia" w:ascii="方正小标宋_GBK" w:hAnsi="方正小标宋_GBK" w:eastAsia="方正小标宋_GBK" w:cs="方正小标宋_GBK"/>
          <w:color w:val="000000"/>
          <w:sz w:val="48"/>
          <w:szCs w:val="48"/>
          <w:highlight w:val="none"/>
        </w:rPr>
        <w:t>特殊疾病</w:t>
      </w:r>
    </w:p>
    <w:p>
      <w:pPr>
        <w:spacing w:line="579" w:lineRule="exact"/>
        <w:ind w:firstLine="640" w:firstLineChars="200"/>
        <w:rPr>
          <w:rFonts w:hint="eastAsia" w:ascii="方正黑体_GBK" w:hAnsi="方正黑体_GBK" w:eastAsia="方正黑体_GBK" w:cs="方正黑体_GBK"/>
          <w:color w:val="000000"/>
          <w:sz w:val="32"/>
          <w:szCs w:val="32"/>
          <w:highlight w:val="none"/>
        </w:rPr>
      </w:pPr>
    </w:p>
    <w:p>
      <w:pPr>
        <w:spacing w:line="579" w:lineRule="exact"/>
        <w:ind w:firstLine="640" w:firstLineChars="200"/>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一、办理范围</w:t>
      </w:r>
    </w:p>
    <w:tbl>
      <w:tblPr>
        <w:tblStyle w:val="5"/>
        <w:tblpPr w:leftFromText="180" w:rightFromText="180" w:vertAnchor="text" w:horzAnchor="page" w:tblpX="895" w:tblpY="2141"/>
        <w:tblOverlap w:val="never"/>
        <w:tblW w:w="10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3100"/>
        <w:gridCol w:w="2834"/>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667"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方正仿宋_GBK" w:hAnsi="方正仿宋_GBK" w:eastAsia="方正仿宋_GBK" w:cs="方正仿宋_GBK"/>
                <w:b/>
                <w:bCs w:val="0"/>
                <w:color w:val="000000"/>
                <w:kern w:val="0"/>
                <w:sz w:val="32"/>
                <w:szCs w:val="32"/>
                <w:vertAlign w:val="baseline"/>
                <w:lang w:val="en-US" w:eastAsia="zh-CN" w:bidi="ar"/>
              </w:rPr>
            </w:pPr>
            <w:r>
              <w:rPr>
                <w:rFonts w:hint="eastAsia" w:ascii="方正仿宋_GBK" w:hAnsi="方正仿宋_GBK" w:eastAsia="方正仿宋_GBK" w:cs="方正仿宋_GBK"/>
                <w:b/>
                <w:bCs w:val="0"/>
                <w:color w:val="000000"/>
                <w:kern w:val="0"/>
                <w:sz w:val="32"/>
                <w:szCs w:val="32"/>
                <w:vertAlign w:val="baseline"/>
                <w:lang w:val="en-US" w:eastAsia="zh-CN" w:bidi="ar"/>
              </w:rPr>
              <w:t>随单位参保、个人参加职工医保二档、居民医保</w:t>
            </w:r>
          </w:p>
        </w:tc>
        <w:tc>
          <w:tcPr>
            <w:tcW w:w="1933" w:type="dxa"/>
            <w:vMerge w:val="restart"/>
            <w:vAlign w:val="center"/>
          </w:tcPr>
          <w:p>
            <w:pPr>
              <w:pStyle w:val="2"/>
              <w:keepNext/>
              <w:keepLines/>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方正仿宋_GBK" w:hAnsi="方正仿宋_GBK" w:eastAsia="方正仿宋_GBK" w:cs="方正仿宋_GBK"/>
                <w:b/>
                <w:bCs w:val="0"/>
                <w:color w:val="000000"/>
                <w:kern w:val="0"/>
                <w:sz w:val="32"/>
                <w:szCs w:val="32"/>
                <w:vertAlign w:val="baseline"/>
                <w:lang w:val="en-US" w:eastAsia="zh-CN" w:bidi="ar"/>
              </w:rPr>
            </w:pPr>
            <w:r>
              <w:rPr>
                <w:rFonts w:hint="eastAsia" w:ascii="方正仿宋_GBK" w:hAnsi="方正仿宋_GBK" w:eastAsia="方正仿宋_GBK" w:cs="方正仿宋_GBK"/>
                <w:b/>
                <w:bCs w:val="0"/>
                <w:color w:val="000000"/>
                <w:kern w:val="0"/>
                <w:sz w:val="32"/>
                <w:szCs w:val="32"/>
                <w:vertAlign w:val="baseline"/>
                <w:lang w:val="en-US" w:eastAsia="zh-CN" w:bidi="ar"/>
              </w:rPr>
              <w:t>个人参加职工医保一档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33" w:type="dxa"/>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一类</w:t>
            </w:r>
            <w:r>
              <w:rPr>
                <w:rFonts w:hint="eastAsia" w:ascii="宋体" w:hAnsi="宋体" w:eastAsia="宋体" w:cs="宋体"/>
                <w:b/>
                <w:bCs/>
                <w:color w:val="000000"/>
                <w:sz w:val="24"/>
                <w:szCs w:val="24"/>
              </w:rPr>
              <w:t>疾病</w:t>
            </w:r>
          </w:p>
        </w:tc>
        <w:tc>
          <w:tcPr>
            <w:tcW w:w="5934" w:type="dxa"/>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二类</w:t>
            </w:r>
            <w:r>
              <w:rPr>
                <w:rFonts w:hint="eastAsia" w:ascii="宋体" w:hAnsi="宋体" w:eastAsia="宋体" w:cs="宋体"/>
                <w:b/>
                <w:bCs/>
                <w:color w:val="000000"/>
                <w:sz w:val="24"/>
                <w:szCs w:val="24"/>
              </w:rPr>
              <w:t>疾病</w:t>
            </w:r>
          </w:p>
        </w:tc>
        <w:tc>
          <w:tcPr>
            <w:tcW w:w="1933" w:type="dxa"/>
            <w:vMerge w:val="continue"/>
            <w:vAlign w:val="center"/>
          </w:tcPr>
          <w:p>
            <w:pPr>
              <w:pStyle w:val="2"/>
              <w:keepNext/>
              <w:keepLines/>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FZFangSong-Z02" w:hAnsi="FZFangSong-Z02" w:eastAsia="FZFangSong-Z02" w:cs="FZFangSong-Z02"/>
                <w:b w:val="0"/>
                <w:bCs/>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33" w:type="dxa"/>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1.慢性肾衰竭血液净化治疗；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2.器官（包括组织、细胞）移植术后抗排异治疗；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3.恶性肿瘤；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4.血友病；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5.再生障碍性贫血；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6.地中海贫血（中、重型）；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7.扩张型心肌病；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8.克山病；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9.阿尔茨海默病；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10.艾滋病机会性感染；</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11.耐药结核病；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12.高苯丙氨酸血症（苯丙酮尿症、四氢生物蝶呤缺乏症）；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13.普拉德-威利综合征；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14.原发性生长激素缺乏症。</w:t>
            </w:r>
          </w:p>
        </w:tc>
        <w:tc>
          <w:tcPr>
            <w:tcW w:w="3100" w:type="dxa"/>
            <w:tcBorders>
              <w:right w:val="nil"/>
            </w:tcBorders>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1.强直性脊柱炎；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2.原发性肾病综合征；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3.肝豆状核变性；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4.重度骨质疏松；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5.高血压；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6.糖尿病；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7.甲亢；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8.冠心病；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9.风湿性心瓣膜病；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10.肝硬化；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11.脑卒中后遗症（脑梗死、脑出血、蛛网膜下腔出血后遗症、血管性痴呆）；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12.帕金森病；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13.肌萎缩侧索硬化症；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14.支气管哮喘；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15.慢性阻塞性肺疾病；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16.慢性肺源性心脏病：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17.结核病；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18.慢性乙型肝炎病毒感染；</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19.丙型肝炎；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20.真性红细胞增多症；</w:t>
            </w:r>
          </w:p>
        </w:tc>
        <w:tc>
          <w:tcPr>
            <w:tcW w:w="2834" w:type="dxa"/>
            <w:tcBorders>
              <w:left w:val="nil"/>
            </w:tcBorders>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21.原发性血小板增多症；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22.原发性骨髓纤维化症；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23.系统性红斑狼疮；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24.系统性硬化症；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25.原发性干燥综合征；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26.重症肌无力；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27.慢性肾脏病；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28.类风湿性关节炎、幼年特发性关节炎；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29.良性前列腺增生症；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30.原发性青光眼；</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31.精神分裂症；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32.心境障得；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33.偏执性精神障碍；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34.分裂情感性障研；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35.癫痫所致精神障碍；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36.精神发育迟滞伴发精神障碍；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37.焦虑症；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38.强迫症；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39.抑郁症。</w:t>
            </w:r>
          </w:p>
        </w:tc>
        <w:tc>
          <w:tcPr>
            <w:tcW w:w="1933" w:type="dxa"/>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1.慢性肾衰竭血液净化治疗；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2.器官移植术后抗排异治疗；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3.恶性肿瘤；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4.血友病。</w:t>
            </w:r>
          </w:p>
        </w:tc>
      </w:tr>
    </w:tbl>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我市职工医保和居民医保参保人，患门诊特殊疾病病种范围内的疾病，</w:t>
      </w:r>
      <w:r>
        <w:rPr>
          <w:rFonts w:hint="eastAsia" w:ascii="方正仿宋_GBK" w:hAnsi="方正仿宋_GBK" w:eastAsia="方正仿宋_GBK" w:cs="方正仿宋_GBK"/>
          <w:color w:val="000000"/>
          <w:sz w:val="32"/>
          <w:szCs w:val="32"/>
          <w:highlight w:val="none"/>
        </w:rPr>
        <w:t>需要长期门诊治疗的，</w:t>
      </w:r>
      <w:r>
        <w:rPr>
          <w:rFonts w:hint="eastAsia" w:ascii="方正仿宋_GBK" w:hAnsi="方正仿宋_GBK" w:eastAsia="方正仿宋_GBK" w:cs="方正仿宋_GBK"/>
          <w:color w:val="000000"/>
          <w:kern w:val="0"/>
          <w:sz w:val="32"/>
          <w:szCs w:val="32"/>
          <w:lang w:val="en-US" w:eastAsia="zh-CN" w:bidi="ar"/>
        </w:rPr>
        <w:t>经诊断符合标准的按规定享受相关待遇。</w:t>
      </w:r>
    </w:p>
    <w:p>
      <w:pPr>
        <w:pageBreakBefore w:val="0"/>
        <w:widowControl w:val="0"/>
        <w:kinsoku/>
        <w:wordWrap/>
        <w:overflowPunct/>
        <w:topLinePunct w:val="0"/>
        <w:autoSpaceDE/>
        <w:autoSpaceDN/>
        <w:bidi w:val="0"/>
        <w:adjustRightInd/>
        <w:snapToGrid/>
        <w:spacing w:line="760" w:lineRule="exact"/>
        <w:ind w:firstLine="640" w:firstLineChars="200"/>
        <w:textAlignment w:val="auto"/>
        <w:rPr>
          <w:rFonts w:hint="eastAsia" w:ascii="方正黑体_GBK" w:hAnsi="方正黑体_GBK"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val="en-US" w:eastAsia="zh-CN"/>
        </w:rPr>
        <w:t>二、门诊特殊疾病待遇报销标准</w:t>
      </w:r>
    </w:p>
    <w:p>
      <w:pPr>
        <w:pStyle w:val="2"/>
        <w:keepNext/>
        <w:keepLines/>
        <w:pageBreakBefore w:val="0"/>
        <w:widowControl w:val="0"/>
        <w:kinsoku/>
        <w:wordWrap/>
        <w:overflowPunct/>
        <w:topLinePunct w:val="0"/>
        <w:autoSpaceDE/>
        <w:autoSpaceDN/>
        <w:bidi w:val="0"/>
        <w:adjustRightInd/>
        <w:snapToGrid/>
        <w:spacing w:before="0" w:after="0" w:line="6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（一）职工医保门诊特殊疾病报销标准</w:t>
      </w:r>
    </w:p>
    <w:tbl>
      <w:tblPr>
        <w:tblStyle w:val="4"/>
        <w:tblpPr w:leftFromText="180" w:rightFromText="180" w:vertAnchor="text" w:horzAnchor="page" w:tblpX="977" w:tblpY="532"/>
        <w:tblOverlap w:val="never"/>
        <w:tblW w:w="10718"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27"/>
        <w:gridCol w:w="1636"/>
        <w:gridCol w:w="1542"/>
        <w:gridCol w:w="2495"/>
        <w:gridCol w:w="1472"/>
        <w:gridCol w:w="846"/>
        <w:gridCol w:w="887"/>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blCellSpacing w:w="0" w:type="dxa"/>
        </w:trPr>
        <w:tc>
          <w:tcPr>
            <w:tcW w:w="927" w:type="dxa"/>
            <w:vMerge w:val="restart"/>
            <w:tcBorders>
              <w:top w:val="single" w:color="auto" w:sz="4" w:space="0"/>
              <w:left w:val="single" w:color="000000" w:sz="6"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8"/>
                <w:szCs w:val="28"/>
                <w:lang w:val="en-US" w:eastAsia="zh-CN"/>
              </w:rPr>
              <w:t>病种类型</w:t>
            </w:r>
          </w:p>
        </w:tc>
        <w:tc>
          <w:tcPr>
            <w:tcW w:w="7145"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随单位参保和个人身份参加职工医保二档人员</w:t>
            </w:r>
          </w:p>
        </w:tc>
        <w:tc>
          <w:tcPr>
            <w:tcW w:w="264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个人身份参加职工医保一档人员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1" w:hRule="atLeast"/>
          <w:tblCellSpacing w:w="0" w:type="dxa"/>
        </w:trPr>
        <w:tc>
          <w:tcPr>
            <w:tcW w:w="92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4"/>
                <w:szCs w:val="24"/>
                <w:lang w:val="en-US" w:eastAsia="zh-CN"/>
              </w:rPr>
            </w:pPr>
          </w:p>
        </w:tc>
        <w:tc>
          <w:tcPr>
            <w:tcW w:w="163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起付标准</w:t>
            </w:r>
          </w:p>
        </w:tc>
        <w:tc>
          <w:tcPr>
            <w:tcW w:w="40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报销比例</w:t>
            </w:r>
          </w:p>
        </w:tc>
        <w:tc>
          <w:tcPr>
            <w:tcW w:w="147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报销限额</w:t>
            </w:r>
          </w:p>
        </w:tc>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起付标准</w:t>
            </w:r>
          </w:p>
        </w:tc>
        <w:tc>
          <w:tcPr>
            <w:tcW w:w="88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报销比例</w:t>
            </w:r>
          </w:p>
        </w:tc>
        <w:tc>
          <w:tcPr>
            <w:tcW w:w="9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8" w:hRule="atLeast"/>
          <w:tblCellSpacing w:w="0" w:type="dxa"/>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一类疾病</w:t>
            </w:r>
          </w:p>
        </w:tc>
        <w:tc>
          <w:tcPr>
            <w:tcW w:w="1636"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与住院起付标准一致，年度内按就诊医疗机构最高级别分别计付一次住院及门诊特殊疾病起付标准</w:t>
            </w:r>
          </w:p>
        </w:tc>
        <w:tc>
          <w:tcPr>
            <w:tcW w:w="15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慢性肾衰竭血液净化治疗、器官移植术后抗排异治疗、恶性肿瘤</w:t>
            </w:r>
          </w:p>
        </w:tc>
        <w:tc>
          <w:tcPr>
            <w:tcW w:w="24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年度累计统筹基金支付在3.7万元及以下的，在各级医疗机构统筹报销比例为90%；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年度累计统筹基金支付在3.7万元以上至4.7万元之间的，统筹报销比例为100%；</w:t>
            </w:r>
          </w:p>
        </w:tc>
        <w:tc>
          <w:tcPr>
            <w:tcW w:w="1472"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门诊特殊疾病医保基金年度支付金额与住院合并计算，共计54.7万元/年。</w:t>
            </w:r>
          </w:p>
        </w:tc>
        <w:tc>
          <w:tcPr>
            <w:tcW w:w="2646" w:type="dxa"/>
            <w:gridSpan w:val="3"/>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慢性肾衰竭血液净化治疗、器官移植术后抗排异治疗、恶性肿瘤、血友病四种特殊疾病，该四种疾病起付标准、支付比例、支付限额与随单位参保人员相同。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4" w:hRule="atLeast"/>
          <w:tblCellSpacing w:w="0" w:type="dxa"/>
        </w:trPr>
        <w:tc>
          <w:tcPr>
            <w:tcW w:w="92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p>
        </w:tc>
        <w:tc>
          <w:tcPr>
            <w:tcW w:w="163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p>
        </w:tc>
        <w:tc>
          <w:tcPr>
            <w:tcW w:w="15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其余门诊特殊疾病</w:t>
            </w:r>
          </w:p>
        </w:tc>
        <w:tc>
          <w:tcPr>
            <w:tcW w:w="24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在各级医疗机构统筹报销比例为80%。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年度累计基金支出在4.7万元以上的，由大额基金按100%报销。</w:t>
            </w: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p>
        </w:tc>
        <w:tc>
          <w:tcPr>
            <w:tcW w:w="2646" w:type="dxa"/>
            <w:gridSpan w:val="3"/>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0" w:hRule="atLeast"/>
          <w:tblCellSpacing w:w="0" w:type="dxa"/>
        </w:trPr>
        <w:tc>
          <w:tcPr>
            <w:tcW w:w="9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二类疾病</w:t>
            </w:r>
          </w:p>
        </w:tc>
        <w:tc>
          <w:tcPr>
            <w:tcW w:w="163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p>
        </w:tc>
        <w:tc>
          <w:tcPr>
            <w:tcW w:w="40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在各级医疗机构统筹报销比例为80%。年度累计基金支出在4.7万元以上的，由大额基金按100%比例报销。单病种另行规定。</w:t>
            </w: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p>
        </w:tc>
        <w:tc>
          <w:tcPr>
            <w:tcW w:w="264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方正仿宋_GBK" w:hAnsi="方正仿宋_GBK" w:eastAsia="方正仿宋_GBK" w:cs="方正仿宋_GBK"/>
                <w:b w:val="0"/>
                <w:bCs w:val="0"/>
                <w:color w:val="000000"/>
                <w:sz w:val="28"/>
                <w:szCs w:val="28"/>
                <w:lang w:val="en-US" w:eastAsia="zh-CN"/>
              </w:rPr>
            </w:pPr>
            <w:r>
              <w:rPr>
                <w:rFonts w:hint="eastAsia" w:ascii="方正仿宋_GBK" w:hAnsi="方正仿宋_GBK" w:eastAsia="方正仿宋_GBK" w:cs="方正仿宋_GBK"/>
                <w:b w:val="0"/>
                <w:bCs w:val="0"/>
                <w:color w:val="000000"/>
                <w:sz w:val="28"/>
                <w:szCs w:val="28"/>
                <w:lang w:val="en-US" w:eastAsia="zh-CN"/>
              </w:rPr>
              <w:t>不能办理</w:t>
            </w:r>
          </w:p>
        </w:tc>
      </w:tr>
    </w:tbl>
    <w:p>
      <w:pPr>
        <w:pStyle w:val="2"/>
        <w:keepNext/>
        <w:keepLines/>
        <w:pageBreakBefore w:val="0"/>
        <w:widowControl w:val="0"/>
        <w:kinsoku/>
        <w:wordWrap/>
        <w:overflowPunct/>
        <w:topLinePunct w:val="0"/>
        <w:autoSpaceDE/>
        <w:autoSpaceDN/>
        <w:bidi w:val="0"/>
        <w:adjustRightInd/>
        <w:snapToGrid/>
        <w:spacing w:before="0" w:after="0" w:line="6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（二）居民医保门诊特殊疾病报销标准</w:t>
      </w:r>
    </w:p>
    <w:tbl>
      <w:tblPr>
        <w:tblStyle w:val="4"/>
        <w:tblW w:w="9517" w:type="dxa"/>
        <w:tblCellSpacing w:w="0" w:type="dxa"/>
        <w:tblInd w:w="-1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17"/>
        <w:gridCol w:w="2360"/>
        <w:gridCol w:w="1434"/>
        <w:gridCol w:w="4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blCellSpacing w:w="0" w:type="dxa"/>
        </w:trPr>
        <w:tc>
          <w:tcPr>
            <w:tcW w:w="1617" w:type="dxa"/>
            <w:tcBorders>
              <w:top w:val="single" w:color="auto" w:sz="4" w:space="0"/>
              <w:left w:val="single" w:color="000000" w:sz="6"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病种类型</w:t>
            </w:r>
          </w:p>
        </w:tc>
        <w:tc>
          <w:tcPr>
            <w:tcW w:w="23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起付标准</w:t>
            </w:r>
          </w:p>
        </w:tc>
        <w:tc>
          <w:tcPr>
            <w:tcW w:w="143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报销</w:t>
            </w:r>
            <w:r>
              <w:rPr>
                <w:rFonts w:hint="eastAsia" w:ascii="方正仿宋_GBK" w:hAnsi="方正仿宋_GBK" w:eastAsia="方正仿宋_GBK" w:cs="方正仿宋_GBK"/>
                <w:b/>
                <w:bCs/>
                <w:color w:val="auto"/>
                <w:sz w:val="28"/>
                <w:szCs w:val="28"/>
              </w:rPr>
              <w:t>比例</w:t>
            </w:r>
          </w:p>
        </w:tc>
        <w:tc>
          <w:tcPr>
            <w:tcW w:w="41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90" w:hRule="atLeast"/>
          <w:tblCellSpacing w:w="0" w:type="dxa"/>
        </w:trPr>
        <w:tc>
          <w:tcPr>
            <w:tcW w:w="16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一类疾病</w:t>
            </w:r>
          </w:p>
        </w:tc>
        <w:tc>
          <w:tcPr>
            <w:tcW w:w="23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rPr>
              <w:t>与住院起付标准一致，年度内按就诊医疗机构最高级别分别计付一次住院及门诊特殊疾病起付标准</w:t>
            </w:r>
            <w:r>
              <w:rPr>
                <w:rFonts w:hint="eastAsia" w:ascii="方正仿宋_GBK" w:hAnsi="方正仿宋_GBK" w:eastAsia="方正仿宋_GBK" w:cs="方正仿宋_GBK"/>
                <w:b w:val="0"/>
                <w:bCs w:val="0"/>
                <w:color w:val="auto"/>
                <w:sz w:val="28"/>
                <w:szCs w:val="28"/>
                <w:lang w:eastAsia="zh-CN"/>
              </w:rPr>
              <w:t>。</w:t>
            </w:r>
          </w:p>
        </w:tc>
        <w:tc>
          <w:tcPr>
            <w:tcW w:w="143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rPr>
              <w:t>按就医医疗机构住院报销比例结算</w:t>
            </w:r>
            <w:r>
              <w:rPr>
                <w:rFonts w:hint="eastAsia" w:ascii="方正仿宋_GBK" w:hAnsi="方正仿宋_GBK" w:eastAsia="方正仿宋_GBK" w:cs="方正仿宋_GBK"/>
                <w:b w:val="0"/>
                <w:bCs w:val="0"/>
                <w:color w:val="auto"/>
                <w:sz w:val="28"/>
                <w:szCs w:val="28"/>
                <w:lang w:eastAsia="zh-CN"/>
              </w:rPr>
              <w:t>。</w:t>
            </w:r>
          </w:p>
        </w:tc>
        <w:tc>
          <w:tcPr>
            <w:tcW w:w="41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门诊特殊疾病医保基金年度支付金额与住院合并计算，普通居民一档8万元/年，二档12万元/年；未成年人一档为10万元/年，二档为15万元/年；大学生一档10万元/年，二档12万元/年。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6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二类疾病</w:t>
            </w:r>
          </w:p>
        </w:tc>
        <w:tc>
          <w:tcPr>
            <w:tcW w:w="23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b w:val="0"/>
                <w:bCs w:val="0"/>
                <w:color w:val="auto"/>
                <w:sz w:val="28"/>
                <w:szCs w:val="28"/>
                <w:lang w:eastAsia="zh-CN"/>
              </w:rPr>
            </w:pPr>
            <w:r>
              <w:rPr>
                <w:rFonts w:hint="eastAsia" w:ascii="方正仿宋_GBK" w:hAnsi="方正仿宋_GBK" w:eastAsia="方正仿宋_GBK" w:cs="方正仿宋_GBK"/>
                <w:b w:val="0"/>
                <w:bCs w:val="0"/>
                <w:color w:val="auto"/>
                <w:sz w:val="28"/>
                <w:szCs w:val="28"/>
              </w:rPr>
              <w:t>不计门诊起付标准</w:t>
            </w:r>
            <w:r>
              <w:rPr>
                <w:rFonts w:hint="eastAsia" w:ascii="方正仿宋_GBK" w:hAnsi="方正仿宋_GBK" w:eastAsia="方正仿宋_GBK" w:cs="方正仿宋_GBK"/>
                <w:b w:val="0"/>
                <w:bCs w:val="0"/>
                <w:color w:val="auto"/>
                <w:sz w:val="28"/>
                <w:szCs w:val="28"/>
                <w:lang w:eastAsia="zh-CN"/>
              </w:rPr>
              <w:t>。</w:t>
            </w:r>
          </w:p>
        </w:tc>
        <w:tc>
          <w:tcPr>
            <w:tcW w:w="143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b w:val="0"/>
                <w:bCs w:val="0"/>
                <w:color w:val="auto"/>
                <w:sz w:val="28"/>
                <w:szCs w:val="28"/>
              </w:rPr>
            </w:pPr>
          </w:p>
        </w:tc>
        <w:tc>
          <w:tcPr>
            <w:tcW w:w="41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普通居民年度支付限额为1000元/年；大学生年度支付限额为2400元/年。同时患两种或两种以上二类门诊特殊疾病的，每增加一个病种，年度支付限额增加200元。</w:t>
            </w:r>
          </w:p>
        </w:tc>
      </w:tr>
    </w:tbl>
    <w:p>
      <w:pPr>
        <w:pStyle w:val="2"/>
        <w:keepNext/>
        <w:keepLines/>
        <w:pageBreakBefore w:val="0"/>
        <w:widowControl w:val="0"/>
        <w:kinsoku/>
        <w:wordWrap/>
        <w:overflowPunct/>
        <w:topLinePunct w:val="0"/>
        <w:autoSpaceDE/>
        <w:autoSpaceDN/>
        <w:bidi w:val="0"/>
        <w:adjustRightInd/>
        <w:snapToGrid/>
        <w:spacing w:before="0" w:after="0" w:line="6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（三）门诊特殊疾病限额报销标准</w:t>
      </w:r>
    </w:p>
    <w:tbl>
      <w:tblPr>
        <w:tblStyle w:val="4"/>
        <w:tblW w:w="9650" w:type="dxa"/>
        <w:tblCellSpacing w:w="0" w:type="dxa"/>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50"/>
        <w:gridCol w:w="1717"/>
        <w:gridCol w:w="2633"/>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blCellSpacing w:w="0" w:type="dxa"/>
        </w:trPr>
        <w:tc>
          <w:tcPr>
            <w:tcW w:w="3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病种</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eastAsia="zh-CN"/>
              </w:rPr>
              <w:t>险种</w:t>
            </w:r>
          </w:p>
        </w:tc>
        <w:tc>
          <w:tcPr>
            <w:tcW w:w="263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eastAsia="zh-CN"/>
              </w:rPr>
              <w:t>报销比例</w:t>
            </w:r>
          </w:p>
        </w:tc>
        <w:tc>
          <w:tcPr>
            <w:tcW w:w="17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atLeast"/>
          <w:tblCellSpacing w:w="0" w:type="dxa"/>
        </w:trPr>
        <w:tc>
          <w:tcPr>
            <w:tcW w:w="3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阿尔茨海默病</w:t>
            </w:r>
          </w:p>
        </w:tc>
        <w:tc>
          <w:tcPr>
            <w:tcW w:w="1717" w:type="dxa"/>
            <w:vMerge w:val="restart"/>
            <w:tcBorders>
              <w:top w:val="single" w:color="000000" w:sz="6" w:space="0"/>
              <w:left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职工医保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居民医保</w:t>
            </w:r>
          </w:p>
        </w:tc>
        <w:tc>
          <w:tcPr>
            <w:tcW w:w="2633" w:type="dxa"/>
            <w:vMerge w:val="restart"/>
            <w:tcBorders>
              <w:top w:val="single" w:color="000000" w:sz="6" w:space="0"/>
              <w:left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方正仿宋_GBK" w:hAnsi="方正仿宋_GBK" w:eastAsia="方正仿宋_GBK" w:cs="方正仿宋_GBK"/>
                <w:b w:val="0"/>
                <w:bCs w:val="0"/>
                <w:color w:val="auto"/>
                <w:kern w:val="0"/>
                <w:sz w:val="28"/>
                <w:szCs w:val="28"/>
                <w:lang w:val="en-US" w:eastAsia="zh-CN" w:bidi="ar"/>
              </w:rPr>
            </w:pPr>
            <w:r>
              <w:rPr>
                <w:rFonts w:hint="eastAsia" w:ascii="方正仿宋_GBK" w:hAnsi="方正仿宋_GBK" w:eastAsia="方正仿宋_GBK" w:cs="方正仿宋_GBK"/>
                <w:b w:val="0"/>
                <w:bCs w:val="0"/>
                <w:color w:val="auto"/>
                <w:sz w:val="28"/>
                <w:szCs w:val="28"/>
                <w:lang w:eastAsia="zh-CN"/>
              </w:rPr>
              <w:t>居民医保与住院报销比例一致；职工医保按</w:t>
            </w:r>
            <w:r>
              <w:rPr>
                <w:rFonts w:hint="eastAsia" w:ascii="方正仿宋_GBK" w:hAnsi="方正仿宋_GBK" w:eastAsia="方正仿宋_GBK" w:cs="方正仿宋_GBK"/>
                <w:b w:val="0"/>
                <w:bCs w:val="0"/>
                <w:color w:val="auto"/>
                <w:sz w:val="28"/>
                <w:szCs w:val="28"/>
                <w:lang w:val="en-US" w:eastAsia="zh-CN"/>
              </w:rPr>
              <w:t>80%报销</w:t>
            </w:r>
          </w:p>
        </w:tc>
        <w:tc>
          <w:tcPr>
            <w:tcW w:w="17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6000元/年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8" w:hRule="atLeast"/>
          <w:tblCellSpacing w:w="0" w:type="dxa"/>
        </w:trPr>
        <w:tc>
          <w:tcPr>
            <w:tcW w:w="3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普拉德-威利综合征、原发性生长激素缺乏病</w:t>
            </w:r>
          </w:p>
        </w:tc>
        <w:tc>
          <w:tcPr>
            <w:tcW w:w="1717" w:type="dxa"/>
            <w:vMerge w:val="continue"/>
            <w:tcBorders>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p>
        </w:tc>
        <w:tc>
          <w:tcPr>
            <w:tcW w:w="2633" w:type="dxa"/>
            <w:vMerge w:val="continue"/>
            <w:tcBorders>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2.4万元/年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tblCellSpacing w:w="0" w:type="dxa"/>
        </w:trPr>
        <w:tc>
          <w:tcPr>
            <w:tcW w:w="3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良性前列腺增生症</w:t>
            </w:r>
          </w:p>
        </w:tc>
        <w:tc>
          <w:tcPr>
            <w:tcW w:w="1717" w:type="dxa"/>
            <w:vMerge w:val="restart"/>
            <w:tcBorders>
              <w:top w:val="single" w:color="000000" w:sz="6" w:space="0"/>
              <w:left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rPr>
              <w:t>限职工医保</w:t>
            </w:r>
          </w:p>
        </w:tc>
        <w:tc>
          <w:tcPr>
            <w:tcW w:w="2633" w:type="dxa"/>
            <w:vMerge w:val="restart"/>
            <w:tcBorders>
              <w:top w:val="single" w:color="000000" w:sz="6" w:space="0"/>
              <w:left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eastAsia="zh-CN"/>
              </w:rPr>
              <w:t>按</w:t>
            </w:r>
            <w:r>
              <w:rPr>
                <w:rFonts w:hint="eastAsia" w:ascii="方正仿宋_GBK" w:hAnsi="方正仿宋_GBK" w:eastAsia="方正仿宋_GBK" w:cs="方正仿宋_GBK"/>
                <w:b w:val="0"/>
                <w:bCs w:val="0"/>
                <w:color w:val="auto"/>
                <w:sz w:val="28"/>
                <w:szCs w:val="28"/>
                <w:lang w:val="en-US" w:eastAsia="zh-CN"/>
              </w:rPr>
              <w:t>80%报销</w:t>
            </w:r>
          </w:p>
        </w:tc>
        <w:tc>
          <w:tcPr>
            <w:tcW w:w="17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1000元/年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tblCellSpacing w:w="0" w:type="dxa"/>
        </w:trPr>
        <w:tc>
          <w:tcPr>
            <w:tcW w:w="3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原发性青光眼</w:t>
            </w:r>
          </w:p>
        </w:tc>
        <w:tc>
          <w:tcPr>
            <w:tcW w:w="1717" w:type="dxa"/>
            <w:vMerge w:val="continue"/>
            <w:tcBorders>
              <w:left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p>
        </w:tc>
        <w:tc>
          <w:tcPr>
            <w:tcW w:w="2633" w:type="dxa"/>
            <w:vMerge w:val="continue"/>
            <w:tcBorders>
              <w:left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1800元/年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tblCellSpacing w:w="0" w:type="dxa"/>
        </w:trPr>
        <w:tc>
          <w:tcPr>
            <w:tcW w:w="3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重度骨质疏松</w:t>
            </w:r>
          </w:p>
        </w:tc>
        <w:tc>
          <w:tcPr>
            <w:tcW w:w="1717" w:type="dxa"/>
            <w:vMerge w:val="continue"/>
            <w:tcBorders>
              <w:left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p>
        </w:tc>
        <w:tc>
          <w:tcPr>
            <w:tcW w:w="2633" w:type="dxa"/>
            <w:vMerge w:val="continue"/>
            <w:tcBorders>
              <w:left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3600元/年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tblCellSpacing w:w="0" w:type="dxa"/>
        </w:trPr>
        <w:tc>
          <w:tcPr>
            <w:tcW w:w="3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焦虑症</w:t>
            </w:r>
          </w:p>
        </w:tc>
        <w:tc>
          <w:tcPr>
            <w:tcW w:w="1717" w:type="dxa"/>
            <w:vMerge w:val="continue"/>
            <w:tcBorders>
              <w:left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p>
        </w:tc>
        <w:tc>
          <w:tcPr>
            <w:tcW w:w="2633" w:type="dxa"/>
            <w:vMerge w:val="continue"/>
            <w:tcBorders>
              <w:left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4800元/年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8" w:hRule="atLeast"/>
          <w:tblCellSpacing w:w="0" w:type="dxa"/>
        </w:trPr>
        <w:tc>
          <w:tcPr>
            <w:tcW w:w="3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强直性脊柱炎、系统性硬化症、原发性干燥综合征、重症肌无力、强迫症</w:t>
            </w:r>
          </w:p>
        </w:tc>
        <w:tc>
          <w:tcPr>
            <w:tcW w:w="1717" w:type="dxa"/>
            <w:vMerge w:val="continue"/>
            <w:tcBorders>
              <w:left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p>
        </w:tc>
        <w:tc>
          <w:tcPr>
            <w:tcW w:w="2633" w:type="dxa"/>
            <w:vMerge w:val="continue"/>
            <w:tcBorders>
              <w:left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center"/>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6000元/年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0" w:hRule="atLeast"/>
          <w:tblCellSpacing w:w="0" w:type="dxa"/>
        </w:trPr>
        <w:tc>
          <w:tcPr>
            <w:tcW w:w="35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原发性肾病综合征、肝豆状核变性</w:t>
            </w:r>
          </w:p>
        </w:tc>
        <w:tc>
          <w:tcPr>
            <w:tcW w:w="1717" w:type="dxa"/>
            <w:vMerge w:val="continue"/>
            <w:tcBorders>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仿宋_GBK" w:hAnsi="方正仿宋_GBK" w:eastAsia="方正仿宋_GBK" w:cs="方正仿宋_GBK"/>
                <w:b w:val="0"/>
                <w:bCs w:val="0"/>
                <w:color w:val="auto"/>
                <w:sz w:val="28"/>
                <w:szCs w:val="28"/>
              </w:rPr>
            </w:pPr>
          </w:p>
        </w:tc>
        <w:tc>
          <w:tcPr>
            <w:tcW w:w="2633" w:type="dxa"/>
            <w:vMerge w:val="continue"/>
            <w:tcBorders>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仿宋_GBK" w:hAnsi="方正仿宋_GBK" w:eastAsia="方正仿宋_GBK" w:cs="方正仿宋_GBK"/>
                <w:b w:val="0"/>
                <w:bCs w:val="0"/>
                <w:color w:val="auto"/>
                <w:sz w:val="28"/>
                <w:szCs w:val="28"/>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9000元/年</w:t>
            </w:r>
          </w:p>
        </w:tc>
      </w:tr>
    </w:tbl>
    <w:p>
      <w:pPr>
        <w:keepNext w:val="0"/>
        <w:keepLines w:val="0"/>
        <w:widowControl/>
        <w:suppressLineNumbers w:val="0"/>
        <w:ind w:firstLine="643" w:firstLineChars="20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注：</w:t>
      </w:r>
      <w:r>
        <w:rPr>
          <w:rFonts w:hint="eastAsia" w:ascii="方正仿宋_GBK" w:hAnsi="方正仿宋_GBK" w:eastAsia="方正仿宋_GBK" w:cs="方正仿宋_GBK"/>
          <w:color w:val="000000"/>
          <w:kern w:val="0"/>
          <w:sz w:val="32"/>
          <w:szCs w:val="32"/>
          <w:lang w:val="en-US" w:eastAsia="zh-CN" w:bidi="ar"/>
        </w:rPr>
        <w:t>一个自然年度内，参保人门诊特病医保基金支付费用与医保基金支付的其他费用合并计算，合并后支付金额不得超过医保规定的基金最高支付限额。</w:t>
      </w:r>
    </w:p>
    <w:p>
      <w:pPr>
        <w:pStyle w:val="2"/>
        <w:keepNext/>
        <w:keepLines/>
        <w:pageBreakBefore w:val="0"/>
        <w:widowControl w:val="0"/>
        <w:kinsoku/>
        <w:wordWrap/>
        <w:overflowPunct/>
        <w:topLinePunct w:val="0"/>
        <w:autoSpaceDE/>
        <w:autoSpaceDN/>
        <w:bidi w:val="0"/>
        <w:adjustRightInd/>
        <w:snapToGrid/>
        <w:spacing w:before="0" w:after="0" w:line="6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（四）门诊特殊疾病单病种报销标准</w:t>
      </w:r>
    </w:p>
    <w:tbl>
      <w:tblPr>
        <w:tblStyle w:val="4"/>
        <w:tblW w:w="9572" w:type="dxa"/>
        <w:tblCellSpacing w:w="0"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859"/>
        <w:gridCol w:w="3872"/>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tblCellSpacing w:w="0" w:type="dxa"/>
        </w:trPr>
        <w:tc>
          <w:tcPr>
            <w:tcW w:w="385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病种类型</w:t>
            </w:r>
          </w:p>
        </w:tc>
        <w:tc>
          <w:tcPr>
            <w:tcW w:w="387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报销比例</w:t>
            </w:r>
          </w:p>
        </w:tc>
        <w:tc>
          <w:tcPr>
            <w:tcW w:w="184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2" w:hRule="atLeast"/>
          <w:tblCellSpacing w:w="0" w:type="dxa"/>
        </w:trPr>
        <w:tc>
          <w:tcPr>
            <w:tcW w:w="385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高苯丙氨酸血症（苯丙酮尿症、四氢生物蝶呤缺乏症）</w:t>
            </w:r>
          </w:p>
        </w:tc>
        <w:tc>
          <w:tcPr>
            <w:tcW w:w="387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70%</w:t>
            </w:r>
          </w:p>
        </w:tc>
        <w:tc>
          <w:tcPr>
            <w:tcW w:w="184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1.4万元/年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0" w:hRule="atLeast"/>
          <w:tblCellSpacing w:w="0" w:type="dxa"/>
        </w:trPr>
        <w:tc>
          <w:tcPr>
            <w:tcW w:w="385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慢性乙型肝炎病毒感染</w:t>
            </w:r>
          </w:p>
        </w:tc>
        <w:tc>
          <w:tcPr>
            <w:tcW w:w="387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按医疗机构住院报销比例</w:t>
            </w:r>
          </w:p>
        </w:tc>
        <w:tc>
          <w:tcPr>
            <w:tcW w:w="184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6000元/年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9" w:hRule="atLeast"/>
          <w:tblCellSpacing w:w="0" w:type="dxa"/>
        </w:trPr>
        <w:tc>
          <w:tcPr>
            <w:tcW w:w="385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耐药结核病</w:t>
            </w:r>
          </w:p>
        </w:tc>
        <w:tc>
          <w:tcPr>
            <w:tcW w:w="387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eastAsia="zh-CN"/>
              </w:rPr>
              <w:t>职工医保和居民医保</w:t>
            </w:r>
            <w:r>
              <w:rPr>
                <w:rFonts w:hint="eastAsia" w:ascii="方正仿宋_GBK" w:hAnsi="方正仿宋_GBK" w:eastAsia="方正仿宋_GBK" w:cs="方正仿宋_GBK"/>
                <w:b w:val="0"/>
                <w:bCs w:val="0"/>
                <w:color w:val="auto"/>
                <w:sz w:val="28"/>
                <w:szCs w:val="28"/>
              </w:rPr>
              <w:t>按90%报销，超过单病种限额按一类门诊特病（职工医保80%）和住院政策报销</w:t>
            </w:r>
            <w:bookmarkStart w:id="0" w:name="_GoBack"/>
            <w:bookmarkEnd w:id="0"/>
          </w:p>
        </w:tc>
        <w:tc>
          <w:tcPr>
            <w:tcW w:w="184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5万元/人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3" w:hRule="atLeast"/>
          <w:tblCellSpacing w:w="0" w:type="dxa"/>
        </w:trPr>
        <w:tc>
          <w:tcPr>
            <w:tcW w:w="385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非小细胞肺癌</w:t>
            </w:r>
          </w:p>
        </w:tc>
        <w:tc>
          <w:tcPr>
            <w:tcW w:w="387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按医疗机构住院报销比例</w:t>
            </w:r>
          </w:p>
        </w:tc>
        <w:tc>
          <w:tcPr>
            <w:tcW w:w="184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4万元/年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3" w:hRule="atLeast"/>
          <w:tblCellSpacing w:w="0" w:type="dxa"/>
        </w:trPr>
        <w:tc>
          <w:tcPr>
            <w:tcW w:w="385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慢性髓性白血病、胃肠间质瘤</w:t>
            </w:r>
          </w:p>
        </w:tc>
        <w:tc>
          <w:tcPr>
            <w:tcW w:w="387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按医疗机构住院报销比例</w:t>
            </w:r>
          </w:p>
        </w:tc>
        <w:tc>
          <w:tcPr>
            <w:tcW w:w="184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left"/>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6万元/年</w:t>
            </w:r>
          </w:p>
        </w:tc>
      </w:tr>
    </w:tbl>
    <w:p>
      <w:pPr>
        <w:keepNext w:val="0"/>
        <w:keepLines w:val="0"/>
        <w:widowControl/>
        <w:suppressLineNumbers w:val="0"/>
        <w:ind w:firstLine="643" w:firstLineChars="20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注：</w:t>
      </w:r>
      <w:r>
        <w:rPr>
          <w:rFonts w:hint="eastAsia" w:ascii="方正仿宋_GBK" w:hAnsi="方正仿宋_GBK" w:eastAsia="方正仿宋_GBK" w:cs="方正仿宋_GBK"/>
          <w:color w:val="000000"/>
          <w:kern w:val="0"/>
          <w:sz w:val="32"/>
          <w:szCs w:val="32"/>
          <w:lang w:val="en-US" w:eastAsia="zh-CN" w:bidi="ar"/>
        </w:rPr>
        <w:t>门诊特病单病种结算不受药品目录限制、不计算起付线，实际报销额计入年度基金支付限额。</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三、特殊疾病鉴定办理</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FZFangSong-Z02" w:hAnsi="FZFangSong-Z02" w:eastAsia="FZFangSong-Z02" w:cs="FZFangSong-Z02"/>
          <w:color w:val="000000"/>
          <w:kern w:val="0"/>
          <w:sz w:val="31"/>
          <w:szCs w:val="31"/>
          <w:lang w:val="en-US" w:eastAsia="zh-CN" w:bidi="ar"/>
        </w:rPr>
      </w:pPr>
      <w:r>
        <w:rPr>
          <w:rFonts w:hint="eastAsia" w:ascii="方正仿宋_GBK" w:hAnsi="方正仿宋_GBK" w:eastAsia="方正仿宋_GBK" w:cs="方正仿宋_GBK"/>
          <w:b w:val="0"/>
          <w:bCs/>
          <w:sz w:val="32"/>
          <w:szCs w:val="32"/>
          <w:lang w:val="en-US" w:eastAsia="zh-CN"/>
        </w:rPr>
        <w:t>按照自愿申请、全市通办原则，参保人或委托人可向全市特病诊断医疗机构或医保经办机构提出办理申请。</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四、办理所需资料</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b w:val="0"/>
          <w:bCs/>
          <w:sz w:val="32"/>
          <w:szCs w:val="32"/>
          <w:lang w:val="en-US" w:eastAsia="zh-CN"/>
        </w:rPr>
      </w:pPr>
      <w:r>
        <w:rPr>
          <w:rFonts w:hint="eastAsia" w:ascii="方正黑体_GBK" w:hAnsi="方正黑体_GBK" w:eastAsia="方正黑体_GBK" w:cs="方正黑体_GBK"/>
          <w:color w:val="000000"/>
          <w:kern w:val="0"/>
          <w:sz w:val="32"/>
          <w:szCs w:val="32"/>
          <w:lang w:val="en-US" w:eastAsia="zh-CN" w:bidi="ar"/>
        </w:rPr>
        <w:t>1.</w:t>
      </w:r>
      <w:r>
        <w:rPr>
          <w:rFonts w:hint="eastAsia" w:ascii="方正仿宋_GBK" w:hAnsi="方正仿宋_GBK" w:eastAsia="方正仿宋_GBK" w:cs="方正仿宋_GBK"/>
          <w:b w:val="0"/>
          <w:bCs/>
          <w:sz w:val="32"/>
          <w:szCs w:val="32"/>
          <w:lang w:val="en-US" w:eastAsia="zh-CN"/>
        </w:rPr>
        <w:t>申请人有效身份证件或医保电子凭证或社保卡；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2.相关病史资料或检查材料(住院病史须加盖医院鲜章)；</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3.《重庆市基本医疗保障特殊疾病（两病）待遇资格申报（鉴定）表》；</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4.委托他人办理的，还需提供被委托人的有效身份证件及委托书。</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b w:val="0"/>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咨询电话：023-47566105</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b w:val="0"/>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 xml:space="preserve">  </w:t>
      </w:r>
    </w:p>
    <w:p>
      <w:pPr>
        <w:pageBreakBefore w:val="0"/>
        <w:kinsoku/>
        <w:wordWrap/>
        <w:overflowPunct/>
        <w:topLinePunct w:val="0"/>
        <w:autoSpaceDE/>
        <w:autoSpaceDN/>
        <w:bidi w:val="0"/>
        <w:adjustRightInd/>
        <w:snapToGrid/>
        <w:spacing w:line="579" w:lineRule="exact"/>
        <w:textAlignment w:val="auto"/>
        <w:rPr>
          <w:rFonts w:hint="eastAsia" w:ascii="FZFangSong-Z02" w:hAnsi="FZFangSong-Z02" w:eastAsia="FZFangSong-Z02" w:cs="FZFangSong-Z02"/>
          <w:color w:val="000000"/>
          <w:kern w:val="0"/>
          <w:sz w:val="31"/>
          <w:szCs w:val="31"/>
          <w:lang w:val="en-US" w:eastAsia="zh-CN" w:bidi="ar"/>
        </w:rPr>
      </w:pPr>
    </w:p>
    <w:p>
      <w:pPr>
        <w:pStyle w:val="2"/>
        <w:rPr>
          <w:rFonts w:hint="default"/>
          <w:lang w:val="en-US" w:eastAsia="zh-CN"/>
        </w:rPr>
      </w:pP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FZFangSong-Z02">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7795B"/>
    <w:rsid w:val="5EE53C5C"/>
    <w:rsid w:val="64FE0871"/>
    <w:rsid w:val="77F7795B"/>
    <w:rsid w:val="7A835FF6"/>
    <w:rsid w:val="B7B7FD60"/>
    <w:rsid w:val="BF964A84"/>
    <w:rsid w:val="CEFD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2025-05-23T06:10:00Z</dcterms:created>
  <dc:creator>uos</dc:creator>
  <cp:lastModifiedBy>uos</cp:lastModifiedBy>
  <cp:lastPrinted>2025-05-23T14:38:00Z</cp:lastPrinted>
  <dcterms:modified xsi:type="dcterms:W3CDTF">2025-05-22T15:57:57Z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2052-11.1.0.10976</vt:lpwstr>
  </property>
</Properties>
</file>