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rFonts w:ascii="Times New Roman" w:eastAsia="方正小标宋_GBK" w:hAnsi="Times New Roman" w:hint="eastAsia"/>
          <w:sz w:val="44"/>
          <w:szCs w:val="44"/>
          <w:lang w:eastAsia="zh-CN"/>
        </w:rPr>
      </w:pPr>
      <w:bookmarkStart w:id="0" w:name="_GoBack"/>
      <w:r>
        <w:rPr>
          <w:rFonts w:ascii="Times New Roman" w:eastAsia="方正小标宋_GBK" w:hAnsi="Times New Roman" w:hint="eastAsia"/>
          <w:sz w:val="44"/>
          <w:szCs w:val="44"/>
          <w:lang w:eastAsia="zh-CN"/>
        </w:rPr>
        <w:t>重庆市江津区体育局</w:t>
      </w:r>
    </w:p>
    <w:p>
      <w:pPr>
        <w:spacing w:line="600" w:lineRule="exact"/>
        <w:jc w:val="center"/>
        <w:rPr>
          <w:rFonts w:ascii="Times New Roman" w:eastAsia="方正小标宋_GBK" w:hAnsi="Times New Roman" w:hint="eastAsia"/>
          <w:sz w:val="44"/>
          <w:szCs w:val="44"/>
          <w:lang w:eastAsia="zh-CN"/>
        </w:rPr>
      </w:pPr>
      <w:r>
        <w:rPr>
          <w:rFonts w:ascii="Times New Roman" w:eastAsia="方正小标宋_GBK" w:hAnsi="Times New Roman" w:hint="eastAsia"/>
          <w:sz w:val="44"/>
          <w:szCs w:val="44"/>
          <w:lang w:eastAsia="zh-CN"/>
        </w:rPr>
        <w:t>2022年度区级部门决算公开说明</w:t>
      </w:r>
    </w:p>
    <w:p>
      <w:pPr>
        <w:spacing w:line="600" w:lineRule="exact"/>
        <w:rPr>
          <w:rFonts w:ascii="Times New Roman" w:eastAsia="方正小标宋_GBK" w:hAnsi="Times New Roman" w:hint="eastAsia"/>
          <w:sz w:val="44"/>
          <w:szCs w:val="44"/>
        </w:rPr>
      </w:pPr>
      <w:bookmarkEnd w:id="0"/>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ascii="方正黑体_GBK" w:eastAsia="方正黑体_GBK" w:cs="方正黑体_GBK" w:hint="eastAsia"/>
          <w:b w:val="0"/>
          <w:bCs/>
          <w:sz w:val="32"/>
          <w:szCs w:val="32"/>
        </w:rPr>
      </w:pPr>
      <w:r>
        <w:rPr>
          <w:rFonts w:ascii="方正黑体_GBK" w:eastAsia="方正黑体_GBK" w:cs="方正黑体_GBK" w:hint="eastAsia"/>
          <w:b w:val="0"/>
          <w:bCs/>
          <w:sz w:val="32"/>
          <w:szCs w:val="32"/>
        </w:rPr>
        <w:t>一、单位基本情况</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（一）职能职责</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Chars="200" w:firstLine="640"/>
        <w:textAlignment w:val="auto"/>
        <w:rPr>
          <w:rFonts w:ascii="方正仿宋_GBK" w:eastAsia="方正仿宋_GBK" w:hint="eastAsia"/>
          <w:sz w:val="32"/>
          <w:szCs w:val="32"/>
        </w:rPr>
      </w:pPr>
      <w:r>
        <w:rPr>
          <w:rStyle w:val="19"/>
          <w:rFonts w:eastAsia="方正仿宋_GBK" w:hint="eastAsia"/>
          <w:sz w:val="32"/>
          <w:szCs w:val="32"/>
        </w:rPr>
        <w:t> </w:t>
      </w:r>
      <w:r>
        <w:rPr>
          <w:rFonts w:ascii="方正仿宋_GBK" w:eastAsia="方正仿宋_GBK" w:hint="eastAsia"/>
          <w:sz w:val="32"/>
          <w:szCs w:val="32"/>
        </w:rPr>
        <w:t>1、贯彻执行党和国家关于体育工作的法律、法规、规章和方针政策，拟订并组织实施全区体育事业发展规划和政策，负责推动多元化体育服务体系建设，推进体育公共服务和体育体制改革。</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textAlignment w:val="auto"/>
        <w:rPr>
          <w:rFonts w:ascii="方正仿宋_GBK" w:eastAsia="方正仿宋_GBK" w:hint="eastAsia"/>
          <w:sz w:val="32"/>
          <w:szCs w:val="32"/>
        </w:rPr>
      </w:pPr>
      <w:r>
        <w:rPr>
          <w:rFonts w:ascii="方正仿宋_GBK" w:eastAsia="方正仿宋_GBK" w:hint="eastAsia"/>
          <w:sz w:val="32"/>
          <w:szCs w:val="32"/>
        </w:rPr>
        <w:t xml:space="preserve">    2、统筹规划全区群众性体育发展，负责推行全民健身计划，指导开展群众性体育活动，推动国民体质监测和社会体育指导工作队伍建设。</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textAlignment w:val="auto"/>
        <w:rPr>
          <w:rFonts w:ascii="方正仿宋_GBK" w:eastAsia="方正仿宋_GBK" w:hint="eastAsia"/>
          <w:sz w:val="32"/>
          <w:szCs w:val="32"/>
        </w:rPr>
      </w:pPr>
      <w:r>
        <w:rPr>
          <w:rFonts w:ascii="方正仿宋_GBK" w:eastAsia="方正仿宋_GBK" w:hint="eastAsia"/>
          <w:sz w:val="32"/>
          <w:szCs w:val="32"/>
        </w:rPr>
        <w:t xml:space="preserve">    3、统筹规划全区竞技体育发展，制定全区体育竞赛计划，指导、管理、协调区级体育竞赛活动。</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textAlignment w:val="auto"/>
        <w:rPr>
          <w:rFonts w:ascii="方正仿宋_GBK" w:eastAsia="方正仿宋_GBK" w:hint="eastAsia"/>
          <w:sz w:val="32"/>
          <w:szCs w:val="32"/>
        </w:rPr>
      </w:pPr>
      <w:r>
        <w:rPr>
          <w:rFonts w:ascii="方正仿宋_GBK" w:eastAsia="方正仿宋_GBK" w:hint="eastAsia"/>
          <w:sz w:val="32"/>
          <w:szCs w:val="32"/>
        </w:rPr>
        <w:t xml:space="preserve">    4、统筹规划全区青少年体育发展，指导和推进全区青少年体育工作和学校体育工作，实施国家体育锻炼标准。</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textAlignment w:val="auto"/>
        <w:rPr>
          <w:rFonts w:ascii="方正仿宋_GBK" w:eastAsia="方正仿宋_GBK" w:hint="eastAsia"/>
          <w:sz w:val="32"/>
          <w:szCs w:val="32"/>
        </w:rPr>
      </w:pPr>
      <w:r>
        <w:rPr>
          <w:rFonts w:ascii="方正仿宋_GBK" w:eastAsia="方正仿宋_GBK" w:hint="eastAsia"/>
          <w:sz w:val="32"/>
          <w:szCs w:val="32"/>
        </w:rPr>
        <w:t xml:space="preserve">    5、负责区级体育社团的资格审查和业务指导，受市体育局委托，审核和审批相应的等级运动员、等级裁判员、等级社会体育指导员。</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textAlignment w:val="auto"/>
        <w:rPr>
          <w:rFonts w:ascii="方正仿宋_GBK" w:eastAsia="方正仿宋_GBK" w:hint="eastAsia"/>
          <w:sz w:val="32"/>
          <w:szCs w:val="32"/>
        </w:rPr>
      </w:pPr>
      <w:r>
        <w:rPr>
          <w:rFonts w:ascii="方正仿宋_GBK" w:eastAsia="方正仿宋_GBK" w:hint="eastAsia"/>
          <w:sz w:val="32"/>
          <w:szCs w:val="32"/>
        </w:rPr>
        <w:t xml:space="preserve">    6、拟订全区体育产业发展规划和政策，培育、发展体育市场，规范体育经营活动，参与拟订全区体育设施布局规划，监督检查体育设施的管理和使用。</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textAlignment w:val="auto"/>
        <w:rPr>
          <w:rFonts w:ascii="方正仿宋_GBK" w:eastAsia="方正仿宋_GBK" w:hint="eastAsia"/>
          <w:sz w:val="32"/>
          <w:szCs w:val="32"/>
        </w:rPr>
      </w:pPr>
      <w:r>
        <w:rPr>
          <w:rFonts w:ascii="方正仿宋_GBK" w:eastAsia="方正仿宋_GBK" w:hint="eastAsia"/>
          <w:sz w:val="32"/>
          <w:szCs w:val="32"/>
        </w:rPr>
        <w:t xml:space="preserve">    7、组织、指导体育宣传、体育培训和体育科研成果的推广工作。</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9" w:lineRule="exact"/>
        <w:ind w:left="0" w:firstLineChars="200" w:firstLine="640"/>
        <w:textAlignment w:val="auto"/>
        <w:rPr>
          <w:rFonts w:ascii="方正仿宋_GBK" w:eastAsia="方正仿宋_GBK" w:hint="eastAsia"/>
          <w:sz w:val="32"/>
          <w:szCs w:val="32"/>
        </w:rPr>
      </w:pPr>
      <w:r>
        <w:rPr>
          <w:rFonts w:ascii="方正仿宋_GBK" w:eastAsia="方正仿宋_GBK" w:hint="eastAsia"/>
          <w:sz w:val="32"/>
          <w:szCs w:val="32"/>
        </w:rPr>
        <w:t>完成区委、区政府交办的其他事项</w:t>
      </w:r>
      <w:r>
        <w:rPr>
          <w:rFonts w:ascii="方正仿宋_GBK" w:eastAsia="方正仿宋_GBK" w:hint="eastAsia"/>
          <w:sz w:val="32"/>
          <w:szCs w:val="32"/>
          <w:lang w:eastAsia="zh-CN"/>
        </w:rPr>
        <w:t>。</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Style w:val="19"/>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（二）机构设置</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Chars="200" w:firstLine="640"/>
        <w:textAlignment w:val="auto"/>
        <w:rPr>
          <w:rFonts w:hint="eastAsia"/>
          <w:sz w:val="28"/>
        </w:rPr>
      </w:pPr>
      <w:r>
        <w:rPr>
          <w:rFonts w:eastAsia="方正仿宋_GBK" w:hint="eastAsia"/>
          <w:color w:val="FF0000"/>
          <w:sz w:val="32"/>
          <w:szCs w:val="32"/>
        </w:rPr>
        <w:t> </w:t>
      </w:r>
      <w:r>
        <w:rPr>
          <w:rFonts w:ascii="方正仿宋_GBK" w:eastAsia="方正仿宋_GBK" w:hint="eastAsia"/>
          <w:sz w:val="32"/>
          <w:szCs w:val="32"/>
        </w:rPr>
        <w:t>根据江津委发〔2014〕21号文件精神，设立重庆市江津区体育局，为区政府工作部门。根据江津委办〔2015〕9号文件，体育局内设办公室、体育科。所</w:t>
      </w:r>
      <w:r>
        <w:rPr>
          <w:rFonts w:hint="eastAsia"/>
          <w:sz w:val="28"/>
        </w:rPr>
        <w:t>属事业单位有江津区体育运动学校、江津区全民健身指导中心。</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Style w:val="19"/>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（三）单位构成</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textAlignment w:val="auto"/>
        <w:rPr>
          <w:rFonts w:ascii="方正仿宋_GBK" w:eastAsia="方正仿宋_GBK" w:hint="eastAsia"/>
          <w:sz w:val="32"/>
          <w:szCs w:val="32"/>
        </w:rPr>
      </w:pPr>
      <w:r>
        <w:rPr>
          <w:rStyle w:val="19"/>
          <w:rFonts w:eastAsia="方正仿宋_GBK" w:hint="eastAsia"/>
          <w:sz w:val="32"/>
          <w:szCs w:val="32"/>
        </w:rPr>
        <w:t xml:space="preserve">    </w:t>
      </w:r>
      <w:r>
        <w:rPr>
          <w:rFonts w:hint="eastAsia"/>
          <w:sz w:val="28"/>
        </w:rPr>
        <w:t>区体育局所</w:t>
      </w:r>
      <w:r>
        <w:rPr>
          <w:rFonts w:hint="eastAsia"/>
          <w:color w:val="000000"/>
          <w:sz w:val="28"/>
        </w:rPr>
        <w:t>属全民健身指导中心纳入202</w:t>
      </w:r>
      <w:r>
        <w:rPr>
          <w:rFonts w:hint="eastAsia"/>
          <w:color w:val="000000"/>
          <w:sz w:val="28"/>
          <w:lang w:val="en-US" w:eastAsia="zh-CN"/>
        </w:rPr>
        <w:t>2</w:t>
      </w:r>
      <w:r>
        <w:rPr>
          <w:rFonts w:hint="eastAsia"/>
          <w:color w:val="000000"/>
          <w:sz w:val="28"/>
        </w:rPr>
        <w:t>年</w:t>
      </w:r>
      <w:r>
        <w:rPr>
          <w:rFonts w:hint="eastAsia"/>
          <w:color w:val="000000"/>
          <w:sz w:val="28"/>
          <w:lang w:eastAsia="zh-CN"/>
        </w:rPr>
        <w:t>区级二</w:t>
      </w:r>
      <w:r>
        <w:rPr>
          <w:rFonts w:hint="eastAsia"/>
          <w:color w:val="000000"/>
          <w:sz w:val="28"/>
        </w:rPr>
        <w:t>级决算编制范围；体育运动学校</w:t>
      </w:r>
      <w:r>
        <w:rPr>
          <w:rFonts w:hint="eastAsia"/>
          <w:color w:val="000000"/>
          <w:sz w:val="28"/>
          <w:lang w:eastAsia="zh-CN"/>
        </w:rPr>
        <w:t>区级一级</w:t>
      </w:r>
      <w:r>
        <w:rPr>
          <w:rFonts w:hint="eastAsia"/>
          <w:color w:val="000000"/>
          <w:sz w:val="28"/>
        </w:rPr>
        <w:t>预</w:t>
      </w:r>
      <w:r>
        <w:rPr>
          <w:rFonts w:hint="eastAsia"/>
          <w:color w:val="000000"/>
          <w:sz w:val="28"/>
          <w:lang w:eastAsia="zh-CN"/>
        </w:rPr>
        <w:t>决</w:t>
      </w:r>
      <w:r>
        <w:rPr>
          <w:rFonts w:hint="eastAsia"/>
          <w:color w:val="000000"/>
          <w:sz w:val="28"/>
        </w:rPr>
        <w:t>算单位。</w:t>
      </w:r>
      <w:r>
        <w:rPr>
          <w:rFonts w:hint="eastAsia"/>
          <w:sz w:val="27"/>
          <w:szCs w:val="27"/>
        </w:rPr>
        <w:t>从预算单位构成看，纳入本部门202</w:t>
      </w:r>
      <w:r>
        <w:rPr>
          <w:rFonts w:hint="eastAsia"/>
          <w:sz w:val="27"/>
          <w:szCs w:val="27"/>
          <w:lang w:val="en-US" w:eastAsia="zh-CN"/>
        </w:rPr>
        <w:t>2</w:t>
      </w:r>
      <w:r>
        <w:rPr>
          <w:rFonts w:hint="eastAsia"/>
          <w:sz w:val="27"/>
          <w:szCs w:val="27"/>
        </w:rPr>
        <w:t>年度决算编制的二级预算单位主要包括重庆市江江津区体育局（本级）、重庆市江津区</w:t>
      </w:r>
      <w:r>
        <w:rPr>
          <w:rFonts w:hint="eastAsia"/>
          <w:sz w:val="27"/>
          <w:szCs w:val="27"/>
          <w:lang w:eastAsia="zh-CN"/>
        </w:rPr>
        <w:t>全民健身指导中心</w:t>
      </w:r>
      <w:r>
        <w:rPr>
          <w:rFonts w:hint="eastAsia"/>
          <w:sz w:val="27"/>
          <w:szCs w:val="27"/>
        </w:rPr>
        <w:t>。</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ascii="方正黑体_GBK" w:eastAsia="方正黑体_GBK" w:cs="方正黑体_GBK" w:hint="eastAsia"/>
          <w:b w:val="0"/>
          <w:bCs/>
          <w:sz w:val="32"/>
          <w:szCs w:val="32"/>
        </w:rPr>
      </w:pPr>
      <w:r>
        <w:rPr>
          <w:rFonts w:ascii="方正黑体_GBK" w:eastAsia="方正黑体_GBK" w:cs="方正黑体_GBK" w:hint="eastAsia"/>
          <w:b w:val="0"/>
          <w:bCs/>
          <w:sz w:val="32"/>
          <w:szCs w:val="32"/>
        </w:rPr>
        <w:t>二、部门决算情况说明</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Style w:val="19"/>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（一）收入支出决算总体情况说明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sz w:val="27"/>
          <w:szCs w:val="27"/>
        </w:rPr>
      </w:pPr>
      <w:r>
        <w:rPr>
          <w:rStyle w:val="19"/>
          <w:rFonts w:hint="eastAsia"/>
          <w:sz w:val="27"/>
          <w:szCs w:val="27"/>
        </w:rPr>
        <w:t>1.总体情况</w:t>
      </w:r>
      <w:r>
        <w:rPr>
          <w:rFonts w:hint="eastAsia"/>
          <w:sz w:val="27"/>
          <w:szCs w:val="27"/>
        </w:rPr>
        <w:t>。202</w:t>
      </w:r>
      <w:r>
        <w:rPr>
          <w:rFonts w:hint="eastAsia"/>
          <w:sz w:val="27"/>
          <w:szCs w:val="27"/>
          <w:lang w:val="en-US" w:eastAsia="zh-CN"/>
        </w:rPr>
        <w:t>2</w:t>
      </w:r>
      <w:r>
        <w:rPr>
          <w:rFonts w:hint="eastAsia"/>
          <w:sz w:val="27"/>
          <w:szCs w:val="27"/>
        </w:rPr>
        <w:t>年度收入总计</w:t>
      </w:r>
      <w:r>
        <w:rPr>
          <w:rFonts w:hint="eastAsia"/>
          <w:sz w:val="27"/>
          <w:szCs w:val="27"/>
          <w:lang w:val="en-US" w:eastAsia="zh-CN"/>
        </w:rPr>
        <w:t>4086.62</w:t>
      </w:r>
      <w:r>
        <w:rPr>
          <w:rFonts w:hint="eastAsia"/>
          <w:sz w:val="27"/>
          <w:szCs w:val="27"/>
        </w:rPr>
        <w:t>万元，支出总计</w:t>
      </w:r>
      <w:r>
        <w:rPr>
          <w:rFonts w:hint="eastAsia"/>
          <w:sz w:val="27"/>
          <w:szCs w:val="27"/>
          <w:lang w:val="en-US" w:eastAsia="zh-CN"/>
        </w:rPr>
        <w:t>4086.62</w:t>
      </w:r>
      <w:r>
        <w:rPr>
          <w:rFonts w:hint="eastAsia"/>
          <w:sz w:val="27"/>
          <w:szCs w:val="27"/>
        </w:rPr>
        <w:t>万元。收</w:t>
      </w:r>
      <w:r>
        <w:rPr>
          <w:rFonts w:hint="eastAsia"/>
          <w:sz w:val="27"/>
          <w:szCs w:val="27"/>
          <w:lang w:eastAsia="zh-CN"/>
        </w:rPr>
        <w:t>支</w:t>
      </w:r>
      <w:r>
        <w:rPr>
          <w:rFonts w:hint="eastAsia"/>
          <w:sz w:val="27"/>
          <w:szCs w:val="27"/>
        </w:rPr>
        <w:t>较上年决算数减少</w:t>
      </w:r>
      <w:r>
        <w:rPr>
          <w:rFonts w:hint="eastAsia"/>
          <w:sz w:val="27"/>
          <w:szCs w:val="27"/>
          <w:lang w:val="en-US" w:eastAsia="zh-CN"/>
        </w:rPr>
        <w:t>287.73</w:t>
      </w:r>
      <w:r>
        <w:rPr>
          <w:rFonts w:hint="eastAsia"/>
          <w:sz w:val="27"/>
          <w:szCs w:val="27"/>
        </w:rPr>
        <w:t>万元、下降</w:t>
      </w:r>
      <w:r>
        <w:rPr>
          <w:rFonts w:hint="eastAsia"/>
          <w:sz w:val="27"/>
          <w:szCs w:val="27"/>
          <w:lang w:val="en-US" w:eastAsia="zh-CN"/>
        </w:rPr>
        <w:t>6.58</w:t>
      </w:r>
      <w:r>
        <w:rPr>
          <w:rFonts w:hint="eastAsia"/>
          <w:vanish/>
          <w:sz w:val="27"/>
          <w:szCs w:val="27"/>
          <w:lang w:val="en-US" w:eastAsia="zh-CN"/>
        </w:rPr>
        <w:t>6.5/86.58</w:t>
      </w:r>
      <w:r>
        <w:rPr>
          <w:rFonts w:hint="eastAsia"/>
          <w:sz w:val="27"/>
          <w:szCs w:val="27"/>
        </w:rPr>
        <w:t>%，主要原因是 :预算在上年的基础上调减了。</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textAlignment w:val="auto"/>
        <w:rPr>
          <w:rFonts w:hint="eastAsia"/>
          <w:sz w:val="27"/>
          <w:szCs w:val="27"/>
        </w:rPr>
      </w:pPr>
      <w:r>
        <w:rPr>
          <w:rFonts w:hint="eastAsia"/>
          <w:sz w:val="27"/>
          <w:szCs w:val="27"/>
        </w:rPr>
        <w:t xml:space="preserve"> </w:t>
      </w:r>
      <w:r>
        <w:rPr>
          <w:rFonts w:hint="eastAsia"/>
          <w:sz w:val="27"/>
          <w:szCs w:val="27"/>
          <w:lang w:val="en-US" w:eastAsia="zh-CN"/>
        </w:rPr>
        <w:t xml:space="preserve">  </w:t>
      </w:r>
      <w:r>
        <w:rPr>
          <w:rStyle w:val="19"/>
          <w:rFonts w:hint="eastAsia"/>
          <w:sz w:val="27"/>
          <w:szCs w:val="27"/>
        </w:rPr>
        <w:t>2.收入情况。</w:t>
      </w:r>
      <w:r>
        <w:rPr>
          <w:rFonts w:hint="eastAsia"/>
          <w:sz w:val="27"/>
          <w:szCs w:val="27"/>
        </w:rPr>
        <w:t>202</w:t>
      </w:r>
      <w:r>
        <w:rPr>
          <w:rFonts w:hint="eastAsia"/>
          <w:sz w:val="27"/>
          <w:szCs w:val="27"/>
          <w:lang w:val="en-US" w:eastAsia="zh-CN"/>
        </w:rPr>
        <w:t>2</w:t>
      </w:r>
      <w:r>
        <w:rPr>
          <w:rFonts w:hint="eastAsia"/>
          <w:sz w:val="27"/>
          <w:szCs w:val="27"/>
        </w:rPr>
        <w:t>年度收入合计</w:t>
      </w:r>
      <w:r>
        <w:rPr>
          <w:rFonts w:hint="eastAsia"/>
          <w:sz w:val="27"/>
          <w:szCs w:val="27"/>
          <w:lang w:val="en-US" w:eastAsia="zh-CN"/>
        </w:rPr>
        <w:t>3996.4</w:t>
      </w:r>
      <w:r>
        <w:rPr>
          <w:rFonts w:hint="eastAsia"/>
          <w:sz w:val="27"/>
          <w:szCs w:val="27"/>
        </w:rPr>
        <w:t>万元，较上年决算数减少</w:t>
      </w:r>
      <w:r>
        <w:rPr>
          <w:rFonts w:hint="eastAsia"/>
          <w:sz w:val="27"/>
          <w:szCs w:val="27"/>
          <w:lang w:val="en-US" w:eastAsia="zh-CN"/>
        </w:rPr>
        <w:t>131.24</w:t>
      </w:r>
      <w:r>
        <w:rPr>
          <w:rFonts w:hint="eastAsia"/>
          <w:sz w:val="27"/>
          <w:szCs w:val="27"/>
        </w:rPr>
        <w:t>万元，下降</w:t>
      </w:r>
      <w:r>
        <w:rPr>
          <w:rFonts w:hint="eastAsia"/>
          <w:sz w:val="27"/>
          <w:szCs w:val="27"/>
          <w:lang w:val="en-US" w:eastAsia="zh-CN"/>
        </w:rPr>
        <w:t>3.18</w:t>
      </w:r>
      <w:r>
        <w:rPr>
          <w:rFonts w:hint="eastAsia"/>
          <w:sz w:val="27"/>
          <w:szCs w:val="27"/>
        </w:rPr>
        <w:t>%，主要原因是: 预算在上年的基础上调减了。其中：财政拨款收入</w:t>
      </w:r>
      <w:r>
        <w:rPr>
          <w:rFonts w:hint="eastAsia"/>
          <w:sz w:val="27"/>
          <w:szCs w:val="27"/>
          <w:lang w:val="en-US" w:eastAsia="zh-CN"/>
        </w:rPr>
        <w:t>3990.4</w:t>
      </w:r>
      <w:r>
        <w:rPr>
          <w:rFonts w:hint="eastAsia"/>
          <w:sz w:val="27"/>
          <w:szCs w:val="27"/>
        </w:rPr>
        <w:t>万元，占</w:t>
      </w:r>
      <w:r>
        <w:rPr>
          <w:rFonts w:hint="eastAsia"/>
          <w:sz w:val="27"/>
          <w:szCs w:val="27"/>
          <w:lang w:val="en-US" w:eastAsia="zh-CN"/>
        </w:rPr>
        <w:t>99.85</w:t>
      </w:r>
      <w:r>
        <w:rPr>
          <w:rFonts w:hint="eastAsia"/>
          <w:sz w:val="27"/>
          <w:szCs w:val="27"/>
        </w:rPr>
        <w:t>%；其他收入</w:t>
      </w:r>
      <w:r>
        <w:rPr>
          <w:rFonts w:hint="eastAsia"/>
          <w:sz w:val="27"/>
          <w:szCs w:val="27"/>
          <w:lang w:val="en-US" w:eastAsia="zh-CN"/>
        </w:rPr>
        <w:t>6</w:t>
      </w:r>
      <w:r>
        <w:rPr>
          <w:rFonts w:hint="eastAsia"/>
          <w:sz w:val="27"/>
          <w:szCs w:val="27"/>
        </w:rPr>
        <w:t>万元，占</w:t>
      </w:r>
      <w:r>
        <w:rPr>
          <w:rFonts w:hint="eastAsia"/>
          <w:sz w:val="27"/>
          <w:szCs w:val="27"/>
          <w:lang w:val="en-US" w:eastAsia="zh-CN"/>
        </w:rPr>
        <w:t>0.15</w:t>
      </w:r>
      <w:r>
        <w:rPr>
          <w:rFonts w:hint="eastAsia"/>
          <w:sz w:val="27"/>
          <w:szCs w:val="27"/>
        </w:rPr>
        <w:t>%。此外年初结转和结余</w:t>
      </w:r>
      <w:r>
        <w:rPr>
          <w:rFonts w:hint="eastAsia"/>
          <w:sz w:val="27"/>
          <w:szCs w:val="27"/>
          <w:lang w:val="en-US" w:eastAsia="zh-CN"/>
        </w:rPr>
        <w:t>90.22</w:t>
      </w:r>
      <w:r>
        <w:rPr>
          <w:rFonts w:hint="eastAsia"/>
          <w:sz w:val="27"/>
          <w:szCs w:val="27"/>
        </w:rPr>
        <w:t>万元。</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color w:val="FF0000"/>
          <w:sz w:val="27"/>
          <w:szCs w:val="27"/>
          <w:shd w:val="clear" w:color="auto" w:fill="FFFF00"/>
        </w:rPr>
      </w:pPr>
      <w:r>
        <w:rPr>
          <w:rStyle w:val="19"/>
          <w:rFonts w:hint="eastAsia"/>
          <w:sz w:val="27"/>
          <w:szCs w:val="27"/>
        </w:rPr>
        <w:t>3.支出情况。</w:t>
      </w:r>
      <w:r>
        <w:rPr>
          <w:rFonts w:hint="eastAsia"/>
          <w:sz w:val="27"/>
          <w:szCs w:val="27"/>
        </w:rPr>
        <w:t>202</w:t>
      </w:r>
      <w:r>
        <w:rPr>
          <w:rFonts w:hint="eastAsia"/>
          <w:sz w:val="27"/>
          <w:szCs w:val="27"/>
          <w:lang w:val="en-US" w:eastAsia="zh-CN"/>
        </w:rPr>
        <w:t>2</w:t>
      </w:r>
      <w:r>
        <w:rPr>
          <w:rFonts w:hint="eastAsia"/>
          <w:sz w:val="27"/>
          <w:szCs w:val="27"/>
        </w:rPr>
        <w:t>年度支出合计</w:t>
      </w:r>
      <w:r>
        <w:rPr>
          <w:rFonts w:hint="eastAsia"/>
          <w:sz w:val="27"/>
          <w:szCs w:val="27"/>
          <w:lang w:val="en-US" w:eastAsia="zh-CN"/>
        </w:rPr>
        <w:t>4044.28</w:t>
      </w:r>
      <w:r>
        <w:rPr>
          <w:rFonts w:hint="eastAsia"/>
          <w:sz w:val="27"/>
          <w:szCs w:val="27"/>
        </w:rPr>
        <w:t>万元，较上年决算数减少</w:t>
      </w:r>
      <w:r>
        <w:rPr>
          <w:rFonts w:hint="eastAsia"/>
          <w:sz w:val="27"/>
          <w:szCs w:val="27"/>
          <w:lang w:val="en-US" w:eastAsia="zh-CN"/>
        </w:rPr>
        <w:t>239.86</w:t>
      </w:r>
      <w:r>
        <w:rPr>
          <w:rFonts w:hint="eastAsia"/>
          <w:sz w:val="27"/>
          <w:szCs w:val="27"/>
        </w:rPr>
        <w:t>万元，下降</w:t>
      </w:r>
      <w:r>
        <w:rPr>
          <w:rFonts w:hint="eastAsia"/>
          <w:sz w:val="27"/>
          <w:szCs w:val="27"/>
          <w:lang w:val="en-US" w:eastAsia="zh-CN"/>
        </w:rPr>
        <w:t>5.6</w:t>
      </w:r>
      <w:r>
        <w:rPr>
          <w:rFonts w:hint="eastAsia"/>
          <w:sz w:val="27"/>
          <w:szCs w:val="27"/>
        </w:rPr>
        <w:t>%，主要原因是：预算在上年的基础上调减了。其中：基本支出</w:t>
      </w:r>
      <w:r>
        <w:rPr>
          <w:rFonts w:hint="eastAsia"/>
          <w:sz w:val="27"/>
          <w:szCs w:val="27"/>
          <w:lang w:val="en-US" w:eastAsia="zh-CN"/>
        </w:rPr>
        <w:t>359.59</w:t>
      </w:r>
      <w:r>
        <w:rPr>
          <w:rFonts w:hint="eastAsia"/>
          <w:sz w:val="27"/>
          <w:szCs w:val="27"/>
        </w:rPr>
        <w:t>万元，占</w:t>
      </w:r>
      <w:r>
        <w:rPr>
          <w:rFonts w:hint="eastAsia"/>
          <w:sz w:val="27"/>
          <w:szCs w:val="27"/>
          <w:lang w:val="en-US" w:eastAsia="zh-CN"/>
        </w:rPr>
        <w:t>8.89</w:t>
      </w:r>
      <w:r>
        <w:rPr>
          <w:rFonts w:hint="eastAsia"/>
          <w:sz w:val="27"/>
          <w:szCs w:val="27"/>
        </w:rPr>
        <w:t>%；项目支出</w:t>
      </w:r>
      <w:r>
        <w:rPr>
          <w:rFonts w:hint="eastAsia"/>
          <w:sz w:val="27"/>
          <w:szCs w:val="27"/>
          <w:lang w:val="en-US" w:eastAsia="zh-CN"/>
        </w:rPr>
        <w:t>3684.69</w:t>
      </w:r>
      <w:r>
        <w:rPr>
          <w:rFonts w:hint="eastAsia"/>
          <w:sz w:val="27"/>
          <w:szCs w:val="27"/>
        </w:rPr>
        <w:t>万元，占</w:t>
      </w:r>
      <w:r>
        <w:rPr>
          <w:rFonts w:hint="eastAsia"/>
          <w:sz w:val="27"/>
          <w:szCs w:val="27"/>
          <w:lang w:val="en-US" w:eastAsia="zh-CN"/>
        </w:rPr>
        <w:t>91.11</w:t>
      </w:r>
      <w:r>
        <w:rPr>
          <w:rFonts w:hint="eastAsia"/>
          <w:sz w:val="27"/>
          <w:szCs w:val="27"/>
        </w:rPr>
        <w:t>%。</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sz w:val="27"/>
          <w:szCs w:val="27"/>
        </w:rPr>
      </w:pPr>
      <w:r>
        <w:rPr>
          <w:rStyle w:val="19"/>
          <w:rFonts w:hint="eastAsia"/>
          <w:sz w:val="27"/>
          <w:szCs w:val="27"/>
        </w:rPr>
        <w:t>4.结转结余情况。</w:t>
      </w:r>
      <w:r>
        <w:rPr>
          <w:rFonts w:hint="eastAsia"/>
          <w:sz w:val="27"/>
          <w:szCs w:val="27"/>
        </w:rPr>
        <w:t>202</w:t>
      </w:r>
      <w:r>
        <w:rPr>
          <w:rFonts w:hint="eastAsia"/>
          <w:sz w:val="27"/>
          <w:szCs w:val="27"/>
          <w:lang w:val="en-US" w:eastAsia="zh-CN"/>
        </w:rPr>
        <w:t>2</w:t>
      </w:r>
      <w:r>
        <w:rPr>
          <w:rFonts w:hint="eastAsia"/>
          <w:sz w:val="27"/>
          <w:szCs w:val="27"/>
        </w:rPr>
        <w:t>年度年末结转和结余</w:t>
      </w:r>
      <w:r>
        <w:rPr>
          <w:rFonts w:hint="eastAsia"/>
          <w:sz w:val="27"/>
          <w:szCs w:val="27"/>
          <w:lang w:val="en-US" w:eastAsia="zh-CN"/>
        </w:rPr>
        <w:t>42.34</w:t>
      </w:r>
      <w:r>
        <w:rPr>
          <w:rFonts w:hint="eastAsia"/>
          <w:sz w:val="27"/>
          <w:szCs w:val="27"/>
        </w:rPr>
        <w:t>万元，较上年决算数减少</w:t>
      </w:r>
      <w:r>
        <w:rPr>
          <w:rFonts w:hint="eastAsia"/>
          <w:sz w:val="27"/>
          <w:szCs w:val="27"/>
          <w:lang w:val="en-US" w:eastAsia="zh-CN"/>
        </w:rPr>
        <w:t>47.87</w:t>
      </w:r>
      <w:r>
        <w:rPr>
          <w:rFonts w:hint="eastAsia"/>
          <w:sz w:val="27"/>
          <w:szCs w:val="27"/>
        </w:rPr>
        <w:t>万元，下降</w:t>
      </w:r>
      <w:r>
        <w:rPr>
          <w:rFonts w:hint="eastAsia"/>
          <w:sz w:val="27"/>
          <w:szCs w:val="27"/>
          <w:lang w:val="en-US" w:eastAsia="zh-CN"/>
        </w:rPr>
        <w:t>53.07</w:t>
      </w:r>
      <w:r>
        <w:rPr>
          <w:rFonts w:hint="eastAsia"/>
          <w:sz w:val="27"/>
          <w:szCs w:val="27"/>
        </w:rPr>
        <w:t>%，主要原因是2021年无财政拨款结转。</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（二）财政拨款收入支出决算总体情况说明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textAlignment w:val="auto"/>
        <w:rPr>
          <w:rFonts w:hint="eastAsia"/>
          <w:sz w:val="27"/>
          <w:szCs w:val="27"/>
        </w:rPr>
      </w:pPr>
      <w:r>
        <w:rPr>
          <w:rFonts w:hint="eastAsia"/>
          <w:sz w:val="27"/>
          <w:szCs w:val="27"/>
        </w:rPr>
        <w:t>     202</w:t>
      </w:r>
      <w:r>
        <w:rPr>
          <w:rFonts w:hint="eastAsia"/>
          <w:sz w:val="27"/>
          <w:szCs w:val="27"/>
          <w:lang w:val="en-US" w:eastAsia="zh-CN"/>
        </w:rPr>
        <w:t>2</w:t>
      </w:r>
      <w:r>
        <w:rPr>
          <w:rFonts w:hint="eastAsia"/>
          <w:sz w:val="27"/>
          <w:szCs w:val="27"/>
        </w:rPr>
        <w:t>年度财政拨款收、支总计</w:t>
      </w:r>
      <w:r>
        <w:rPr>
          <w:rFonts w:hint="eastAsia"/>
          <w:sz w:val="27"/>
          <w:szCs w:val="27"/>
          <w:lang w:val="en-US" w:eastAsia="zh-CN"/>
        </w:rPr>
        <w:t>3990.4</w:t>
      </w:r>
      <w:r>
        <w:rPr>
          <w:rFonts w:hint="eastAsia"/>
          <w:sz w:val="27"/>
          <w:szCs w:val="27"/>
        </w:rPr>
        <w:t>万元。与202</w:t>
      </w:r>
      <w:r>
        <w:rPr>
          <w:rFonts w:hint="eastAsia"/>
          <w:sz w:val="27"/>
          <w:szCs w:val="27"/>
          <w:lang w:val="en-US" w:eastAsia="zh-CN"/>
        </w:rPr>
        <w:t>1</w:t>
      </w:r>
      <w:r>
        <w:rPr>
          <w:rFonts w:hint="eastAsia"/>
          <w:sz w:val="27"/>
          <w:szCs w:val="27"/>
        </w:rPr>
        <w:t>年相比，财政拨款收、支总计各减少</w:t>
      </w:r>
      <w:r>
        <w:rPr>
          <w:rFonts w:hint="eastAsia"/>
          <w:sz w:val="27"/>
          <w:szCs w:val="27"/>
          <w:lang w:val="en-US" w:eastAsia="zh-CN"/>
        </w:rPr>
        <w:t>44.76</w:t>
      </w:r>
      <w:r>
        <w:rPr>
          <w:rFonts w:hint="eastAsia"/>
          <w:sz w:val="27"/>
          <w:szCs w:val="27"/>
        </w:rPr>
        <w:t>万 元，下降</w:t>
      </w:r>
      <w:r>
        <w:rPr>
          <w:rFonts w:hint="eastAsia"/>
          <w:sz w:val="27"/>
          <w:szCs w:val="27"/>
          <w:lang w:val="en-US" w:eastAsia="zh-CN"/>
        </w:rPr>
        <w:t>1.11</w:t>
      </w:r>
      <w:r>
        <w:rPr>
          <w:rFonts w:hint="eastAsia"/>
          <w:sz w:val="27"/>
          <w:szCs w:val="27"/>
        </w:rPr>
        <w:t>%。主要原因是训中心新建及公预算在上年的基础上调减了。</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（三）一般公共预算财政拨款支出决算情况说明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sz w:val="27"/>
          <w:szCs w:val="27"/>
        </w:rPr>
      </w:pPr>
      <w:r>
        <w:rPr>
          <w:rStyle w:val="19"/>
          <w:rFonts w:hint="eastAsia"/>
          <w:sz w:val="27"/>
          <w:szCs w:val="27"/>
        </w:rPr>
        <w:t>1.收入情况。</w:t>
      </w:r>
      <w:r>
        <w:rPr>
          <w:rFonts w:hint="eastAsia"/>
          <w:sz w:val="27"/>
          <w:szCs w:val="27"/>
        </w:rPr>
        <w:t>202</w:t>
      </w:r>
      <w:r>
        <w:rPr>
          <w:rFonts w:hint="eastAsia"/>
          <w:sz w:val="27"/>
          <w:szCs w:val="27"/>
          <w:lang w:val="en-US" w:eastAsia="zh-CN"/>
        </w:rPr>
        <w:t>2</w:t>
      </w:r>
      <w:r>
        <w:rPr>
          <w:rFonts w:hint="eastAsia"/>
          <w:sz w:val="27"/>
          <w:szCs w:val="27"/>
        </w:rPr>
        <w:t>年度一般公共预算财政拨款收入</w:t>
      </w:r>
      <w:r>
        <w:rPr>
          <w:rFonts w:hint="eastAsia"/>
          <w:sz w:val="27"/>
          <w:szCs w:val="27"/>
          <w:lang w:val="en-US" w:eastAsia="zh-CN"/>
        </w:rPr>
        <w:t>1244.71</w:t>
      </w:r>
      <w:r>
        <w:rPr>
          <w:rFonts w:hint="eastAsia"/>
          <w:sz w:val="27"/>
          <w:szCs w:val="27"/>
        </w:rPr>
        <w:t>万元，较上年决算</w:t>
      </w:r>
      <w:r>
        <w:rPr>
          <w:rFonts w:hint="eastAsia"/>
          <w:sz w:val="27"/>
          <w:szCs w:val="27"/>
          <w:lang w:eastAsia="zh-CN"/>
        </w:rPr>
        <w:t>减少</w:t>
      </w:r>
      <w:r>
        <w:rPr>
          <w:rFonts w:hint="eastAsia"/>
          <w:sz w:val="27"/>
          <w:szCs w:val="27"/>
          <w:lang w:val="en-US" w:eastAsia="zh-CN"/>
        </w:rPr>
        <w:t>2241.75</w:t>
      </w:r>
      <w:r>
        <w:rPr>
          <w:rFonts w:hint="eastAsia"/>
          <w:sz w:val="27"/>
          <w:szCs w:val="27"/>
        </w:rPr>
        <w:t>万元，</w:t>
      </w:r>
      <w:r>
        <w:rPr>
          <w:rFonts w:hint="eastAsia"/>
          <w:sz w:val="27"/>
          <w:szCs w:val="27"/>
          <w:lang w:eastAsia="zh-CN"/>
        </w:rPr>
        <w:t>减少</w:t>
      </w:r>
      <w:r>
        <w:rPr>
          <w:rFonts w:hint="eastAsia"/>
          <w:sz w:val="27"/>
          <w:szCs w:val="27"/>
          <w:lang w:val="en-US" w:eastAsia="zh-CN"/>
        </w:rPr>
        <w:t>64.3</w:t>
      </w:r>
      <w:r>
        <w:rPr>
          <w:rFonts w:hint="eastAsia"/>
          <w:sz w:val="27"/>
          <w:szCs w:val="27"/>
        </w:rPr>
        <w:t>%。主要原因是202</w:t>
      </w:r>
      <w:r>
        <w:rPr>
          <w:rFonts w:hint="eastAsia"/>
          <w:sz w:val="27"/>
          <w:szCs w:val="27"/>
          <w:lang w:val="en-US" w:eastAsia="zh-CN"/>
        </w:rPr>
        <w:t>2</w:t>
      </w:r>
      <w:r>
        <w:rPr>
          <w:rFonts w:hint="eastAsia"/>
          <w:sz w:val="27"/>
          <w:szCs w:val="27"/>
        </w:rPr>
        <w:t>年</w:t>
      </w:r>
      <w:r>
        <w:rPr>
          <w:rFonts w:hint="eastAsia"/>
          <w:sz w:val="27"/>
          <w:szCs w:val="27"/>
          <w:lang w:eastAsia="zh-CN"/>
        </w:rPr>
        <w:t>滨江体育公园建设项目</w:t>
      </w:r>
      <w:r>
        <w:rPr>
          <w:rFonts w:hint="eastAsia"/>
          <w:sz w:val="27"/>
          <w:szCs w:val="27"/>
          <w:lang w:val="en-US" w:eastAsia="zh-CN"/>
        </w:rPr>
        <w:t>2000万元</w:t>
      </w:r>
      <w:r>
        <w:rPr>
          <w:rFonts w:hint="eastAsia"/>
          <w:sz w:val="27"/>
          <w:szCs w:val="27"/>
          <w:lang w:eastAsia="zh-CN"/>
        </w:rPr>
        <w:t>是</w:t>
      </w:r>
      <w:r>
        <w:rPr>
          <w:rFonts w:hint="eastAsia"/>
          <w:sz w:val="27"/>
          <w:szCs w:val="27"/>
        </w:rPr>
        <w:t>其他地方自行试点项目收益专项债券收入安排的</w:t>
      </w:r>
      <w:r>
        <w:rPr>
          <w:rFonts w:hint="eastAsia"/>
          <w:sz w:val="27"/>
          <w:szCs w:val="27"/>
          <w:lang w:eastAsia="zh-CN"/>
        </w:rPr>
        <w:t>属政府性基金</w:t>
      </w:r>
      <w:r>
        <w:rPr>
          <w:rFonts w:hint="eastAsia"/>
          <w:sz w:val="27"/>
          <w:szCs w:val="27"/>
        </w:rPr>
        <w:t>。</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sz w:val="27"/>
          <w:szCs w:val="27"/>
        </w:rPr>
      </w:pPr>
      <w:r>
        <w:rPr>
          <w:rStyle w:val="19"/>
          <w:rFonts w:hint="eastAsia"/>
          <w:sz w:val="27"/>
          <w:szCs w:val="27"/>
        </w:rPr>
        <w:t>2.支出情况。</w:t>
      </w:r>
      <w:r>
        <w:rPr>
          <w:rFonts w:hint="eastAsia"/>
          <w:sz w:val="27"/>
          <w:szCs w:val="27"/>
        </w:rPr>
        <w:t>202</w:t>
      </w:r>
      <w:r>
        <w:rPr>
          <w:rFonts w:hint="eastAsia"/>
          <w:sz w:val="27"/>
          <w:szCs w:val="27"/>
          <w:lang w:val="en-US" w:eastAsia="zh-CN"/>
        </w:rPr>
        <w:t>2</w:t>
      </w:r>
      <w:r>
        <w:rPr>
          <w:rFonts w:hint="eastAsia"/>
          <w:sz w:val="27"/>
          <w:szCs w:val="27"/>
        </w:rPr>
        <w:t>年度一般公共预算财政拨款支出</w:t>
      </w:r>
      <w:r>
        <w:rPr>
          <w:rFonts w:hint="eastAsia"/>
          <w:sz w:val="27"/>
          <w:szCs w:val="27"/>
          <w:lang w:val="en-US" w:eastAsia="zh-CN"/>
        </w:rPr>
        <w:t>1244.71</w:t>
      </w:r>
      <w:r>
        <w:rPr>
          <w:rFonts w:hint="eastAsia"/>
          <w:sz w:val="27"/>
          <w:szCs w:val="27"/>
        </w:rPr>
        <w:t>万元，较上年决算数减少</w:t>
      </w:r>
      <w:r>
        <w:rPr>
          <w:rFonts w:hint="eastAsia"/>
          <w:sz w:val="27"/>
          <w:szCs w:val="27"/>
          <w:lang w:val="en-US" w:eastAsia="zh-CN"/>
        </w:rPr>
        <w:t>2241.75</w:t>
      </w:r>
      <w:r>
        <w:rPr>
          <w:rFonts w:hint="eastAsia"/>
          <w:sz w:val="27"/>
          <w:szCs w:val="27"/>
        </w:rPr>
        <w:t>万元，减少</w:t>
      </w:r>
      <w:r>
        <w:rPr>
          <w:rFonts w:hint="eastAsia"/>
          <w:sz w:val="27"/>
          <w:szCs w:val="27"/>
          <w:lang w:val="en-US" w:eastAsia="zh-CN"/>
        </w:rPr>
        <w:t>64.3</w:t>
      </w:r>
      <w:r>
        <w:rPr>
          <w:rFonts w:hint="eastAsia"/>
          <w:sz w:val="27"/>
          <w:szCs w:val="27"/>
        </w:rPr>
        <w:t>%。主要原因是202</w:t>
      </w:r>
      <w:r>
        <w:rPr>
          <w:rFonts w:hint="eastAsia"/>
          <w:sz w:val="27"/>
          <w:szCs w:val="27"/>
          <w:lang w:val="en-US" w:eastAsia="zh-CN"/>
        </w:rPr>
        <w:t>2</w:t>
      </w:r>
      <w:r>
        <w:rPr>
          <w:rFonts w:hint="eastAsia"/>
          <w:sz w:val="27"/>
          <w:szCs w:val="27"/>
        </w:rPr>
        <w:t>年</w:t>
      </w:r>
      <w:r>
        <w:rPr>
          <w:rFonts w:hint="eastAsia"/>
          <w:sz w:val="27"/>
          <w:szCs w:val="27"/>
          <w:lang w:eastAsia="zh-CN"/>
        </w:rPr>
        <w:t>滨江体育公园建设项目</w:t>
      </w:r>
      <w:r>
        <w:rPr>
          <w:rFonts w:hint="eastAsia"/>
          <w:sz w:val="27"/>
          <w:szCs w:val="27"/>
          <w:lang w:val="en-US" w:eastAsia="zh-CN"/>
        </w:rPr>
        <w:t>2000万元</w:t>
      </w:r>
      <w:r>
        <w:rPr>
          <w:rFonts w:hint="eastAsia"/>
          <w:sz w:val="27"/>
          <w:szCs w:val="27"/>
          <w:lang w:eastAsia="zh-CN"/>
        </w:rPr>
        <w:t>是</w:t>
      </w:r>
      <w:r>
        <w:rPr>
          <w:rFonts w:hint="eastAsia"/>
          <w:sz w:val="27"/>
          <w:szCs w:val="27"/>
        </w:rPr>
        <w:t>其他地方自行试点项目收益专项债券收入安排</w:t>
      </w:r>
      <w:r>
        <w:rPr>
          <w:rFonts w:hint="eastAsia"/>
          <w:sz w:val="27"/>
          <w:szCs w:val="27"/>
          <w:lang w:eastAsia="zh-CN"/>
        </w:rPr>
        <w:t>属政府性基金</w:t>
      </w:r>
      <w:r>
        <w:rPr>
          <w:rFonts w:hint="eastAsia"/>
          <w:sz w:val="27"/>
          <w:szCs w:val="27"/>
        </w:rPr>
        <w:t>。</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sz w:val="27"/>
          <w:szCs w:val="27"/>
        </w:rPr>
      </w:pPr>
      <w:r>
        <w:rPr>
          <w:rStyle w:val="19"/>
          <w:rFonts w:hint="eastAsia"/>
          <w:sz w:val="27"/>
          <w:szCs w:val="27"/>
        </w:rPr>
        <w:t>3.结转结余情况。</w:t>
      </w:r>
      <w:r>
        <w:rPr>
          <w:rFonts w:hint="eastAsia"/>
          <w:sz w:val="27"/>
          <w:szCs w:val="27"/>
        </w:rPr>
        <w:t>202</w:t>
      </w:r>
      <w:r>
        <w:rPr>
          <w:rFonts w:hint="eastAsia"/>
          <w:sz w:val="27"/>
          <w:szCs w:val="27"/>
          <w:lang w:val="en-US" w:eastAsia="zh-CN"/>
        </w:rPr>
        <w:t>2</w:t>
      </w:r>
      <w:r>
        <w:rPr>
          <w:rFonts w:hint="eastAsia"/>
          <w:sz w:val="27"/>
          <w:szCs w:val="27"/>
        </w:rPr>
        <w:t>年度年末一般公共预算财政拨款结转和结余0万元，较上年决算数减少</w:t>
      </w:r>
      <w:r>
        <w:rPr>
          <w:rFonts w:hint="eastAsia"/>
          <w:sz w:val="27"/>
          <w:szCs w:val="27"/>
          <w:lang w:val="en-US" w:eastAsia="zh-CN"/>
        </w:rPr>
        <w:t>0</w:t>
      </w:r>
      <w:r>
        <w:rPr>
          <w:rFonts w:hint="eastAsia"/>
          <w:sz w:val="27"/>
          <w:szCs w:val="27"/>
        </w:rPr>
        <w:t>万元，主要原因是2021年无财政拨款结转。</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rPr>
      </w:pPr>
      <w:r>
        <w:rPr>
          <w:rStyle w:val="19"/>
          <w:rFonts w:hint="eastAsia"/>
          <w:sz w:val="27"/>
          <w:szCs w:val="27"/>
        </w:rPr>
        <w:t>4.比较情况</w:t>
      </w:r>
      <w:r>
        <w:rPr>
          <w:rFonts w:hint="eastAsia"/>
          <w:sz w:val="27"/>
          <w:szCs w:val="27"/>
        </w:rPr>
        <w:t>。本部门202</w:t>
      </w:r>
      <w:r>
        <w:rPr>
          <w:rFonts w:hint="eastAsia"/>
          <w:sz w:val="27"/>
          <w:szCs w:val="27"/>
          <w:lang w:val="en-US" w:eastAsia="zh-CN"/>
        </w:rPr>
        <w:t>2</w:t>
      </w:r>
      <w:r>
        <w:rPr>
          <w:rFonts w:hint="eastAsia"/>
          <w:sz w:val="27"/>
          <w:szCs w:val="27"/>
        </w:rPr>
        <w:t>年度一般公共预算财政拨款支出主要用于以下几个方面：</w:t>
      </w:r>
      <w:r>
        <w:rPr>
          <w:rFonts w:hint="eastAsia"/>
        </w:rPr>
        <w:t xml:space="preserve"> </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rPr>
      </w:pPr>
      <w:r>
        <w:rPr>
          <w:rFonts w:hint="eastAsia"/>
          <w:sz w:val="27"/>
          <w:szCs w:val="27"/>
        </w:rPr>
        <w:t>（1）教育支出</w:t>
      </w:r>
      <w:r>
        <w:rPr>
          <w:rFonts w:hint="eastAsia"/>
          <w:sz w:val="27"/>
          <w:szCs w:val="27"/>
          <w:lang w:val="en-US" w:eastAsia="zh-CN"/>
        </w:rPr>
        <w:t>11.98</w:t>
      </w:r>
      <w:r>
        <w:rPr>
          <w:rFonts w:hint="eastAsia"/>
          <w:sz w:val="27"/>
          <w:szCs w:val="27"/>
        </w:rPr>
        <w:t>万元，占</w:t>
      </w:r>
      <w:r>
        <w:rPr>
          <w:rFonts w:hint="eastAsia"/>
          <w:sz w:val="27"/>
          <w:szCs w:val="27"/>
          <w:lang w:val="en-US" w:eastAsia="zh-CN"/>
        </w:rPr>
        <w:t>0.96</w:t>
      </w:r>
      <w:r>
        <w:rPr>
          <w:rFonts w:hint="eastAsia"/>
          <w:sz w:val="27"/>
          <w:szCs w:val="27"/>
        </w:rPr>
        <w:t>%，较年初预算数增加</w:t>
      </w:r>
      <w:r>
        <w:rPr>
          <w:rFonts w:hint="eastAsia"/>
          <w:sz w:val="27"/>
          <w:szCs w:val="27"/>
          <w:lang w:val="en-US" w:eastAsia="zh-CN"/>
        </w:rPr>
        <w:t>10</w:t>
      </w:r>
      <w:r>
        <w:rPr>
          <w:rFonts w:hint="eastAsia"/>
          <w:sz w:val="27"/>
          <w:szCs w:val="27"/>
        </w:rPr>
        <w:t>万元，增长</w:t>
      </w:r>
      <w:r>
        <w:rPr>
          <w:rFonts w:hint="eastAsia"/>
          <w:sz w:val="27"/>
          <w:szCs w:val="27"/>
          <w:lang w:val="en-US" w:eastAsia="zh-CN"/>
        </w:rPr>
        <w:t>505.06</w:t>
      </w:r>
      <w:r>
        <w:rPr>
          <w:rFonts w:hint="eastAsia"/>
          <w:sz w:val="27"/>
          <w:szCs w:val="27"/>
        </w:rPr>
        <w:t>%，主要原因是</w:t>
      </w:r>
      <w:r>
        <w:rPr>
          <w:rFonts w:hint="eastAsia"/>
          <w:sz w:val="27"/>
          <w:szCs w:val="27"/>
          <w:lang w:eastAsia="zh-CN"/>
        </w:rPr>
        <w:t>年度执行过程中增加了2022年美育体育发展资金田径锦标赛项目，经费</w:t>
      </w:r>
      <w:r>
        <w:rPr>
          <w:rFonts w:hint="eastAsia"/>
          <w:sz w:val="27"/>
          <w:szCs w:val="27"/>
          <w:lang w:val="en-US" w:eastAsia="zh-CN"/>
        </w:rPr>
        <w:t>10万元</w:t>
      </w:r>
      <w:r>
        <w:rPr>
          <w:rFonts w:hint="eastAsia"/>
          <w:sz w:val="27"/>
          <w:szCs w:val="27"/>
        </w:rPr>
        <w:t>。</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rPr>
      </w:pPr>
      <w:r>
        <w:rPr>
          <w:rFonts w:hint="eastAsia"/>
          <w:sz w:val="27"/>
          <w:szCs w:val="27"/>
        </w:rPr>
        <w:t>（2）文化旅游体育与传媒支出</w:t>
      </w:r>
      <w:r>
        <w:rPr>
          <w:rFonts w:hint="eastAsia"/>
          <w:sz w:val="27"/>
          <w:szCs w:val="27"/>
          <w:lang w:val="en-US" w:eastAsia="zh-CN"/>
        </w:rPr>
        <w:t>1155.66</w:t>
      </w:r>
      <w:r>
        <w:rPr>
          <w:rFonts w:hint="eastAsia"/>
          <w:sz w:val="27"/>
          <w:szCs w:val="27"/>
        </w:rPr>
        <w:t>万元，占</w:t>
      </w:r>
      <w:r>
        <w:rPr>
          <w:rFonts w:hint="eastAsia"/>
          <w:sz w:val="27"/>
          <w:szCs w:val="27"/>
          <w:lang w:val="en-US" w:eastAsia="zh-CN"/>
        </w:rPr>
        <w:t>92.85</w:t>
      </w:r>
      <w:r>
        <w:rPr>
          <w:rFonts w:hint="eastAsia"/>
          <w:sz w:val="27"/>
          <w:szCs w:val="27"/>
        </w:rPr>
        <w:t>%，较年初预算数</w:t>
      </w:r>
      <w:r>
        <w:rPr>
          <w:rFonts w:hint="eastAsia"/>
          <w:sz w:val="27"/>
          <w:szCs w:val="27"/>
          <w:lang w:eastAsia="zh-CN"/>
        </w:rPr>
        <w:t>减少</w:t>
      </w:r>
      <w:r>
        <w:rPr>
          <w:rFonts w:hint="eastAsia"/>
          <w:sz w:val="27"/>
          <w:szCs w:val="27"/>
          <w:lang w:val="en-US" w:eastAsia="zh-CN"/>
        </w:rPr>
        <w:t>280.03</w:t>
      </w:r>
      <w:r>
        <w:rPr>
          <w:rFonts w:hint="eastAsia"/>
          <w:sz w:val="27"/>
          <w:szCs w:val="27"/>
        </w:rPr>
        <w:t>万元，</w:t>
      </w:r>
      <w:r>
        <w:rPr>
          <w:rFonts w:hint="eastAsia"/>
          <w:sz w:val="27"/>
          <w:szCs w:val="27"/>
          <w:lang w:eastAsia="zh-CN"/>
        </w:rPr>
        <w:t>减少</w:t>
      </w:r>
      <w:r>
        <w:rPr>
          <w:rFonts w:hint="eastAsia"/>
          <w:sz w:val="27"/>
          <w:szCs w:val="27"/>
          <w:lang w:val="en-US" w:eastAsia="zh-CN"/>
        </w:rPr>
        <w:t>19.5</w:t>
      </w:r>
      <w:r>
        <w:rPr>
          <w:rFonts w:hint="eastAsia"/>
          <w:sz w:val="27"/>
          <w:szCs w:val="27"/>
        </w:rPr>
        <w:t>%，主要原因是</w:t>
      </w:r>
      <w:r>
        <w:rPr>
          <w:rFonts w:hint="eastAsia"/>
          <w:sz w:val="27"/>
          <w:szCs w:val="27"/>
          <w:lang w:eastAsia="zh-CN"/>
        </w:rPr>
        <w:t>年度执行过程中调减了2022年公共体育场馆向社会免费低收费开放补助资金</w:t>
      </w:r>
      <w:r>
        <w:rPr>
          <w:rFonts w:hint="eastAsia"/>
          <w:sz w:val="27"/>
          <w:szCs w:val="27"/>
        </w:rPr>
        <w:t>等。</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sz w:val="27"/>
          <w:szCs w:val="27"/>
        </w:rPr>
      </w:pPr>
      <w:r>
        <w:rPr>
          <w:rFonts w:hint="eastAsia"/>
          <w:sz w:val="27"/>
          <w:szCs w:val="27"/>
        </w:rPr>
        <w:t>（3）社会保障与就业支出</w:t>
      </w:r>
      <w:r>
        <w:rPr>
          <w:rFonts w:hint="eastAsia"/>
          <w:sz w:val="27"/>
          <w:szCs w:val="27"/>
          <w:lang w:val="en-US" w:eastAsia="zh-CN"/>
        </w:rPr>
        <w:t>42.64</w:t>
      </w:r>
      <w:r>
        <w:rPr>
          <w:rFonts w:hint="eastAsia"/>
          <w:sz w:val="27"/>
          <w:szCs w:val="27"/>
        </w:rPr>
        <w:t>万元，占</w:t>
      </w:r>
      <w:r>
        <w:rPr>
          <w:rFonts w:hint="eastAsia"/>
          <w:sz w:val="27"/>
          <w:szCs w:val="27"/>
          <w:lang w:val="en-US" w:eastAsia="zh-CN"/>
        </w:rPr>
        <w:t>3.43</w:t>
      </w:r>
      <w:r>
        <w:rPr>
          <w:rFonts w:hint="eastAsia"/>
          <w:sz w:val="27"/>
          <w:szCs w:val="27"/>
        </w:rPr>
        <w:t>%，较年初预算数增加</w:t>
      </w:r>
      <w:r>
        <w:rPr>
          <w:rFonts w:hint="eastAsia"/>
          <w:sz w:val="27"/>
          <w:szCs w:val="27"/>
          <w:lang w:val="en-US" w:eastAsia="zh-CN"/>
        </w:rPr>
        <w:t>4.58</w:t>
      </w:r>
      <w:r>
        <w:rPr>
          <w:rFonts w:hint="eastAsia"/>
          <w:sz w:val="27"/>
          <w:szCs w:val="27"/>
        </w:rPr>
        <w:t>万 元，增长</w:t>
      </w:r>
      <w:r>
        <w:rPr>
          <w:rFonts w:hint="eastAsia"/>
          <w:sz w:val="27"/>
          <w:szCs w:val="27"/>
          <w:lang w:val="en-US" w:eastAsia="zh-CN"/>
        </w:rPr>
        <w:t>12.03</w:t>
      </w:r>
      <w:r>
        <w:rPr>
          <w:rFonts w:hint="eastAsia"/>
          <w:sz w:val="27"/>
          <w:szCs w:val="27"/>
        </w:rPr>
        <w:t>%，主要原因是人员经费调标。</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rPr>
      </w:pPr>
      <w:r>
        <w:rPr>
          <w:rFonts w:hint="eastAsia"/>
          <w:sz w:val="27"/>
          <w:szCs w:val="27"/>
        </w:rPr>
        <w:t>（4）卫生健康支出</w:t>
      </w:r>
      <w:r>
        <w:rPr>
          <w:rFonts w:hint="eastAsia"/>
          <w:sz w:val="27"/>
          <w:szCs w:val="27"/>
          <w:lang w:val="en-US" w:eastAsia="zh-CN"/>
        </w:rPr>
        <w:t>18.61</w:t>
      </w:r>
      <w:r>
        <w:rPr>
          <w:rFonts w:hint="eastAsia"/>
          <w:sz w:val="27"/>
          <w:szCs w:val="27"/>
        </w:rPr>
        <w:t>万元，占</w:t>
      </w:r>
      <w:r>
        <w:rPr>
          <w:rFonts w:hint="eastAsia"/>
          <w:sz w:val="27"/>
          <w:szCs w:val="27"/>
          <w:lang w:val="en-US" w:eastAsia="zh-CN"/>
        </w:rPr>
        <w:t>1.49</w:t>
      </w:r>
      <w:r>
        <w:rPr>
          <w:rFonts w:hint="eastAsia"/>
          <w:sz w:val="27"/>
          <w:szCs w:val="27"/>
        </w:rPr>
        <w:t>%，较年初预算数增加0万元，增长0%，主要原因无。</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sz w:val="27"/>
          <w:szCs w:val="27"/>
        </w:rPr>
      </w:pPr>
      <w:r>
        <w:rPr>
          <w:rFonts w:hint="eastAsia"/>
          <w:sz w:val="27"/>
          <w:szCs w:val="27"/>
        </w:rPr>
        <w:t>（5）住房保障支出</w:t>
      </w:r>
      <w:r>
        <w:rPr>
          <w:rFonts w:hint="eastAsia"/>
          <w:sz w:val="27"/>
          <w:szCs w:val="27"/>
          <w:lang w:val="en-US" w:eastAsia="zh-CN"/>
        </w:rPr>
        <w:t>15.82</w:t>
      </w:r>
      <w:r>
        <w:rPr>
          <w:rFonts w:hint="eastAsia"/>
          <w:sz w:val="27"/>
          <w:szCs w:val="27"/>
        </w:rPr>
        <w:t>万元，占</w:t>
      </w:r>
      <w:r>
        <w:rPr>
          <w:rFonts w:hint="eastAsia"/>
          <w:sz w:val="27"/>
          <w:szCs w:val="27"/>
          <w:lang w:val="en-US" w:eastAsia="zh-CN"/>
        </w:rPr>
        <w:t>1.27</w:t>
      </w:r>
      <w:r>
        <w:rPr>
          <w:rFonts w:hint="eastAsia"/>
          <w:sz w:val="27"/>
          <w:szCs w:val="27"/>
        </w:rPr>
        <w:t>%，较年初预算数减少0万元，下降0%，主要原因无。</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（四）一般公共预算财政拨款基本支出决算情况说明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textAlignment w:val="auto"/>
        <w:rPr>
          <w:rFonts w:hint="eastAsia"/>
          <w:sz w:val="27"/>
          <w:szCs w:val="27"/>
        </w:rPr>
      </w:pPr>
      <w:r>
        <w:rPr>
          <w:rFonts w:hint="eastAsia"/>
          <w:sz w:val="27"/>
          <w:szCs w:val="27"/>
        </w:rPr>
        <w:t>     202</w:t>
      </w:r>
      <w:r>
        <w:rPr>
          <w:rFonts w:hint="eastAsia"/>
          <w:sz w:val="27"/>
          <w:szCs w:val="27"/>
          <w:lang w:val="en-US" w:eastAsia="zh-CN"/>
        </w:rPr>
        <w:t>2</w:t>
      </w:r>
      <w:r>
        <w:rPr>
          <w:rFonts w:hint="eastAsia"/>
          <w:sz w:val="27"/>
          <w:szCs w:val="27"/>
        </w:rPr>
        <w:t>年度一般公共财政拨款基本支出</w:t>
      </w:r>
      <w:r>
        <w:rPr>
          <w:rFonts w:hint="eastAsia"/>
          <w:sz w:val="27"/>
          <w:szCs w:val="27"/>
          <w:lang w:val="en-US" w:eastAsia="zh-CN"/>
        </w:rPr>
        <w:t>359.59</w:t>
      </w:r>
      <w:r>
        <w:rPr>
          <w:rFonts w:hint="eastAsia"/>
          <w:sz w:val="27"/>
          <w:szCs w:val="27"/>
        </w:rPr>
        <w:t>万元。其中：人员经费</w:t>
      </w:r>
      <w:r>
        <w:rPr>
          <w:rFonts w:hint="eastAsia"/>
          <w:sz w:val="27"/>
          <w:szCs w:val="27"/>
          <w:lang w:val="en-US" w:eastAsia="zh-CN"/>
        </w:rPr>
        <w:t>295.06</w:t>
      </w:r>
      <w:r>
        <w:rPr>
          <w:rFonts w:hint="eastAsia"/>
          <w:sz w:val="27"/>
          <w:szCs w:val="27"/>
        </w:rPr>
        <w:t>万元，较上年决算数</w:t>
      </w:r>
      <w:r>
        <w:rPr>
          <w:rFonts w:hint="eastAsia"/>
          <w:sz w:val="27"/>
          <w:szCs w:val="27"/>
          <w:lang w:eastAsia="zh-CN"/>
        </w:rPr>
        <w:t>减少</w:t>
      </w:r>
      <w:r>
        <w:rPr>
          <w:rFonts w:hint="eastAsia"/>
          <w:sz w:val="27"/>
          <w:szCs w:val="27"/>
          <w:lang w:val="en-US" w:eastAsia="zh-CN"/>
        </w:rPr>
        <w:t>488</w:t>
      </w:r>
      <w:r>
        <w:rPr>
          <w:rFonts w:hint="eastAsia"/>
          <w:sz w:val="27"/>
          <w:szCs w:val="27"/>
        </w:rPr>
        <w:t>万元，</w:t>
      </w:r>
      <w:r>
        <w:rPr>
          <w:rFonts w:hint="eastAsia"/>
          <w:sz w:val="27"/>
          <w:szCs w:val="27"/>
          <w:lang w:eastAsia="zh-CN"/>
        </w:rPr>
        <w:t>减少</w:t>
      </w:r>
      <w:r>
        <w:rPr>
          <w:rFonts w:hint="eastAsia"/>
          <w:sz w:val="27"/>
          <w:szCs w:val="27"/>
          <w:lang w:val="en-US" w:eastAsia="zh-CN"/>
        </w:rPr>
        <w:t>62.32</w:t>
      </w:r>
      <w:r>
        <w:rPr>
          <w:rFonts w:hint="eastAsia"/>
          <w:sz w:val="27"/>
          <w:szCs w:val="27"/>
        </w:rPr>
        <w:t>%，主要原因是</w:t>
      </w:r>
      <w:r>
        <w:rPr>
          <w:rFonts w:hint="eastAsia"/>
          <w:sz w:val="27"/>
          <w:szCs w:val="27"/>
          <w:lang w:eastAsia="zh-CN"/>
        </w:rPr>
        <w:t>减少</w:t>
      </w:r>
      <w:r>
        <w:rPr>
          <w:rFonts w:hint="eastAsia"/>
          <w:sz w:val="27"/>
          <w:szCs w:val="27"/>
        </w:rPr>
        <w:t>人员。人员经费用途主要包括统发工资、社保费、住房公积金。公用经费</w:t>
      </w:r>
      <w:r>
        <w:rPr>
          <w:rFonts w:hint="eastAsia"/>
          <w:sz w:val="27"/>
          <w:szCs w:val="27"/>
          <w:lang w:val="en-US" w:eastAsia="zh-CN"/>
        </w:rPr>
        <w:t>64.53</w:t>
      </w:r>
      <w:r>
        <w:rPr>
          <w:rFonts w:hint="eastAsia"/>
          <w:sz w:val="27"/>
          <w:szCs w:val="27"/>
        </w:rPr>
        <w:t>万元，较上年决算数</w:t>
      </w:r>
      <w:r>
        <w:rPr>
          <w:rFonts w:hint="eastAsia"/>
          <w:sz w:val="27"/>
          <w:szCs w:val="27"/>
          <w:lang w:eastAsia="zh-CN"/>
        </w:rPr>
        <w:t>减少</w:t>
      </w:r>
      <w:r>
        <w:rPr>
          <w:rFonts w:hint="eastAsia"/>
          <w:sz w:val="27"/>
          <w:szCs w:val="27"/>
          <w:lang w:val="en-US" w:eastAsia="zh-CN"/>
        </w:rPr>
        <w:t>13.1</w:t>
      </w:r>
      <w:r>
        <w:rPr>
          <w:rFonts w:hint="eastAsia"/>
          <w:sz w:val="27"/>
          <w:szCs w:val="27"/>
        </w:rPr>
        <w:t>万元，</w:t>
      </w:r>
      <w:r>
        <w:rPr>
          <w:rFonts w:hint="eastAsia"/>
          <w:sz w:val="27"/>
          <w:szCs w:val="27"/>
          <w:lang w:eastAsia="zh-CN"/>
        </w:rPr>
        <w:t>减少</w:t>
      </w:r>
      <w:r>
        <w:rPr>
          <w:rFonts w:hint="eastAsia"/>
          <w:sz w:val="27"/>
          <w:szCs w:val="27"/>
          <w:lang w:val="en-US" w:eastAsia="zh-CN"/>
        </w:rPr>
        <w:t>7.34</w:t>
      </w:r>
      <w:r>
        <w:rPr>
          <w:rFonts w:hint="eastAsia"/>
          <w:sz w:val="27"/>
          <w:szCs w:val="27"/>
        </w:rPr>
        <w:t>%，主要原因是</w:t>
      </w:r>
      <w:r>
        <w:rPr>
          <w:rFonts w:hint="eastAsia"/>
          <w:sz w:val="27"/>
          <w:szCs w:val="27"/>
          <w:lang w:eastAsia="zh-CN"/>
        </w:rPr>
        <w:t>减少</w:t>
      </w:r>
      <w:r>
        <w:rPr>
          <w:rFonts w:hint="eastAsia"/>
          <w:sz w:val="27"/>
          <w:szCs w:val="27"/>
        </w:rPr>
        <w:t>人员及水电等费用。公用经费用途主要包括办公费、邮电费、差旅费、其他交通费用。</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Style w:val="19"/>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（五）政府性基金预算收支决算情况说明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textAlignment w:val="auto"/>
        <w:rPr>
          <w:rFonts w:hint="eastAsia"/>
          <w:sz w:val="27"/>
          <w:szCs w:val="27"/>
        </w:rPr>
      </w:pPr>
      <w:r>
        <w:rPr>
          <w:rFonts w:hint="eastAsia"/>
          <w:sz w:val="27"/>
          <w:szCs w:val="27"/>
        </w:rPr>
        <w:t>     202</w:t>
      </w:r>
      <w:r>
        <w:rPr>
          <w:rFonts w:hint="eastAsia"/>
          <w:sz w:val="27"/>
          <w:szCs w:val="27"/>
          <w:lang w:val="en-US" w:eastAsia="zh-CN"/>
        </w:rPr>
        <w:t>2</w:t>
      </w:r>
      <w:r>
        <w:rPr>
          <w:rFonts w:hint="eastAsia"/>
          <w:sz w:val="27"/>
          <w:szCs w:val="27"/>
        </w:rPr>
        <w:t>年度政府性基金预算财政拨款年初结转结余</w:t>
      </w:r>
      <w:r>
        <w:rPr>
          <w:rFonts w:hint="eastAsia"/>
          <w:sz w:val="27"/>
          <w:szCs w:val="27"/>
          <w:lang w:val="en-US" w:eastAsia="zh-CN"/>
        </w:rPr>
        <w:t>0</w:t>
      </w:r>
      <w:r>
        <w:rPr>
          <w:rFonts w:hint="eastAsia"/>
          <w:sz w:val="27"/>
          <w:szCs w:val="27"/>
        </w:rPr>
        <w:t>万元，年末结转结余0万元。本年收入</w:t>
      </w:r>
      <w:r>
        <w:rPr>
          <w:rFonts w:hint="eastAsia"/>
          <w:sz w:val="27"/>
          <w:szCs w:val="27"/>
          <w:lang w:val="en-US" w:eastAsia="zh-CN"/>
        </w:rPr>
        <w:t>2745.69</w:t>
      </w:r>
      <w:r>
        <w:rPr>
          <w:rFonts w:hint="eastAsia"/>
          <w:sz w:val="27"/>
          <w:szCs w:val="27"/>
        </w:rPr>
        <w:t>万元，共计</w:t>
      </w:r>
      <w:r>
        <w:rPr>
          <w:rFonts w:hint="eastAsia"/>
          <w:sz w:val="27"/>
          <w:szCs w:val="27"/>
          <w:lang w:val="en-US" w:eastAsia="zh-CN"/>
        </w:rPr>
        <w:t>2745.69</w:t>
      </w:r>
      <w:r>
        <w:rPr>
          <w:rFonts w:hint="eastAsia"/>
          <w:sz w:val="27"/>
          <w:szCs w:val="27"/>
        </w:rPr>
        <w:t>元，较上年决算数</w:t>
      </w:r>
      <w:r>
        <w:rPr>
          <w:rFonts w:hint="eastAsia"/>
          <w:sz w:val="27"/>
          <w:szCs w:val="27"/>
          <w:lang w:eastAsia="zh-CN"/>
        </w:rPr>
        <w:t>增加</w:t>
      </w:r>
      <w:r>
        <w:rPr>
          <w:rFonts w:hint="eastAsia"/>
          <w:sz w:val="27"/>
          <w:szCs w:val="27"/>
          <w:lang w:val="en-US" w:eastAsia="zh-CN"/>
        </w:rPr>
        <w:t>2196.99</w:t>
      </w:r>
      <w:r>
        <w:rPr>
          <w:rFonts w:hint="eastAsia"/>
          <w:sz w:val="27"/>
          <w:szCs w:val="27"/>
        </w:rPr>
        <w:t>万元，</w:t>
      </w:r>
      <w:r>
        <w:rPr>
          <w:rFonts w:hint="eastAsia"/>
          <w:sz w:val="27"/>
          <w:szCs w:val="27"/>
          <w:lang w:eastAsia="zh-CN"/>
        </w:rPr>
        <w:t>增加</w:t>
      </w:r>
      <w:r>
        <w:rPr>
          <w:rFonts w:hint="eastAsia"/>
          <w:sz w:val="27"/>
          <w:szCs w:val="27"/>
          <w:lang w:val="en-US" w:eastAsia="zh-CN"/>
        </w:rPr>
        <w:t>400.4</w:t>
      </w:r>
      <w:r>
        <w:rPr>
          <w:rFonts w:hint="eastAsia"/>
          <w:sz w:val="27"/>
          <w:szCs w:val="27"/>
        </w:rPr>
        <w:t>%，主要原因是202</w:t>
      </w:r>
      <w:r>
        <w:rPr>
          <w:rFonts w:hint="eastAsia"/>
          <w:sz w:val="27"/>
          <w:szCs w:val="27"/>
          <w:lang w:val="en-US" w:eastAsia="zh-CN"/>
        </w:rPr>
        <w:t>2</w:t>
      </w:r>
      <w:r>
        <w:rPr>
          <w:rFonts w:hint="eastAsia"/>
          <w:sz w:val="27"/>
          <w:szCs w:val="27"/>
        </w:rPr>
        <w:t>年</w:t>
      </w:r>
      <w:r>
        <w:rPr>
          <w:rFonts w:hint="eastAsia"/>
          <w:sz w:val="27"/>
          <w:szCs w:val="27"/>
          <w:lang w:eastAsia="zh-CN"/>
        </w:rPr>
        <w:t>滨江体育公园建设项目</w:t>
      </w:r>
      <w:r>
        <w:rPr>
          <w:rFonts w:hint="eastAsia"/>
          <w:sz w:val="27"/>
          <w:szCs w:val="27"/>
          <w:lang w:val="en-US" w:eastAsia="zh-CN"/>
        </w:rPr>
        <w:t>2000万元</w:t>
      </w:r>
      <w:r>
        <w:rPr>
          <w:rFonts w:hint="eastAsia"/>
          <w:sz w:val="27"/>
          <w:szCs w:val="27"/>
          <w:lang w:eastAsia="zh-CN"/>
        </w:rPr>
        <w:t>是</w:t>
      </w:r>
      <w:r>
        <w:rPr>
          <w:rFonts w:hint="eastAsia"/>
          <w:sz w:val="27"/>
          <w:szCs w:val="27"/>
        </w:rPr>
        <w:t>其他地方自行试点项目收益专项债券收入安排</w:t>
      </w:r>
      <w:r>
        <w:rPr>
          <w:rFonts w:hint="eastAsia"/>
          <w:sz w:val="27"/>
          <w:szCs w:val="27"/>
          <w:lang w:eastAsia="zh-CN"/>
        </w:rPr>
        <w:t>，属政府性基金收入。</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leftChars="256" w:left="538" w:firstLine="0"/>
        <w:textAlignment w:val="auto"/>
        <w:rPr>
          <w:rFonts w:hint="eastAsia"/>
          <w:sz w:val="27"/>
          <w:szCs w:val="27"/>
        </w:rPr>
      </w:pPr>
      <w:r>
        <w:rPr>
          <w:rStyle w:val="19"/>
          <w:rFonts w:ascii="方正楷体_GBK" w:eastAsia="方正楷体_GBK" w:cs="方正楷体_GBK" w:hint="eastAsia"/>
          <w:b w:val="0"/>
          <w:bCs w:val="0"/>
          <w:kern w:val="2"/>
          <w:sz w:val="32"/>
          <w:szCs w:val="32"/>
          <w:lang w:val="en-US" w:eastAsia="zh-CN" w:bidi="ar-SA"/>
        </w:rPr>
        <w:t>（六）国有资本经营预算财政拨款支决算情况说明。</w:t>
      </w:r>
      <w:r>
        <w:rPr>
          <w:rFonts w:hint="eastAsia"/>
          <w:sz w:val="27"/>
          <w:szCs w:val="27"/>
        </w:rPr>
        <w:br/>
      </w:r>
      <w:r>
        <w:rPr>
          <w:rFonts w:hint="eastAsia"/>
          <w:bCs/>
        </w:rPr>
        <w:t>本部门202</w:t>
      </w:r>
      <w:r>
        <w:rPr>
          <w:rFonts w:hint="eastAsia"/>
          <w:bCs/>
          <w:lang w:val="en-US" w:eastAsia="zh-CN"/>
        </w:rPr>
        <w:t>2</w:t>
      </w:r>
      <w:r>
        <w:rPr>
          <w:rFonts w:hint="eastAsia"/>
          <w:bCs/>
        </w:rPr>
        <w:t>年度无国有资本经营预算财政拨款支出。</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Chars="200" w:firstLine="640"/>
        <w:textAlignment w:val="auto"/>
        <w:rPr>
          <w:rFonts w:ascii="Times New Roman" w:hAnsi="Times New Roman" w:hint="eastAsia"/>
          <w:sz w:val="30"/>
          <w:szCs w:val="30"/>
        </w:rPr>
      </w:pPr>
      <w:r>
        <w:rPr>
          <w:rFonts w:ascii="方正黑体_GBK" w:eastAsia="方正黑体_GBK" w:cs="方正黑体_GBK" w:hint="eastAsia"/>
          <w:b w:val="0"/>
          <w:bCs/>
          <w:kern w:val="0"/>
          <w:sz w:val="32"/>
          <w:szCs w:val="32"/>
          <w:lang w:val="en-US" w:eastAsia="zh-CN" w:bidi="ar-SA"/>
        </w:rPr>
        <w:t>三、“三公”经费情况说明</w:t>
      </w:r>
      <w:r>
        <w:rPr>
          <w:rFonts w:ascii="Times New Roman" w:eastAsia="方正黑体_GBK" w:hAnsi="Times New Roman" w:hint="eastAsia"/>
          <w:sz w:val="32"/>
          <w:szCs w:val="32"/>
        </w:rPr>
        <w:t xml:space="preserve"> </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Style w:val="19"/>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（一）“三公”经费支出总体情况说明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50" w:firstLine="675"/>
        <w:textAlignment w:val="auto"/>
        <w:rPr>
          <w:rFonts w:hint="eastAsia"/>
        </w:rPr>
      </w:pPr>
      <w:r>
        <w:rPr>
          <w:rFonts w:hint="eastAsia"/>
          <w:sz w:val="27"/>
          <w:szCs w:val="27"/>
        </w:rPr>
        <w:t>202</w:t>
      </w:r>
      <w:r>
        <w:rPr>
          <w:rFonts w:hint="eastAsia"/>
          <w:sz w:val="27"/>
          <w:szCs w:val="27"/>
          <w:lang w:val="en-US" w:eastAsia="zh-CN"/>
        </w:rPr>
        <w:t>2</w:t>
      </w:r>
      <w:r>
        <w:rPr>
          <w:rFonts w:hint="eastAsia"/>
          <w:sz w:val="27"/>
          <w:szCs w:val="27"/>
        </w:rPr>
        <w:t>年度“三公”经费支出共计0.0</w:t>
      </w:r>
      <w:r>
        <w:rPr>
          <w:rFonts w:hint="eastAsia"/>
          <w:sz w:val="27"/>
          <w:szCs w:val="27"/>
          <w:lang w:val="en-US" w:eastAsia="zh-CN"/>
        </w:rPr>
        <w:t>8</w:t>
      </w:r>
      <w:r>
        <w:rPr>
          <w:rFonts w:hint="eastAsia"/>
          <w:sz w:val="27"/>
          <w:szCs w:val="27"/>
        </w:rPr>
        <w:t>万元，较年初预算数</w:t>
      </w:r>
      <w:r>
        <w:rPr>
          <w:rFonts w:hint="eastAsia"/>
          <w:sz w:val="27"/>
          <w:szCs w:val="27"/>
          <w:lang w:eastAsia="zh-CN"/>
        </w:rPr>
        <w:t>减少</w:t>
      </w:r>
      <w:r>
        <w:rPr>
          <w:rFonts w:hint="eastAsia"/>
          <w:sz w:val="27"/>
          <w:szCs w:val="27"/>
        </w:rPr>
        <w:t>0.4</w:t>
      </w:r>
      <w:r>
        <w:rPr>
          <w:rFonts w:hint="eastAsia"/>
          <w:sz w:val="27"/>
          <w:szCs w:val="27"/>
          <w:lang w:val="en-US" w:eastAsia="zh-CN"/>
        </w:rPr>
        <w:t>2</w:t>
      </w:r>
      <w:r>
        <w:rPr>
          <w:rFonts w:hint="eastAsia"/>
          <w:sz w:val="27"/>
          <w:szCs w:val="27"/>
        </w:rPr>
        <w:t>万元，下降8</w:t>
      </w:r>
      <w:r>
        <w:rPr>
          <w:rFonts w:hint="eastAsia"/>
          <w:sz w:val="27"/>
          <w:szCs w:val="27"/>
          <w:lang w:val="en-US" w:eastAsia="zh-CN"/>
        </w:rPr>
        <w:t>4</w:t>
      </w:r>
      <w:r>
        <w:rPr>
          <w:rFonts w:hint="eastAsia"/>
          <w:sz w:val="27"/>
          <w:szCs w:val="27"/>
        </w:rPr>
        <w:t>%，主要原因</w:t>
      </w:r>
      <w:r>
        <w:rPr>
          <w:rFonts w:ascii="仿宋_GB2312" w:eastAsia="仿宋_GB2312" w:cs="仿宋_GB2312" w:hint="eastAsia"/>
          <w:color w:val="000000"/>
          <w:sz w:val="30"/>
          <w:szCs w:val="30"/>
        </w:rPr>
        <w:t>是认真贯彻落实中央八项规定精神和厉行节约要求，按照只减不增的要求从严控制三公经费，全年实际支出较预算有所下降</w:t>
      </w:r>
      <w:r>
        <w:rPr>
          <w:rFonts w:hint="eastAsia"/>
          <w:sz w:val="27"/>
          <w:szCs w:val="27"/>
        </w:rPr>
        <w:t>。 较上年支出</w:t>
      </w:r>
      <w:r>
        <w:rPr>
          <w:rFonts w:hint="eastAsia"/>
          <w:sz w:val="27"/>
          <w:szCs w:val="27"/>
          <w:lang w:eastAsia="zh-CN"/>
        </w:rPr>
        <w:t>增加</w:t>
      </w:r>
      <w:r>
        <w:rPr>
          <w:rFonts w:hint="eastAsia"/>
          <w:sz w:val="27"/>
          <w:szCs w:val="27"/>
          <w:lang w:val="en-US" w:eastAsia="zh-CN"/>
        </w:rPr>
        <w:t>0.01</w:t>
      </w:r>
      <w:r>
        <w:rPr>
          <w:rFonts w:hint="eastAsia"/>
          <w:sz w:val="27"/>
          <w:szCs w:val="27"/>
        </w:rPr>
        <w:t>万元，</w:t>
      </w:r>
      <w:r>
        <w:rPr>
          <w:rFonts w:hint="eastAsia"/>
          <w:sz w:val="27"/>
          <w:szCs w:val="27"/>
          <w:lang w:eastAsia="zh-CN"/>
        </w:rPr>
        <w:t>增加</w:t>
      </w:r>
      <w:r>
        <w:rPr>
          <w:rFonts w:hint="eastAsia"/>
          <w:sz w:val="27"/>
          <w:szCs w:val="27"/>
          <w:lang w:val="en-US" w:eastAsia="zh-CN"/>
        </w:rPr>
        <w:t>14.29</w:t>
      </w:r>
      <w:r>
        <w:rPr>
          <w:rFonts w:hint="eastAsia"/>
          <w:sz w:val="27"/>
          <w:szCs w:val="27"/>
        </w:rPr>
        <w:t>%，主要原因是</w:t>
      </w:r>
      <w:r>
        <w:rPr>
          <w:rFonts w:hint="eastAsia"/>
          <w:sz w:val="27"/>
          <w:szCs w:val="27"/>
          <w:lang w:eastAsia="zh-CN"/>
        </w:rPr>
        <w:t>多</w:t>
      </w:r>
      <w:r>
        <w:rPr>
          <w:rFonts w:hint="eastAsia"/>
          <w:sz w:val="27"/>
          <w:szCs w:val="27"/>
        </w:rPr>
        <w:t>接待一</w:t>
      </w:r>
      <w:r>
        <w:rPr>
          <w:rFonts w:hint="eastAsia"/>
          <w:sz w:val="27"/>
          <w:szCs w:val="27"/>
          <w:lang w:eastAsia="zh-CN"/>
        </w:rPr>
        <w:t>位</w:t>
      </w:r>
      <w:r>
        <w:rPr>
          <w:rFonts w:hint="eastAsia"/>
          <w:sz w:val="27"/>
          <w:szCs w:val="27"/>
        </w:rPr>
        <w:t>人员。</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（二）“三公”经费分项支出情况</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50" w:firstLine="675"/>
        <w:textAlignment w:val="auto"/>
        <w:rPr>
          <w:rFonts w:hint="eastAsia"/>
        </w:rPr>
      </w:pPr>
      <w:r>
        <w:rPr>
          <w:rFonts w:hint="eastAsia"/>
          <w:sz w:val="27"/>
          <w:szCs w:val="27"/>
        </w:rPr>
        <w:t>202</w:t>
      </w:r>
      <w:r>
        <w:rPr>
          <w:rFonts w:hint="eastAsia"/>
          <w:sz w:val="27"/>
          <w:szCs w:val="27"/>
          <w:lang w:val="en-US" w:eastAsia="zh-CN"/>
        </w:rPr>
        <w:t>2</w:t>
      </w:r>
      <w:r>
        <w:rPr>
          <w:rFonts w:hint="eastAsia"/>
          <w:sz w:val="27"/>
          <w:szCs w:val="27"/>
        </w:rPr>
        <w:t>年度本部门因公出国（境）费用0.00万元。费用支出较年初预算数增加0.00万元，增长0%，主要原因是无因公出国（境）费用。较上年支出数增加0.00万元，增长0%，主要原因是无因公出国（境）费用。</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rPr>
      </w:pPr>
      <w:r>
        <w:rPr>
          <w:rFonts w:hint="eastAsia"/>
          <w:sz w:val="27"/>
          <w:szCs w:val="27"/>
        </w:rPr>
        <w:t>公务车购置费0.00万元。费用支出较年初预算数增加0.00万元，增长0%，主要原因是无公务车购置费。较上年支出数增加0.00万元，增长0%，主要原因是无公务车购置费。</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rPr>
      </w:pPr>
      <w:r>
        <w:rPr>
          <w:rFonts w:hint="eastAsia"/>
          <w:sz w:val="27"/>
          <w:szCs w:val="27"/>
        </w:rPr>
        <w:t>公务车运行维护费0.00万元。费用支出较年初预算数增加0.00万元，增长0%，主要原因是无公务车运行维护费。较上年支出数增加0.00万元，增长0%，主要原因是无公务车运行维护费。</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rPr>
      </w:pPr>
      <w:r>
        <w:rPr>
          <w:rFonts w:hint="eastAsia"/>
          <w:sz w:val="27"/>
          <w:szCs w:val="27"/>
        </w:rPr>
        <w:t>公务接待费0.0</w:t>
      </w:r>
      <w:r>
        <w:rPr>
          <w:rFonts w:hint="eastAsia"/>
          <w:sz w:val="27"/>
          <w:szCs w:val="27"/>
          <w:lang w:val="en-US" w:eastAsia="zh-CN"/>
        </w:rPr>
        <w:t>8</w:t>
      </w:r>
      <w:r>
        <w:rPr>
          <w:rFonts w:hint="eastAsia"/>
          <w:sz w:val="27"/>
          <w:szCs w:val="27"/>
        </w:rPr>
        <w:t>万元，主主要用于接待市体育局来津</w:t>
      </w:r>
      <w:r>
        <w:rPr>
          <w:rFonts w:hint="eastAsia"/>
          <w:sz w:val="27"/>
          <w:szCs w:val="27"/>
          <w:lang w:eastAsia="zh-CN"/>
        </w:rPr>
        <w:t>指导篮球超级联赛</w:t>
      </w:r>
      <w:r>
        <w:rPr>
          <w:rFonts w:hint="eastAsia"/>
          <w:sz w:val="27"/>
          <w:szCs w:val="27"/>
        </w:rPr>
        <w:t>工作。费用支出较年初预算数减少0.4</w:t>
      </w:r>
      <w:r>
        <w:rPr>
          <w:rFonts w:hint="eastAsia"/>
          <w:sz w:val="27"/>
          <w:szCs w:val="27"/>
          <w:lang w:val="en-US" w:eastAsia="zh-CN"/>
        </w:rPr>
        <w:t>2</w:t>
      </w:r>
      <w:r>
        <w:rPr>
          <w:rFonts w:hint="eastAsia"/>
          <w:sz w:val="27"/>
          <w:szCs w:val="27"/>
        </w:rPr>
        <w:t>万元，下降8</w:t>
      </w:r>
      <w:r>
        <w:rPr>
          <w:rFonts w:hint="eastAsia"/>
          <w:sz w:val="27"/>
          <w:szCs w:val="27"/>
          <w:lang w:val="en-US" w:eastAsia="zh-CN"/>
        </w:rPr>
        <w:t>4</w:t>
      </w:r>
      <w:r>
        <w:rPr>
          <w:rFonts w:hint="eastAsia"/>
          <w:sz w:val="27"/>
          <w:szCs w:val="27"/>
        </w:rPr>
        <w:t>%，主要原因是</w:t>
      </w:r>
      <w:r>
        <w:rPr>
          <w:rFonts w:ascii="仿宋_GB2312" w:eastAsia="仿宋_GB2312" w:cs="仿宋_GB2312" w:hint="eastAsia"/>
          <w:color w:val="000000"/>
          <w:sz w:val="30"/>
          <w:szCs w:val="30"/>
        </w:rPr>
        <w:t>认真贯彻落实中央八项规定精神和厉行节约要求，按照只减不增的要求从严控制三公经费，全年实际支出较预算有所下降</w:t>
      </w:r>
      <w:r>
        <w:rPr>
          <w:rFonts w:hint="eastAsia"/>
          <w:sz w:val="27"/>
          <w:szCs w:val="27"/>
        </w:rPr>
        <w:t>。较上年支出数</w:t>
      </w:r>
      <w:r>
        <w:rPr>
          <w:rFonts w:hint="eastAsia"/>
          <w:sz w:val="27"/>
          <w:szCs w:val="27"/>
          <w:lang w:eastAsia="zh-CN"/>
        </w:rPr>
        <w:t>增加</w:t>
      </w:r>
      <w:r>
        <w:rPr>
          <w:rFonts w:hint="eastAsia"/>
          <w:sz w:val="27"/>
          <w:szCs w:val="27"/>
          <w:lang w:val="en-US" w:eastAsia="zh-CN"/>
        </w:rPr>
        <w:t>0.01</w:t>
      </w:r>
      <w:r>
        <w:rPr>
          <w:rFonts w:hint="eastAsia"/>
          <w:sz w:val="27"/>
          <w:szCs w:val="27"/>
        </w:rPr>
        <w:t>万元，</w:t>
      </w:r>
      <w:r>
        <w:rPr>
          <w:rFonts w:hint="eastAsia"/>
          <w:sz w:val="27"/>
          <w:szCs w:val="27"/>
          <w:lang w:eastAsia="zh-CN"/>
        </w:rPr>
        <w:t>增加</w:t>
      </w:r>
      <w:r>
        <w:rPr>
          <w:rFonts w:hint="eastAsia"/>
          <w:sz w:val="27"/>
          <w:szCs w:val="27"/>
          <w:lang w:val="en-US" w:eastAsia="zh-CN"/>
        </w:rPr>
        <w:t>14.29</w:t>
      </w:r>
      <w:r>
        <w:rPr>
          <w:rFonts w:hint="eastAsia"/>
          <w:sz w:val="27"/>
          <w:szCs w:val="27"/>
        </w:rPr>
        <w:t>%，主要原因是</w:t>
      </w:r>
      <w:r>
        <w:rPr>
          <w:rFonts w:hint="eastAsia"/>
          <w:sz w:val="27"/>
          <w:szCs w:val="27"/>
          <w:lang w:eastAsia="zh-CN"/>
        </w:rPr>
        <w:t>多</w:t>
      </w:r>
      <w:r>
        <w:rPr>
          <w:rFonts w:hint="eastAsia"/>
          <w:sz w:val="27"/>
          <w:szCs w:val="27"/>
        </w:rPr>
        <w:t>接待一</w:t>
      </w:r>
      <w:r>
        <w:rPr>
          <w:rFonts w:hint="eastAsia"/>
          <w:sz w:val="27"/>
          <w:szCs w:val="27"/>
          <w:lang w:eastAsia="zh-CN"/>
        </w:rPr>
        <w:t>位</w:t>
      </w:r>
      <w:r>
        <w:rPr>
          <w:rFonts w:hint="eastAsia"/>
          <w:sz w:val="27"/>
          <w:szCs w:val="27"/>
        </w:rPr>
        <w:t>人员。</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Style w:val="19"/>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（三）“三公”经费实物量情况</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50" w:firstLine="675"/>
        <w:textAlignment w:val="auto"/>
        <w:rPr>
          <w:rFonts w:hint="eastAsia"/>
        </w:rPr>
      </w:pPr>
      <w:r>
        <w:rPr>
          <w:rFonts w:hint="eastAsia"/>
          <w:sz w:val="27"/>
          <w:szCs w:val="27"/>
        </w:rPr>
        <w:t>202</w:t>
      </w:r>
      <w:r>
        <w:rPr>
          <w:rFonts w:hint="eastAsia"/>
          <w:sz w:val="27"/>
          <w:szCs w:val="27"/>
          <w:lang w:val="en-US" w:eastAsia="zh-CN"/>
        </w:rPr>
        <w:t>2</w:t>
      </w:r>
      <w:r>
        <w:rPr>
          <w:rFonts w:hint="eastAsia"/>
          <w:sz w:val="27"/>
          <w:szCs w:val="27"/>
        </w:rPr>
        <w:t>年度本部门因公出国（境）共计0个团组，0人；公务用车购置0辆，公务车保有量为0辆；国内公务接待1批次</w:t>
      </w:r>
      <w:r>
        <w:rPr>
          <w:rFonts w:hint="eastAsia"/>
          <w:sz w:val="27"/>
          <w:szCs w:val="27"/>
          <w:lang w:val="en-US" w:eastAsia="zh-CN"/>
        </w:rPr>
        <w:t>8</w:t>
      </w:r>
      <w:r>
        <w:rPr>
          <w:rFonts w:hint="eastAsia"/>
          <w:sz w:val="27"/>
          <w:szCs w:val="27"/>
        </w:rPr>
        <w:t>人，其中：国内外 事接待0批次，0人；国（境）外公务接待0批次，0人。202</w:t>
      </w:r>
      <w:r>
        <w:rPr>
          <w:rFonts w:hint="eastAsia"/>
          <w:sz w:val="27"/>
          <w:szCs w:val="27"/>
          <w:lang w:val="en-US" w:eastAsia="zh-CN"/>
        </w:rPr>
        <w:t>2</w:t>
      </w:r>
      <w:r>
        <w:rPr>
          <w:rFonts w:hint="eastAsia"/>
          <w:sz w:val="27"/>
          <w:szCs w:val="27"/>
        </w:rPr>
        <w:t>年本部门人均接待费100元，车均购置费0.00万元，车均维护费0.00万元。</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ascii="方正黑体_GBK" w:eastAsia="方正黑体_GBK" w:cs="方正黑体_GBK" w:hint="eastAsia"/>
          <w:b w:val="0"/>
          <w:bCs/>
          <w:sz w:val="32"/>
          <w:szCs w:val="32"/>
        </w:rPr>
      </w:pPr>
      <w:r>
        <w:rPr>
          <w:rFonts w:ascii="方正黑体_GBK" w:eastAsia="方正黑体_GBK" w:cs="方正黑体_GBK" w:hint="eastAsia"/>
          <w:b w:val="0"/>
          <w:bCs/>
          <w:sz w:val="32"/>
          <w:szCs w:val="32"/>
        </w:rPr>
        <w:t>四、其他需要说明的事项</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Style w:val="19"/>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（一）机关运行经费情况说明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50" w:firstLine="675"/>
        <w:textAlignment w:val="auto"/>
        <w:rPr>
          <w:rFonts w:hint="eastAsia"/>
        </w:rPr>
      </w:pPr>
      <w:r>
        <w:rPr>
          <w:rFonts w:hint="eastAsia"/>
          <w:sz w:val="27"/>
          <w:szCs w:val="27"/>
        </w:rPr>
        <w:t>202</w:t>
      </w:r>
      <w:r>
        <w:rPr>
          <w:rFonts w:hint="eastAsia"/>
          <w:sz w:val="27"/>
          <w:szCs w:val="27"/>
          <w:lang w:val="en-US" w:eastAsia="zh-CN"/>
        </w:rPr>
        <w:t>2</w:t>
      </w:r>
      <w:r>
        <w:rPr>
          <w:rFonts w:hint="eastAsia"/>
          <w:sz w:val="27"/>
          <w:szCs w:val="27"/>
        </w:rPr>
        <w:t>年度本部门机关运行经费支出</w:t>
      </w:r>
      <w:r>
        <w:rPr>
          <w:rFonts w:hint="eastAsia"/>
          <w:sz w:val="27"/>
          <w:szCs w:val="27"/>
          <w:lang w:val="en-US" w:eastAsia="zh-CN"/>
        </w:rPr>
        <w:t>34.68</w:t>
      </w:r>
      <w:r>
        <w:rPr>
          <w:rFonts w:hint="eastAsia"/>
          <w:sz w:val="27"/>
          <w:szCs w:val="27"/>
        </w:rPr>
        <w:t>万元，机关运行经费主要用于开支办公费、邮电费、差旅费、其他交通费用等。 机关运行经费较上年决算数</w:t>
      </w:r>
      <w:r>
        <w:rPr>
          <w:rFonts w:hint="eastAsia"/>
          <w:sz w:val="27"/>
          <w:szCs w:val="27"/>
          <w:lang w:eastAsia="zh-CN"/>
        </w:rPr>
        <w:t>减少</w:t>
      </w:r>
      <w:r>
        <w:rPr>
          <w:rFonts w:hint="eastAsia"/>
          <w:sz w:val="27"/>
          <w:szCs w:val="27"/>
          <w:lang w:val="en-US" w:eastAsia="zh-CN"/>
        </w:rPr>
        <w:t>39.32</w:t>
      </w:r>
      <w:r>
        <w:rPr>
          <w:rFonts w:hint="eastAsia"/>
          <w:sz w:val="27"/>
          <w:szCs w:val="27"/>
        </w:rPr>
        <w:t>万元，</w:t>
      </w:r>
      <w:r>
        <w:rPr>
          <w:rFonts w:hint="eastAsia"/>
          <w:sz w:val="27"/>
          <w:szCs w:val="27"/>
          <w:lang w:eastAsia="zh-CN"/>
        </w:rPr>
        <w:t>减少</w:t>
      </w:r>
      <w:r>
        <w:rPr>
          <w:rFonts w:hint="eastAsia"/>
          <w:sz w:val="27"/>
          <w:szCs w:val="27"/>
          <w:lang w:val="en-US" w:eastAsia="zh-CN"/>
        </w:rPr>
        <w:t>53.14</w:t>
      </w:r>
      <w:r>
        <w:rPr>
          <w:rFonts w:hint="eastAsia"/>
          <w:sz w:val="27"/>
          <w:szCs w:val="27"/>
        </w:rPr>
        <w:t>%，主要原因是</w:t>
      </w:r>
      <w:r>
        <w:rPr>
          <w:rFonts w:hint="eastAsia"/>
          <w:sz w:val="27"/>
          <w:szCs w:val="27"/>
          <w:lang w:eastAsia="zh-CN"/>
        </w:rPr>
        <w:t>所属全民健身指导中心分开决算</w:t>
      </w:r>
      <w:r>
        <w:rPr>
          <w:rFonts w:hint="eastAsia"/>
          <w:sz w:val="27"/>
          <w:szCs w:val="27"/>
        </w:rPr>
        <w:t>。</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50" w:firstLine="675"/>
        <w:textAlignment w:val="auto"/>
        <w:rPr>
          <w:rFonts w:hint="eastAsia"/>
        </w:rPr>
      </w:pPr>
      <w:r>
        <w:rPr>
          <w:rFonts w:hint="eastAsia"/>
          <w:sz w:val="27"/>
          <w:szCs w:val="27"/>
        </w:rPr>
        <w:t>本年度会议费支出</w:t>
      </w:r>
      <w:r>
        <w:rPr>
          <w:rFonts w:hint="eastAsia"/>
          <w:sz w:val="27"/>
          <w:szCs w:val="27"/>
          <w:lang w:val="en-US" w:eastAsia="zh-CN"/>
        </w:rPr>
        <w:t>19.69</w:t>
      </w:r>
      <w:r>
        <w:rPr>
          <w:rFonts w:hint="eastAsia"/>
          <w:sz w:val="27"/>
          <w:szCs w:val="27"/>
        </w:rPr>
        <w:t>万元，较上年决算数增加</w:t>
      </w:r>
      <w:r>
        <w:rPr>
          <w:rFonts w:hint="eastAsia"/>
          <w:sz w:val="27"/>
          <w:szCs w:val="27"/>
          <w:lang w:val="en-US" w:eastAsia="zh-CN"/>
        </w:rPr>
        <w:t>4.64</w:t>
      </w:r>
      <w:r>
        <w:rPr>
          <w:rFonts w:hint="eastAsia"/>
          <w:sz w:val="27"/>
          <w:szCs w:val="27"/>
        </w:rPr>
        <w:t>万元，增加</w:t>
      </w:r>
      <w:r>
        <w:rPr>
          <w:rFonts w:hint="eastAsia"/>
          <w:sz w:val="27"/>
          <w:szCs w:val="27"/>
          <w:lang w:val="en-US" w:eastAsia="zh-CN"/>
        </w:rPr>
        <w:t>30.83</w:t>
      </w:r>
      <w:r>
        <w:rPr>
          <w:rFonts w:hint="eastAsia"/>
          <w:sz w:val="27"/>
          <w:szCs w:val="27"/>
        </w:rPr>
        <w:t>%，主要原因是本年赛事活动多，</w:t>
      </w:r>
      <w:r>
        <w:rPr>
          <w:rFonts w:hint="eastAsia"/>
          <w:color w:val="000000"/>
          <w:sz w:val="27"/>
          <w:szCs w:val="27"/>
        </w:rPr>
        <w:t>会议费相应增加。</w:t>
      </w:r>
      <w:r>
        <w:rPr>
          <w:rFonts w:hint="eastAsia"/>
          <w:sz w:val="27"/>
          <w:szCs w:val="27"/>
        </w:rPr>
        <w:t xml:space="preserve">本年度培训费支出 </w:t>
      </w:r>
      <w:r>
        <w:rPr>
          <w:rFonts w:hint="eastAsia"/>
          <w:sz w:val="27"/>
          <w:szCs w:val="27"/>
          <w:lang w:val="en-US" w:eastAsia="zh-CN"/>
        </w:rPr>
        <w:t>2.29</w:t>
      </w:r>
      <w:r>
        <w:rPr>
          <w:rFonts w:hint="eastAsia"/>
          <w:sz w:val="27"/>
          <w:szCs w:val="27"/>
        </w:rPr>
        <w:t>万元，较上年决算数</w:t>
      </w:r>
      <w:r>
        <w:rPr>
          <w:rFonts w:hint="eastAsia"/>
          <w:sz w:val="27"/>
          <w:szCs w:val="27"/>
          <w:lang w:eastAsia="zh-CN"/>
        </w:rPr>
        <w:t>减少</w:t>
      </w:r>
      <w:r>
        <w:rPr>
          <w:rFonts w:hint="eastAsia"/>
          <w:sz w:val="27"/>
          <w:szCs w:val="27"/>
          <w:lang w:val="en-US" w:eastAsia="zh-CN"/>
        </w:rPr>
        <w:t>4.86</w:t>
      </w:r>
      <w:r>
        <w:rPr>
          <w:rFonts w:hint="eastAsia"/>
          <w:sz w:val="27"/>
          <w:szCs w:val="27"/>
        </w:rPr>
        <w:t>万元，下降</w:t>
      </w:r>
      <w:r>
        <w:rPr>
          <w:rFonts w:hint="eastAsia"/>
          <w:sz w:val="27"/>
          <w:szCs w:val="27"/>
          <w:lang w:val="en-US" w:eastAsia="zh-CN"/>
        </w:rPr>
        <w:t>67.97</w:t>
      </w:r>
      <w:r>
        <w:rPr>
          <w:rFonts w:hint="eastAsia"/>
          <w:sz w:val="27"/>
          <w:szCs w:val="27"/>
        </w:rPr>
        <w:t>%，主要原因是培训活动减少</w:t>
      </w:r>
      <w:r>
        <w:rPr>
          <w:rFonts w:hint="eastAsia"/>
          <w:color w:val="000000"/>
          <w:sz w:val="27"/>
          <w:szCs w:val="27"/>
        </w:rPr>
        <w:t>。</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（二）国有资产占用情况说明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50" w:firstLine="675"/>
        <w:textAlignment w:val="auto"/>
        <w:rPr>
          <w:rFonts w:hint="eastAsia"/>
        </w:rPr>
      </w:pPr>
      <w:r>
        <w:rPr>
          <w:rFonts w:hint="eastAsia"/>
          <w:sz w:val="27"/>
          <w:szCs w:val="27"/>
        </w:rPr>
        <w:t>本单位202</w:t>
      </w:r>
      <w:r>
        <w:rPr>
          <w:rFonts w:hint="eastAsia"/>
          <w:sz w:val="27"/>
          <w:szCs w:val="27"/>
          <w:lang w:val="en-US" w:eastAsia="zh-CN"/>
        </w:rPr>
        <w:t>2</w:t>
      </w:r>
      <w:r>
        <w:rPr>
          <w:rFonts w:hint="eastAsia"/>
          <w:sz w:val="27"/>
          <w:szCs w:val="27"/>
        </w:rPr>
        <w:t>年无公务用车</w:t>
      </w:r>
      <w:r>
        <w:rPr>
          <w:rFonts w:hint="eastAsia"/>
          <w:color w:val="000000"/>
          <w:sz w:val="27"/>
          <w:szCs w:val="27"/>
        </w:rPr>
        <w:t>。</w:t>
      </w:r>
      <w:r>
        <w:rPr>
          <w:rFonts w:hint="eastAsia"/>
          <w:sz w:val="27"/>
          <w:szCs w:val="27"/>
        </w:rPr>
        <w:t>单价50万元（含）以上通用设备5台（套），单价100万元（含）以上专用设备1台（套）。</w:t>
      </w:r>
    </w:p>
    <w:p>
      <w:pPr>
        <w:pStyle w:val="21"/>
        <w:keepNext w:val="0"/>
        <w:keepLines w:val="0"/>
        <w:pageBreakBefore w:val="0"/>
        <w:widowControl w:val="0"/>
        <w:tabs>
          <w:tab w:val="center" w:pos="4153"/>
          <w:tab w:val="left" w:pos="7275"/>
        </w:tabs>
        <w:kinsoku/>
        <w:wordWrap/>
        <w:overflowPunct/>
        <w:topLinePunct w:val="0"/>
        <w:autoSpaceDE/>
        <w:autoSpaceDN/>
        <w:bidi w:val="0"/>
        <w:adjustRightInd/>
        <w:snapToGrid/>
        <w:spacing w:beforeAutospacing="0" w:afterAutospacing="0" w:line="579" w:lineRule="exact"/>
        <w:ind w:firstLineChars="200" w:firstLine="640"/>
        <w:textAlignment w:val="auto"/>
        <w:rPr>
          <w:rStyle w:val="19"/>
          <w:rFonts w:ascii="方正楷体_GBK" w:eastAsia="方正楷体_GBK" w:cs="方正楷体_GBK" w:hint="eastAsia"/>
          <w:b w:val="0"/>
          <w:bCs w:val="0"/>
          <w:sz w:val="32"/>
          <w:szCs w:val="32"/>
        </w:rPr>
      </w:pPr>
      <w:r>
        <w:rPr>
          <w:rStyle w:val="19"/>
          <w:rFonts w:ascii="方正楷体_GBK" w:eastAsia="方正楷体_GBK" w:cs="方正楷体_GBK" w:hint="eastAsia"/>
          <w:b w:val="0"/>
          <w:bCs w:val="0"/>
          <w:sz w:val="32"/>
          <w:szCs w:val="32"/>
        </w:rPr>
        <w:t>（三）政府采购支出情况说明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50" w:firstLine="675"/>
        <w:textAlignment w:val="auto"/>
        <w:rPr>
          <w:rFonts w:hint="eastAsia"/>
        </w:rPr>
      </w:pPr>
      <w:r>
        <w:rPr>
          <w:rFonts w:hint="eastAsia"/>
          <w:sz w:val="27"/>
          <w:szCs w:val="27"/>
        </w:rPr>
        <w:t>202</w:t>
      </w:r>
      <w:r>
        <w:rPr>
          <w:rFonts w:hint="eastAsia"/>
          <w:sz w:val="27"/>
          <w:szCs w:val="27"/>
          <w:lang w:val="en-US" w:eastAsia="zh-CN"/>
        </w:rPr>
        <w:t>2</w:t>
      </w:r>
      <w:r>
        <w:rPr>
          <w:rFonts w:hint="eastAsia"/>
          <w:sz w:val="27"/>
          <w:szCs w:val="27"/>
        </w:rPr>
        <w:t>年度本部门政府采购支出总额</w:t>
      </w:r>
      <w:r>
        <w:rPr>
          <w:rFonts w:hint="eastAsia"/>
          <w:sz w:val="27"/>
          <w:szCs w:val="27"/>
          <w:lang w:val="en-US" w:eastAsia="zh-CN"/>
        </w:rPr>
        <w:t>2780.18</w:t>
      </w:r>
      <w:r>
        <w:rPr>
          <w:rFonts w:hint="eastAsia"/>
          <w:sz w:val="27"/>
          <w:szCs w:val="27"/>
        </w:rPr>
        <w:t>万元，其中：政府采购货物支出123.17万元、政府采购工程支出</w:t>
      </w:r>
      <w:r>
        <w:rPr>
          <w:rFonts w:hint="eastAsia"/>
          <w:sz w:val="27"/>
          <w:szCs w:val="27"/>
          <w:lang w:val="en-US" w:eastAsia="zh-CN"/>
        </w:rPr>
        <w:t>2000</w:t>
      </w:r>
      <w:r>
        <w:rPr>
          <w:rFonts w:hint="eastAsia"/>
          <w:sz w:val="27"/>
          <w:szCs w:val="27"/>
        </w:rPr>
        <w:t>万元、政府采购服务支出</w:t>
      </w:r>
      <w:r>
        <w:rPr>
          <w:rFonts w:hint="eastAsia"/>
          <w:sz w:val="27"/>
          <w:szCs w:val="27"/>
          <w:lang w:val="en-US" w:eastAsia="zh-CN"/>
        </w:rPr>
        <w:t>657.01</w:t>
      </w:r>
      <w:r>
        <w:rPr>
          <w:rFonts w:hint="eastAsia"/>
          <w:sz w:val="27"/>
          <w:szCs w:val="27"/>
        </w:rPr>
        <w:t>万元。授予中小企业合同金额404.89万元，占政府采购支出总额的92.6%，其中：授予小微企业合同金额352.48万元，占政府采购支出总额的80.61%。主要用于采购体育健身器材。</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ascii="方正黑体_GBK" w:eastAsia="方正黑体_GBK" w:cs="方正黑体_GBK" w:hint="eastAsia"/>
          <w:b w:val="0"/>
          <w:bCs/>
          <w:sz w:val="32"/>
          <w:szCs w:val="32"/>
        </w:rPr>
      </w:pPr>
      <w:r>
        <w:rPr>
          <w:rFonts w:ascii="方正黑体_GBK" w:eastAsia="方正黑体_GBK" w:cs="方正黑体_GBK" w:hint="eastAsia"/>
          <w:b w:val="0"/>
          <w:bCs/>
          <w:sz w:val="32"/>
          <w:szCs w:val="32"/>
        </w:rPr>
        <w:t>五、预算绩效管理情况说明</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ascii="方正仿宋_GBK" w:eastAsia="方正仿宋_GBK" w:cs="Times New Roman" w:hint="eastAsia"/>
          <w:b/>
          <w:color w:val="333333"/>
          <w:kern w:val="2"/>
          <w:sz w:val="32"/>
          <w:szCs w:val="32"/>
          <w:lang w:val="en-US" w:eastAsia="zh-CN" w:bidi="ar-SA"/>
        </w:rPr>
      </w:pPr>
      <w:r>
        <w:rPr>
          <w:rStyle w:val="19"/>
          <w:rFonts w:ascii="方正楷体_GBK" w:eastAsia="方正楷体_GBK" w:cs="方正楷体_GBK" w:hint="eastAsia"/>
          <w:b w:val="0"/>
          <w:bCs w:val="0"/>
          <w:kern w:val="2"/>
          <w:sz w:val="32"/>
          <w:szCs w:val="32"/>
          <w:lang w:val="en-US" w:eastAsia="zh-CN" w:bidi="ar-SA"/>
        </w:rPr>
        <w:t>（一）预算绩效管理工作开展情况</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540"/>
        <w:textAlignment w:val="auto"/>
        <w:rPr>
          <w:rFonts w:hint="eastAsia"/>
          <w:sz w:val="27"/>
          <w:szCs w:val="27"/>
          <w:lang w:val="en-US" w:eastAsia="zh-CN"/>
        </w:rPr>
      </w:pPr>
      <w:r>
        <w:rPr>
          <w:rFonts w:hint="eastAsia"/>
          <w:sz w:val="27"/>
          <w:szCs w:val="27"/>
        </w:rPr>
        <w:t>根据预算绩效管理要求，本部门对部门</w:t>
      </w:r>
      <w:r>
        <w:rPr>
          <w:rFonts w:hint="eastAsia"/>
          <w:sz w:val="27"/>
          <w:szCs w:val="27"/>
          <w:lang w:val="en-US" w:eastAsia="zh-CN"/>
        </w:rPr>
        <w:t>26</w:t>
      </w:r>
      <w:r>
        <w:rPr>
          <w:rFonts w:hint="eastAsia"/>
          <w:sz w:val="27"/>
          <w:szCs w:val="27"/>
        </w:rPr>
        <w:t>个项目开展了绩效自评，其中，以填报目标自评表形式开展自</w:t>
      </w:r>
      <w:r>
        <w:rPr>
          <w:rFonts w:hint="eastAsia"/>
          <w:color w:val="000000"/>
          <w:sz w:val="27"/>
          <w:szCs w:val="27"/>
        </w:rPr>
        <w:t>评</w:t>
      </w:r>
      <w:r>
        <w:rPr>
          <w:rFonts w:hint="eastAsia"/>
          <w:color w:val="000000"/>
          <w:sz w:val="27"/>
          <w:szCs w:val="27"/>
          <w:lang w:val="en-US" w:eastAsia="zh-CN"/>
        </w:rPr>
        <w:t>26</w:t>
      </w:r>
      <w:r>
        <w:rPr>
          <w:rFonts w:hint="eastAsia"/>
          <w:color w:val="000000"/>
          <w:sz w:val="27"/>
          <w:szCs w:val="27"/>
        </w:rPr>
        <w:t>项，涉及资金</w:t>
      </w:r>
      <w:r>
        <w:rPr>
          <w:rFonts w:hint="eastAsia"/>
          <w:color w:val="000000"/>
          <w:sz w:val="27"/>
          <w:szCs w:val="27"/>
          <w:lang w:val="en-US" w:eastAsia="zh-CN"/>
        </w:rPr>
        <w:t>3684.69</w:t>
      </w:r>
      <w:r>
        <w:rPr>
          <w:rFonts w:hint="eastAsia"/>
          <w:color w:val="000000"/>
          <w:sz w:val="27"/>
          <w:szCs w:val="27"/>
        </w:rPr>
        <w:t>万</w:t>
      </w:r>
      <w:r>
        <w:rPr>
          <w:rFonts w:hint="eastAsia"/>
          <w:sz w:val="27"/>
          <w:szCs w:val="27"/>
        </w:rPr>
        <w:t xml:space="preserve">元。    </w:t>
      </w:r>
      <w:r>
        <w:rPr>
          <w:rFonts w:hint="eastAsia"/>
          <w:sz w:val="27"/>
          <w:szCs w:val="27"/>
          <w:lang w:val="en-US" w:eastAsia="zh-CN"/>
        </w:rPr>
        <w:t xml:space="preserve">          </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ascii="方正仿宋_GBK" w:eastAsia="方正仿宋_GBK" w:cs="Times New Roman"/>
          <w:b/>
          <w:color w:val="333333"/>
          <w:kern w:val="2"/>
          <w:sz w:val="32"/>
          <w:szCs w:val="32"/>
          <w:lang w:val="en-US" w:eastAsia="zh-CN" w:bidi="ar-SA"/>
        </w:rPr>
      </w:pPr>
      <w:r>
        <w:rPr>
          <w:rStyle w:val="19"/>
          <w:rFonts w:ascii="方正楷体_GBK" w:eastAsia="方正楷体_GBK" w:cs="方正楷体_GBK"/>
          <w:b w:val="0"/>
          <w:bCs w:val="0"/>
          <w:kern w:val="2"/>
          <w:sz w:val="32"/>
          <w:szCs w:val="32"/>
          <w:lang w:val="en-US" w:eastAsia="zh-CN" w:bidi="ar-SA"/>
        </w:rPr>
        <w:t>（二）绩效自评结果</w:t>
      </w:r>
    </w:p>
    <w:p>
      <w:pPr>
        <w:pStyle w:val="23"/>
        <w:tabs>
          <w:tab w:val="center" w:pos="4153"/>
          <w:tab w:val="left" w:pos="7275"/>
        </w:tabs>
        <w:spacing w:line="600" w:lineRule="exact"/>
        <w:ind w:firstLineChars="200" w:firstLine="640"/>
        <w:rPr>
          <w:rFonts w:ascii="方正仿宋_GBK" w:eastAsia="方正仿宋_GBK" w:cs="宋体" w:hint="eastAsia"/>
          <w:bCs/>
          <w:kern w:val="0"/>
          <w:sz w:val="32"/>
          <w:szCs w:val="32"/>
        </w:rPr>
      </w:pPr>
      <w:r>
        <w:rPr>
          <w:rFonts w:ascii="方正仿宋_GBK" w:eastAsia="方正仿宋_GBK" w:cs="宋体" w:hint="eastAsia"/>
          <w:bCs/>
          <w:kern w:val="0"/>
          <w:sz w:val="32"/>
          <w:szCs w:val="32"/>
        </w:rPr>
        <w:t>1.绩效目标自评表</w:t>
      </w:r>
    </w:p>
    <w:tbl>
      <w:tblPr>
        <w:jc w:val="left"/>
        <w:tblInd w:w="-708" w:type="dxa"/>
        <w:tblW w:w="10155"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177"/>
        <w:gridCol w:w="1473"/>
        <w:gridCol w:w="1378"/>
        <w:gridCol w:w="1967"/>
        <w:gridCol w:w="1473"/>
        <w:gridCol w:w="1196"/>
        <w:gridCol w:w="925"/>
        <w:gridCol w:w="566"/>
      </w:tblGrid>
      <w:tr>
        <w:trPr>
          <w:trHeight w:val="315"/>
        </w:trPr>
        <w:tc>
          <w:tcPr>
            <w:tcW w:w="10155" w:type="dxa"/>
            <w:gridSpan w:val="8"/>
            <w:vMerge w:val="restart"/>
            <w:noWrap/>
            <w:vAlign w:val="center"/>
          </w:tcPr>
          <w:p>
            <w:pPr>
              <w:keepNext w:val="0"/>
              <w:keepLines w:val="0"/>
              <w:widowControl/>
              <w:suppressLineNumbers w:val="0"/>
              <w:jc w:val="center"/>
              <w:textAlignment w:val="center"/>
              <w:rPr>
                <w:rFonts w:ascii="华文细黑" w:eastAsia="华文细黑" w:cs="华文细黑"/>
                <w:i w:val="0"/>
                <w:color w:val="000000"/>
                <w:sz w:val="44"/>
                <w:szCs w:val="44"/>
                <w:u w:val="none"/>
              </w:rPr>
            </w:pPr>
            <w:r>
              <w:rPr>
                <w:rFonts w:ascii="华文细黑" w:eastAsia="华文细黑" w:cs="华文细黑" w:hint="eastAsia"/>
                <w:i w:val="0"/>
                <w:color w:val="000000"/>
                <w:kern w:val="0"/>
                <w:sz w:val="44"/>
                <w:szCs w:val="44"/>
                <w:u w:val="none"/>
                <w:lang w:val="en-US" w:eastAsia="zh-CN"/>
              </w:rPr>
              <w:t>2022年部门整体绩效目标表</w:t>
            </w:r>
          </w:p>
        </w:tc>
      </w:tr>
      <w:tr>
        <w:trPr>
          <w:trHeight w:val="315"/>
        </w:trPr>
        <w:tc>
          <w:tcPr>
            <w:tcW w:w="10155" w:type="dxa"/>
            <w:gridSpan w:val="8"/>
            <w:vMerge/>
            <w:noWrap/>
            <w:vAlign w:val="center"/>
          </w:tcPr>
          <w:p/>
        </w:tc>
      </w:tr>
      <w:tr>
        <w:trPr>
          <w:trHeight w:val="315"/>
        </w:trPr>
        <w:tc>
          <w:tcPr>
            <w:tcW w:w="1177" w:type="dxa"/>
            <w:noWrap/>
            <w:vAlign w:val="bottom"/>
          </w:tcPr>
          <w:p>
            <w:pPr>
              <w:rPr>
                <w:rFonts w:ascii="等线" w:eastAsia="等线" w:cs="等线" w:hint="eastAsia"/>
                <w:i w:val="0"/>
                <w:color w:val="000000"/>
                <w:sz w:val="22"/>
                <w:szCs w:val="22"/>
                <w:u w:val="none"/>
              </w:rPr>
            </w:pPr>
          </w:p>
        </w:tc>
        <w:tc>
          <w:tcPr>
            <w:tcW w:w="1473" w:type="dxa"/>
            <w:noWrap/>
            <w:vAlign w:val="center"/>
          </w:tcPr>
          <w:p>
            <w:pPr>
              <w:rPr>
                <w:rFonts w:ascii="宋体" w:eastAsia="宋体" w:cs="宋体" w:hint="eastAsia"/>
                <w:b/>
                <w:i w:val="0"/>
                <w:color w:val="000000"/>
                <w:sz w:val="24"/>
                <w:szCs w:val="24"/>
                <w:u w:val="none"/>
              </w:rPr>
            </w:pPr>
          </w:p>
        </w:tc>
        <w:tc>
          <w:tcPr>
            <w:tcW w:w="1378" w:type="dxa"/>
            <w:noWrap/>
            <w:vAlign w:val="center"/>
          </w:tcPr>
          <w:p>
            <w:pPr>
              <w:rPr>
                <w:rFonts w:ascii="宋体" w:eastAsia="宋体" w:cs="宋体" w:hint="eastAsia"/>
                <w:b/>
                <w:i w:val="0"/>
                <w:color w:val="000000"/>
                <w:sz w:val="24"/>
                <w:szCs w:val="24"/>
                <w:u w:val="none"/>
              </w:rPr>
            </w:pPr>
          </w:p>
        </w:tc>
        <w:tc>
          <w:tcPr>
            <w:tcW w:w="1967" w:type="dxa"/>
            <w:noWrap/>
            <w:vAlign w:val="center"/>
          </w:tcPr>
          <w:p>
            <w:pPr>
              <w:rPr>
                <w:rFonts w:ascii="宋体" w:eastAsia="宋体" w:cs="宋体" w:hint="eastAsia"/>
                <w:b/>
                <w:i w:val="0"/>
                <w:color w:val="000000"/>
                <w:sz w:val="24"/>
                <w:szCs w:val="24"/>
                <w:u w:val="none"/>
              </w:rPr>
            </w:pPr>
          </w:p>
        </w:tc>
        <w:tc>
          <w:tcPr>
            <w:tcW w:w="1473" w:type="dxa"/>
            <w:noWrap/>
            <w:vAlign w:val="center"/>
          </w:tcPr>
          <w:p>
            <w:pPr>
              <w:rPr>
                <w:rFonts w:ascii="宋体" w:eastAsia="宋体" w:cs="宋体" w:hint="eastAsia"/>
                <w:b/>
                <w:i w:val="0"/>
                <w:color w:val="000000"/>
                <w:sz w:val="24"/>
                <w:szCs w:val="24"/>
                <w:u w:val="none"/>
              </w:rPr>
            </w:pPr>
          </w:p>
        </w:tc>
        <w:tc>
          <w:tcPr>
            <w:tcW w:w="1196" w:type="dxa"/>
            <w:noWrap/>
            <w:vAlign w:val="center"/>
          </w:tcPr>
          <w:p>
            <w:pPr>
              <w:rPr>
                <w:rFonts w:ascii="宋体" w:eastAsia="宋体" w:cs="宋体" w:hint="eastAsia"/>
                <w:b/>
                <w:i w:val="0"/>
                <w:color w:val="000000"/>
                <w:sz w:val="24"/>
                <w:szCs w:val="24"/>
                <w:u w:val="none"/>
              </w:rPr>
            </w:pPr>
          </w:p>
        </w:tc>
        <w:tc>
          <w:tcPr>
            <w:tcW w:w="925" w:type="dxa"/>
            <w:noWrap/>
            <w:vAlign w:val="center"/>
          </w:tcPr>
          <w:p>
            <w:pPr>
              <w:rPr>
                <w:rFonts w:ascii="宋体" w:eastAsia="宋体" w:cs="宋体" w:hint="eastAsia"/>
                <w:b/>
                <w:i w:val="0"/>
                <w:color w:val="000000"/>
                <w:sz w:val="24"/>
                <w:szCs w:val="24"/>
                <w:u w:val="none"/>
              </w:rPr>
            </w:pPr>
          </w:p>
        </w:tc>
        <w:tc>
          <w:tcPr>
            <w:tcW w:w="566" w:type="dxa"/>
            <w:noWrap/>
            <w:vAlign w:val="center"/>
          </w:tcPr>
          <w:p>
            <w:pPr>
              <w:rPr>
                <w:rFonts w:ascii="宋体" w:eastAsia="宋体" w:cs="宋体" w:hint="eastAsia"/>
                <w:b/>
                <w:i w:val="0"/>
                <w:color w:val="000000"/>
                <w:sz w:val="24"/>
                <w:szCs w:val="24"/>
                <w:u w:val="none"/>
              </w:rPr>
            </w:pPr>
          </w:p>
        </w:tc>
      </w:tr>
      <w:tr>
        <w:trPr>
          <w:trHeight w:val="780"/>
        </w:trPr>
        <w:tc>
          <w:tcPr>
            <w:tcW w:w="117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left"/>
              <w:textAlignment w:val="center"/>
              <w:rPr>
                <w:rFonts w:ascii="宋体" w:eastAsia="宋体" w:cs="宋体" w:hint="eastAsia"/>
                <w:b/>
                <w:i w:val="0"/>
                <w:color w:val="000000"/>
                <w:sz w:val="24"/>
                <w:szCs w:val="24"/>
                <w:u w:val="none"/>
              </w:rPr>
            </w:pPr>
            <w:r>
              <w:rPr>
                <w:rFonts w:ascii="宋体" w:eastAsia="宋体" w:cs="宋体" w:hint="eastAsia"/>
                <w:b/>
                <w:i w:val="0"/>
                <w:color w:val="000000"/>
                <w:kern w:val="0"/>
                <w:sz w:val="24"/>
                <w:szCs w:val="24"/>
                <w:u w:val="none"/>
                <w:lang w:val="en-US" w:eastAsia="zh-CN"/>
              </w:rPr>
              <w:t>编制部门 （单位）</w:t>
            </w:r>
          </w:p>
        </w:tc>
        <w:tc>
          <w:tcPr>
            <w:tcW w:w="6291" w:type="dxa"/>
            <w:gridSpan w:val="4"/>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int="eastAsia"/>
                <w:b/>
                <w:i w:val="0"/>
                <w:color w:val="000000"/>
                <w:sz w:val="24"/>
                <w:szCs w:val="24"/>
                <w:u w:val="none"/>
              </w:rPr>
            </w:pPr>
            <w:r>
              <w:rPr>
                <w:rFonts w:ascii="宋体" w:eastAsia="宋体" w:cs="宋体" w:hint="eastAsia"/>
                <w:b/>
                <w:i w:val="0"/>
                <w:color w:val="000000"/>
                <w:kern w:val="0"/>
                <w:sz w:val="24"/>
                <w:szCs w:val="24"/>
                <w:u w:val="none"/>
                <w:lang w:val="en-US" w:eastAsia="zh-CN"/>
              </w:rPr>
              <w:t>重庆市江津区体育局</w:t>
            </w:r>
          </w:p>
        </w:tc>
        <w:tc>
          <w:tcPr>
            <w:tcW w:w="119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int="eastAsia"/>
                <w:b/>
                <w:i w:val="0"/>
                <w:color w:val="000000"/>
                <w:sz w:val="24"/>
                <w:szCs w:val="24"/>
                <w:u w:val="none"/>
              </w:rPr>
            </w:pPr>
            <w:r>
              <w:rPr>
                <w:rFonts w:ascii="宋体" w:eastAsia="宋体" w:cs="宋体" w:hint="eastAsia"/>
                <w:b/>
                <w:i w:val="0"/>
                <w:color w:val="000000"/>
                <w:kern w:val="0"/>
                <w:sz w:val="24"/>
                <w:szCs w:val="24"/>
                <w:u w:val="none"/>
                <w:lang w:val="en-US" w:eastAsia="zh-CN"/>
              </w:rPr>
              <w:t>财政归口处室</w:t>
            </w:r>
          </w:p>
        </w:tc>
        <w:tc>
          <w:tcPr>
            <w:tcW w:w="1491"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int="eastAsia"/>
                <w:b/>
                <w:i w:val="0"/>
                <w:color w:val="000000"/>
                <w:sz w:val="24"/>
                <w:szCs w:val="24"/>
                <w:u w:val="none"/>
              </w:rPr>
            </w:pPr>
            <w:r>
              <w:rPr>
                <w:rFonts w:ascii="宋体" w:eastAsia="宋体" w:cs="宋体" w:hint="eastAsia"/>
                <w:b/>
                <w:i w:val="0"/>
                <w:color w:val="000000"/>
                <w:kern w:val="0"/>
                <w:sz w:val="24"/>
                <w:szCs w:val="24"/>
                <w:u w:val="none"/>
                <w:lang w:val="en-US" w:eastAsia="zh-CN"/>
              </w:rPr>
              <w:t>教科文科</w:t>
            </w:r>
          </w:p>
        </w:tc>
      </w:tr>
      <w:tr>
        <w:trPr>
          <w:trHeight w:val="2565"/>
        </w:trPr>
        <w:tc>
          <w:tcPr>
            <w:tcW w:w="117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left"/>
              <w:textAlignment w:val="center"/>
              <w:rPr>
                <w:rFonts w:ascii="宋体" w:eastAsia="宋体" w:cs="宋体" w:hint="eastAsia"/>
                <w:b/>
                <w:i w:val="0"/>
                <w:color w:val="000000"/>
                <w:sz w:val="24"/>
                <w:szCs w:val="24"/>
                <w:u w:val="none"/>
              </w:rPr>
            </w:pPr>
            <w:r>
              <w:rPr>
                <w:rFonts w:ascii="宋体" w:eastAsia="宋体" w:cs="宋体" w:hint="eastAsia"/>
                <w:b/>
                <w:i w:val="0"/>
                <w:color w:val="000000"/>
                <w:kern w:val="0"/>
                <w:sz w:val="24"/>
                <w:szCs w:val="24"/>
                <w:u w:val="none"/>
                <w:lang w:val="en-US" w:eastAsia="zh-CN"/>
              </w:rPr>
              <w:t>当年整体绩效目标</w:t>
            </w:r>
          </w:p>
        </w:tc>
        <w:tc>
          <w:tcPr>
            <w:tcW w:w="8978" w:type="dxa"/>
            <w:gridSpan w:val="7"/>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left"/>
              <w:textAlignment w:val="center"/>
              <w:rPr>
                <w:rFonts w:ascii="宋体" w:eastAsia="宋体" w:cs="宋体" w:hint="eastAsia"/>
                <w:b/>
                <w:i w:val="0"/>
                <w:color w:val="000000"/>
                <w:sz w:val="24"/>
                <w:szCs w:val="24"/>
                <w:u w:val="none"/>
              </w:rPr>
            </w:pPr>
            <w:r>
              <w:rPr>
                <w:rFonts w:ascii="宋体" w:eastAsia="宋体" w:cs="宋体" w:hint="eastAsia"/>
                <w:b/>
                <w:i w:val="0"/>
                <w:color w:val="000000"/>
                <w:kern w:val="0"/>
                <w:sz w:val="24"/>
                <w:szCs w:val="24"/>
                <w:u w:val="none"/>
                <w:lang w:val="en-US" w:eastAsia="zh-CN"/>
              </w:rPr>
              <w:t>深入贯彻落实习近平总书记关于体育工作的一系列重要讲话精神，围绕体育“1+5+1”行动计划，加快建设体育强市，从竞技、群体、青少、产业等多多面推动我区体育事业发展。部门决算按时公开率100%，全区预算支出执行率90%以上，三季度预算执行进度70%以上，参加重要赛事获奖牌数80-100枚，项目平均参加重要赛事次数4-5次，主办、承办高水平赛事次数1-2次，开展全区性健身活动126次以上，场馆免费低收开放收益人次4万次以上，开展青少年体育赛事活动30次以上，创建竞技体育后备人才单项训练基地12个以上，参加十四届全运会预决赛人次5-8人以上，全区人均体育场地面积1.75平方米以上，全区体育产业总规模达到5亿元以 上。</w:t>
            </w:r>
          </w:p>
        </w:tc>
      </w:tr>
      <w:tr>
        <w:trPr>
          <w:trHeight w:val="465"/>
        </w:trPr>
        <w:tc>
          <w:tcPr>
            <w:tcW w:w="1177" w:type="dxa"/>
            <w:vMerge w:val="restart"/>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left"/>
              <w:textAlignment w:val="center"/>
              <w:rPr>
                <w:rFonts w:ascii="宋体" w:eastAsia="宋体" w:cs="宋体" w:hint="eastAsia"/>
                <w:b/>
                <w:i w:val="0"/>
                <w:color w:val="000000"/>
                <w:sz w:val="24"/>
                <w:szCs w:val="24"/>
                <w:u w:val="none"/>
              </w:rPr>
            </w:pPr>
            <w:r>
              <w:rPr>
                <w:rFonts w:ascii="宋体" w:eastAsia="宋体" w:cs="宋体" w:hint="eastAsia"/>
                <w:b/>
                <w:i w:val="0"/>
                <w:color w:val="000000"/>
                <w:kern w:val="0"/>
                <w:sz w:val="24"/>
                <w:szCs w:val="24"/>
                <w:u w:val="none"/>
                <w:lang w:val="en-US" w:eastAsia="zh-CN"/>
              </w:rPr>
              <w:t>绩效指标</w:t>
            </w:r>
          </w:p>
        </w:tc>
        <w:tc>
          <w:tcPr>
            <w:tcW w:w="147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等线" w:eastAsia="等线" w:cs="等线"/>
                <w:i w:val="0"/>
                <w:color w:val="000000"/>
                <w:sz w:val="24"/>
                <w:szCs w:val="24"/>
                <w:u w:val="none"/>
              </w:rPr>
            </w:pPr>
            <w:r>
              <w:rPr>
                <w:rFonts w:ascii="等线" w:eastAsia="等线" w:cs="等线"/>
                <w:i w:val="0"/>
                <w:color w:val="000000"/>
                <w:kern w:val="0"/>
                <w:sz w:val="24"/>
                <w:szCs w:val="24"/>
                <w:u w:val="none"/>
                <w:lang w:val="en-US" w:eastAsia="zh-CN"/>
              </w:rPr>
              <w:t>一级指标</w:t>
            </w:r>
          </w:p>
        </w:tc>
        <w:tc>
          <w:tcPr>
            <w:tcW w:w="137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等线" w:eastAsia="等线" w:cs="等线"/>
                <w:i w:val="0"/>
                <w:color w:val="000000"/>
                <w:sz w:val="24"/>
                <w:szCs w:val="24"/>
                <w:u w:val="none"/>
              </w:rPr>
            </w:pPr>
            <w:r>
              <w:rPr>
                <w:rFonts w:ascii="等线" w:eastAsia="等线" w:cs="等线"/>
                <w:i w:val="0"/>
                <w:color w:val="000000"/>
                <w:kern w:val="0"/>
                <w:sz w:val="24"/>
                <w:szCs w:val="24"/>
                <w:u w:val="none"/>
                <w:lang w:val="en-US" w:eastAsia="zh-CN"/>
              </w:rPr>
              <w:t>二级指标</w:t>
            </w:r>
          </w:p>
        </w:tc>
        <w:tc>
          <w:tcPr>
            <w:tcW w:w="19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int="eastAsia"/>
                <w:i w:val="0"/>
                <w:color w:val="000000"/>
                <w:sz w:val="24"/>
                <w:szCs w:val="24"/>
                <w:u w:val="none"/>
              </w:rPr>
            </w:pPr>
            <w:r>
              <w:rPr>
                <w:rFonts w:ascii="宋体" w:eastAsia="宋体" w:cs="宋体" w:hint="eastAsia"/>
                <w:i w:val="0"/>
                <w:color w:val="000000"/>
                <w:kern w:val="0"/>
                <w:sz w:val="24"/>
                <w:szCs w:val="24"/>
                <w:u w:val="none"/>
                <w:lang w:val="en-US" w:eastAsia="zh-CN"/>
              </w:rPr>
              <w:t>三级指标</w:t>
            </w:r>
          </w:p>
        </w:tc>
        <w:tc>
          <w:tcPr>
            <w:tcW w:w="147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int="eastAsia"/>
                <w:i w:val="0"/>
                <w:color w:val="000000"/>
                <w:sz w:val="24"/>
                <w:szCs w:val="24"/>
                <w:u w:val="none"/>
              </w:rPr>
            </w:pPr>
            <w:r>
              <w:rPr>
                <w:rFonts w:ascii="宋体" w:eastAsia="宋体" w:cs="宋体" w:hint="eastAsia"/>
                <w:i w:val="0"/>
                <w:color w:val="000000"/>
                <w:kern w:val="0"/>
                <w:sz w:val="24"/>
                <w:szCs w:val="24"/>
                <w:u w:val="none"/>
                <w:lang w:val="en-US" w:eastAsia="zh-CN"/>
              </w:rPr>
              <w:t>指标权重</w:t>
            </w:r>
          </w:p>
        </w:tc>
        <w:tc>
          <w:tcPr>
            <w:tcW w:w="119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int="eastAsia"/>
                <w:i w:val="0"/>
                <w:color w:val="000000"/>
                <w:sz w:val="24"/>
                <w:szCs w:val="24"/>
                <w:u w:val="none"/>
              </w:rPr>
            </w:pPr>
            <w:r>
              <w:rPr>
                <w:rFonts w:ascii="宋体" w:eastAsia="宋体" w:cs="宋体" w:hint="eastAsia"/>
                <w:i w:val="0"/>
                <w:color w:val="000000"/>
                <w:kern w:val="0"/>
                <w:sz w:val="24"/>
                <w:szCs w:val="24"/>
                <w:u w:val="none"/>
                <w:lang w:val="en-US" w:eastAsia="zh-CN"/>
              </w:rPr>
              <w:t>计量单位</w:t>
            </w:r>
          </w:p>
        </w:tc>
        <w:tc>
          <w:tcPr>
            <w:tcW w:w="92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int="eastAsia"/>
                <w:i w:val="0"/>
                <w:color w:val="000000"/>
                <w:sz w:val="24"/>
                <w:szCs w:val="24"/>
                <w:u w:val="none"/>
              </w:rPr>
            </w:pPr>
            <w:r>
              <w:rPr>
                <w:rFonts w:ascii="宋体" w:eastAsia="宋体" w:cs="宋体" w:hint="eastAsia"/>
                <w:i w:val="0"/>
                <w:color w:val="000000"/>
                <w:kern w:val="0"/>
                <w:sz w:val="24"/>
                <w:szCs w:val="24"/>
                <w:u w:val="none"/>
                <w:lang w:val="en-US" w:eastAsia="zh-CN"/>
              </w:rPr>
              <w:t>指标性质</w:t>
            </w:r>
          </w:p>
        </w:tc>
        <w:tc>
          <w:tcPr>
            <w:tcW w:w="56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int="eastAsia"/>
                <w:i w:val="0"/>
                <w:color w:val="000000"/>
                <w:sz w:val="24"/>
                <w:szCs w:val="24"/>
                <w:u w:val="none"/>
              </w:rPr>
            </w:pPr>
            <w:r>
              <w:rPr>
                <w:rFonts w:ascii="宋体" w:eastAsia="宋体" w:cs="宋体" w:hint="eastAsia"/>
                <w:i w:val="0"/>
                <w:color w:val="000000"/>
                <w:kern w:val="0"/>
                <w:sz w:val="24"/>
                <w:szCs w:val="24"/>
                <w:u w:val="none"/>
                <w:lang w:val="en-US" w:eastAsia="zh-CN"/>
              </w:rPr>
              <w:t>指标值</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履职效能</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质量指标</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预决算差异率</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100</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万元</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6</w:t>
            </w:r>
          </w:p>
        </w:tc>
      </w:tr>
      <w:tr>
        <w:trPr>
          <w:trHeight w:val="43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履职效能</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时效指标</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项目预算执行序时进度</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1500</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万元</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6</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运行成本</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运行成本</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“三公”经费控制率</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1.5</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万元/年</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6</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运行成本</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运行成本</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一般性支出控制率</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1519</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万元</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6</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社会效应</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经济效益</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全区体育产业总规模</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800</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万元/年</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14</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社会效应</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社会效益</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开展全区性健身活动</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20</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万人次</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14</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可持续发展能力</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可持续发展能力</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全区人均体育场地面积</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17500</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平方米</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14</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可持续发展能力</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部门协调</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主办、承办高水平赛事次数</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5</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次</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14</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服务对象满意度</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服务对象满意度</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场馆免费低收费开放受益人次</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30</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万人次</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14</w:t>
            </w:r>
          </w:p>
        </w:tc>
      </w:tr>
      <w:tr>
        <w:trPr>
          <w:trHeight w:val="375"/>
        </w:trPr>
        <w:tc>
          <w:tcPr>
            <w:tcW w:w="1177" w:type="dxa"/>
            <w:vMerge/>
            <w:tcBorders>
              <w:top w:val="single" w:sz="4" w:space="0" w:color="000000"/>
              <w:left w:val="single" w:sz="4" w:space="0" w:color="000000"/>
              <w:bottom w:val="single" w:sz="4" w:space="0" w:color="000000"/>
              <w:right w:val="single" w:sz="4" w:space="0" w:color="000000"/>
            </w:tcBorders>
            <w:noWrap/>
            <w:vAlign w:val="center"/>
          </w:tcP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管理效率</w:t>
            </w:r>
          </w:p>
        </w:tc>
        <w:tc>
          <w:tcPr>
            <w:tcW w:w="1378"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管理效率</w:t>
            </w:r>
          </w:p>
        </w:tc>
        <w:tc>
          <w:tcPr>
            <w:tcW w:w="1967"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绩效管理制度建设</w:t>
            </w:r>
          </w:p>
        </w:tc>
        <w:tc>
          <w:tcPr>
            <w:tcW w:w="1473"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定性</w:t>
            </w:r>
          </w:p>
        </w:tc>
        <w:tc>
          <w:tcPr>
            <w:tcW w:w="119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良</w:t>
            </w:r>
          </w:p>
        </w:tc>
        <w:tc>
          <w:tcPr>
            <w:tcW w:w="925"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项</w:t>
            </w:r>
          </w:p>
        </w:tc>
        <w:tc>
          <w:tcPr>
            <w:tcW w:w="566" w:type="dxa"/>
            <w:tcBorders>
              <w:top w:val="single" w:sz="4" w:space="0" w:color="000000"/>
              <w:left w:val="single" w:sz="4" w:space="0" w:color="000000"/>
              <w:bottom w:val="single" w:sz="4" w:space="0" w:color="000000"/>
              <w:right w:val="single" w:sz="4" w:space="0" w:color="000000"/>
            </w:tcBorders>
            <w:noWrap/>
            <w:vAlign w:val="bottom"/>
          </w:tcPr>
          <w:p>
            <w:pPr>
              <w:keepNext w:val="0"/>
              <w:keepLines w:val="0"/>
              <w:widowControl/>
              <w:suppressLineNumbers w:val="0"/>
              <w:jc w:val="left"/>
              <w:textAlignment w:val="bottom"/>
              <w:rPr>
                <w:rFonts w:ascii="等线" w:eastAsia="等线" w:cs="等线"/>
                <w:i w:val="0"/>
                <w:color w:val="000000"/>
                <w:sz w:val="22"/>
                <w:szCs w:val="22"/>
                <w:u w:val="none"/>
              </w:rPr>
            </w:pPr>
            <w:r>
              <w:rPr>
                <w:rFonts w:ascii="等线" w:eastAsia="等线" w:cs="等线"/>
                <w:i w:val="0"/>
                <w:color w:val="000000"/>
                <w:kern w:val="0"/>
                <w:sz w:val="22"/>
                <w:szCs w:val="22"/>
                <w:u w:val="none"/>
                <w:lang w:val="en-US" w:eastAsia="zh-CN"/>
              </w:rPr>
              <w:t>6</w:t>
            </w:r>
          </w:p>
        </w:tc>
      </w:tr>
    </w:tbl>
    <w:p>
      <w:pPr>
        <w:pStyle w:val="22"/>
        <w:tabs>
          <w:tab w:val="center" w:pos="4153"/>
          <w:tab w:val="left" w:pos="7275"/>
        </w:tabs>
        <w:spacing w:line="600" w:lineRule="exact"/>
        <w:ind w:firstLineChars="0" w:firstLine="0"/>
        <w:jc w:val="center"/>
        <w:rPr>
          <w:rFonts w:ascii="Times New Roman" w:eastAsia="方正小标宋_GBK" w:cs="宋体" w:hAnsi="Times New Roman" w:hint="eastAsia"/>
          <w:color w:val="000000"/>
          <w:kern w:val="0"/>
          <w:sz w:val="36"/>
          <w:szCs w:val="36"/>
          <w:lang w:val="en-US" w:eastAsia="zh-CN"/>
        </w:rPr>
      </w:pPr>
    </w:p>
    <w:p>
      <w:pPr>
        <w:pStyle w:val="22"/>
        <w:tabs>
          <w:tab w:val="center" w:pos="4153"/>
          <w:tab w:val="left" w:pos="7275"/>
        </w:tabs>
        <w:spacing w:line="600" w:lineRule="exact"/>
        <w:ind w:firstLineChars="0" w:firstLine="0"/>
        <w:jc w:val="both"/>
        <w:rPr>
          <w:rFonts w:ascii="Times New Roman" w:eastAsia="方正小标宋_GBK" w:cs="宋体" w:hAnsi="Times New Roman" w:hint="eastAsia"/>
          <w:color w:val="000000"/>
          <w:kern w:val="0"/>
          <w:sz w:val="36"/>
          <w:szCs w:val="36"/>
          <w:lang w:val="en-US" w:eastAsia="zh-CN"/>
        </w:rPr>
      </w:pPr>
    </w:p>
    <w:p>
      <w:pPr>
        <w:pStyle w:val="22"/>
        <w:tabs>
          <w:tab w:val="center" w:pos="4153"/>
          <w:tab w:val="left" w:pos="7275"/>
        </w:tabs>
        <w:spacing w:line="600" w:lineRule="exact"/>
        <w:ind w:firstLineChars="0" w:firstLine="0"/>
        <w:jc w:val="center"/>
        <w:rPr>
          <w:rFonts w:ascii="Times New Roman" w:eastAsia="方正小标宋_GBK" w:cs="宋体" w:hAnsi="Times New Roman" w:hint="eastAsia"/>
          <w:color w:val="000000"/>
          <w:kern w:val="0"/>
          <w:sz w:val="36"/>
          <w:szCs w:val="36"/>
        </w:rPr>
      </w:pPr>
      <w:r>
        <w:rPr>
          <w:rFonts w:ascii="Times New Roman" w:eastAsia="方正小标宋_GBK" w:cs="宋体" w:hAnsi="Times New Roman" w:hint="eastAsia"/>
          <w:color w:val="000000"/>
          <w:kern w:val="0"/>
          <w:sz w:val="36"/>
          <w:szCs w:val="36"/>
          <w:lang w:val="en-US" w:eastAsia="zh-CN"/>
        </w:rPr>
        <w:t>2022年度项目</w:t>
      </w:r>
      <w:r>
        <w:rPr>
          <w:rFonts w:ascii="Times New Roman" w:eastAsia="方正小标宋_GBK" w:cs="宋体" w:hAnsi="Times New Roman" w:hint="eastAsia"/>
          <w:color w:val="000000"/>
          <w:kern w:val="0"/>
          <w:sz w:val="36"/>
          <w:szCs w:val="36"/>
        </w:rPr>
        <w:t>绩效自评表</w:t>
      </w:r>
    </w:p>
    <w:tbl>
      <w:tblPr>
        <w:jc w:val="cent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7"/>
        <w:gridCol w:w="1224"/>
        <w:gridCol w:w="240"/>
        <w:gridCol w:w="469"/>
        <w:gridCol w:w="606"/>
        <w:gridCol w:w="102"/>
        <w:gridCol w:w="653"/>
        <w:gridCol w:w="291"/>
        <w:gridCol w:w="771"/>
        <w:gridCol w:w="240"/>
        <w:gridCol w:w="678"/>
        <w:gridCol w:w="1110"/>
        <w:gridCol w:w="670"/>
        <w:gridCol w:w="605"/>
        <w:gridCol w:w="388"/>
        <w:gridCol w:w="1350"/>
      </w:tblGrid>
      <w:tr>
        <w:trPr>
          <w:trHeight w:val="469"/>
        </w:trPr>
        <w:tc>
          <w:tcPr>
            <w:tcW w:w="847" w:type="dxa"/>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项目</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名称</w:t>
            </w:r>
          </w:p>
        </w:tc>
        <w:tc>
          <w:tcPr>
            <w:tcW w:w="3585" w:type="dxa"/>
            <w:gridSpan w:val="7"/>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江津区滨江体育公园建设项目</w:t>
            </w:r>
          </w:p>
        </w:tc>
        <w:tc>
          <w:tcPr>
            <w:tcW w:w="1011" w:type="dxa"/>
            <w:gridSpan w:val="2"/>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自评</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总分</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（分）</w:t>
            </w:r>
          </w:p>
        </w:tc>
        <w:tc>
          <w:tcPr>
            <w:tcW w:w="4801" w:type="dxa"/>
            <w:gridSpan w:val="6"/>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98</w:t>
            </w:r>
          </w:p>
        </w:tc>
      </w:tr>
      <w:tr>
        <w:trPr>
          <w:trHeight w:val="469"/>
        </w:trPr>
        <w:tc>
          <w:tcPr>
            <w:tcW w:w="847" w:type="dxa"/>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lang w:val="en-US" w:eastAsia="zh-CN"/>
              </w:rPr>
              <w:t>项目</w:t>
            </w:r>
            <w:r>
              <w:rPr>
                <w:rFonts w:ascii="Times New Roman" w:eastAsia="方正仿宋_GBK" w:cs="宋体" w:hAnsi="Times New Roman" w:hint="eastAsia"/>
                <w:color w:val="000000"/>
                <w:kern w:val="0"/>
                <w:sz w:val="24"/>
                <w:szCs w:val="24"/>
              </w:rPr>
              <w:t>主管</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部门</w:t>
            </w:r>
          </w:p>
        </w:tc>
        <w:tc>
          <w:tcPr>
            <w:tcW w:w="1464"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重庆市江津区体育局</w:t>
            </w:r>
          </w:p>
        </w:tc>
        <w:tc>
          <w:tcPr>
            <w:tcW w:w="1075" w:type="dxa"/>
            <w:gridSpan w:val="2"/>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财政归口科室</w:t>
            </w:r>
          </w:p>
        </w:tc>
        <w:tc>
          <w:tcPr>
            <w:tcW w:w="1046" w:type="dxa"/>
            <w:gridSpan w:val="3"/>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财政教科文科</w:t>
            </w:r>
          </w:p>
        </w:tc>
        <w:tc>
          <w:tcPr>
            <w:tcW w:w="1011"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项目</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联系人</w:t>
            </w:r>
          </w:p>
        </w:tc>
        <w:tc>
          <w:tcPr>
            <w:tcW w:w="1788"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钟全昭</w:t>
            </w:r>
          </w:p>
        </w:tc>
        <w:tc>
          <w:tcPr>
            <w:tcW w:w="670" w:type="dxa"/>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联系电话</w:t>
            </w:r>
          </w:p>
        </w:tc>
        <w:tc>
          <w:tcPr>
            <w:tcW w:w="2343" w:type="dxa"/>
            <w:gridSpan w:val="3"/>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p>
        </w:tc>
      </w:tr>
      <w:tr>
        <w:trPr>
          <w:trHeight w:val="469"/>
        </w:trPr>
        <w:tc>
          <w:tcPr>
            <w:tcW w:w="847" w:type="dxa"/>
            <w:vMerge w:val="restart"/>
            <w:tcBorders>
              <w:tl2br w:val="nil"/>
              <w:tr2bl w:val="nil"/>
            </w:tcBorders>
            <w:noWrap/>
            <w:textDirection w:val="tbRlV"/>
            <w:vAlign w:val="center"/>
          </w:tcPr>
          <w:p>
            <w:pPr>
              <w:widowControl/>
              <w:spacing w:line="300" w:lineRule="exact"/>
              <w:ind w:left="113" w:right="113"/>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项目资金（万元）</w:t>
            </w:r>
          </w:p>
        </w:tc>
        <w:tc>
          <w:tcPr>
            <w:tcW w:w="1464" w:type="dxa"/>
            <w:gridSpan w:val="2"/>
            <w:vMerge w:val="restart"/>
            <w:tcBorders>
              <w:tl2br w:val="nil"/>
              <w:tr2bl w:val="nil"/>
            </w:tcBorders>
            <w:noWrap/>
            <w:vAlign w:val="center"/>
          </w:tcPr>
          <w:p>
            <w:pPr>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年度总金额</w:t>
            </w:r>
          </w:p>
        </w:tc>
        <w:tc>
          <w:tcPr>
            <w:tcW w:w="1075" w:type="dxa"/>
            <w:gridSpan w:val="2"/>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年初</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预算数</w:t>
            </w:r>
          </w:p>
        </w:tc>
        <w:tc>
          <w:tcPr>
            <w:tcW w:w="1046" w:type="dxa"/>
            <w:gridSpan w:val="3"/>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全年（调整）预算数</w:t>
            </w:r>
          </w:p>
        </w:tc>
        <w:tc>
          <w:tcPr>
            <w:tcW w:w="2799" w:type="dxa"/>
            <w:gridSpan w:val="4"/>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全年执行数</w:t>
            </w:r>
          </w:p>
        </w:tc>
        <w:tc>
          <w:tcPr>
            <w:tcW w:w="670" w:type="dxa"/>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执行率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w:t>
            </w:r>
          </w:p>
        </w:tc>
        <w:tc>
          <w:tcPr>
            <w:tcW w:w="993"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执行率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权重</w:t>
            </w:r>
          </w:p>
        </w:tc>
        <w:tc>
          <w:tcPr>
            <w:tcW w:w="1350" w:type="dxa"/>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执行率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得分</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（分）</w:t>
            </w:r>
          </w:p>
        </w:tc>
      </w:tr>
      <w:tr>
        <w:trPr>
          <w:trHeight w:val="469"/>
        </w:trPr>
        <w:tc>
          <w:tcPr>
            <w:tcW w:w="847" w:type="dxa"/>
            <w:vMerge/>
            <w:tcBorders>
              <w:tl2br w:val="nil"/>
              <w:tr2bl w:val="nil"/>
            </w:tcBorders>
            <w:noWrap/>
            <w:vAlign w:val="center"/>
          </w:tcPr>
          <w:p/>
        </w:tc>
        <w:tc>
          <w:tcPr>
            <w:tcW w:w="1464" w:type="dxa"/>
            <w:gridSpan w:val="2"/>
            <w:vMerge/>
            <w:tcBorders>
              <w:tl2br w:val="nil"/>
              <w:tr2bl w:val="nil"/>
            </w:tcBorders>
            <w:noWrap/>
            <w:vAlign w:val="center"/>
          </w:tcPr>
          <w:p/>
        </w:tc>
        <w:tc>
          <w:tcPr>
            <w:tcW w:w="1075"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0</w:t>
            </w:r>
          </w:p>
        </w:tc>
        <w:tc>
          <w:tcPr>
            <w:tcW w:w="1046" w:type="dxa"/>
            <w:gridSpan w:val="3"/>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2000万元</w:t>
            </w:r>
          </w:p>
        </w:tc>
        <w:tc>
          <w:tcPr>
            <w:tcW w:w="2799" w:type="dxa"/>
            <w:gridSpan w:val="4"/>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2000万元</w:t>
            </w:r>
          </w:p>
        </w:tc>
        <w:tc>
          <w:tcPr>
            <w:tcW w:w="670" w:type="dxa"/>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w:t>
            </w:r>
          </w:p>
        </w:tc>
        <w:tc>
          <w:tcPr>
            <w:tcW w:w="993"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kern w:val="0"/>
                <w:sz w:val="24"/>
                <w:szCs w:val="24"/>
                <w:lang w:val="en-US" w:eastAsia="zh-CN"/>
              </w:rPr>
            </w:pPr>
            <w:r>
              <w:rPr>
                <w:rFonts w:ascii="Times New Roman" w:eastAsia="方正仿宋_GBK" w:cs="宋体" w:hAnsi="Times New Roman" w:hint="eastAsia"/>
                <w:kern w:val="0"/>
                <w:sz w:val="24"/>
                <w:szCs w:val="24"/>
                <w:lang w:val="en-US" w:eastAsia="zh-CN"/>
              </w:rPr>
              <w:t>20</w:t>
            </w:r>
          </w:p>
        </w:tc>
        <w:tc>
          <w:tcPr>
            <w:tcW w:w="1350" w:type="dxa"/>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98</w:t>
            </w:r>
          </w:p>
        </w:tc>
      </w:tr>
      <w:tr>
        <w:trPr>
          <w:trHeight w:val="469"/>
        </w:trPr>
        <w:tc>
          <w:tcPr>
            <w:tcW w:w="847" w:type="dxa"/>
            <w:vMerge/>
            <w:tcBorders>
              <w:tl2br w:val="nil"/>
              <w:tr2bl w:val="nil"/>
            </w:tcBorders>
            <w:noWrap/>
            <w:vAlign w:val="center"/>
          </w:tcPr>
          <w:p/>
        </w:tc>
        <w:tc>
          <w:tcPr>
            <w:tcW w:w="1464" w:type="dxa"/>
            <w:gridSpan w:val="2"/>
            <w:tcBorders>
              <w:tl2br w:val="nil"/>
              <w:tr2bl w:val="nil"/>
            </w:tcBorders>
            <w:noWrap/>
            <w:vAlign w:val="center"/>
          </w:tcPr>
          <w:p>
            <w:pPr>
              <w:widowControl/>
              <w:spacing w:line="300" w:lineRule="exact"/>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其中：</w:t>
            </w:r>
          </w:p>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财政拨款</w:t>
            </w:r>
          </w:p>
        </w:tc>
        <w:tc>
          <w:tcPr>
            <w:tcW w:w="1075"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0</w:t>
            </w:r>
          </w:p>
        </w:tc>
        <w:tc>
          <w:tcPr>
            <w:tcW w:w="1046" w:type="dxa"/>
            <w:gridSpan w:val="3"/>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2000万元</w:t>
            </w:r>
          </w:p>
        </w:tc>
        <w:tc>
          <w:tcPr>
            <w:tcW w:w="2799" w:type="dxa"/>
            <w:gridSpan w:val="4"/>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2000万元</w:t>
            </w:r>
          </w:p>
        </w:tc>
        <w:tc>
          <w:tcPr>
            <w:tcW w:w="670" w:type="dxa"/>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c>
          <w:tcPr>
            <w:tcW w:w="993"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c>
          <w:tcPr>
            <w:tcW w:w="1350" w:type="dxa"/>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r>
      <w:tr>
        <w:trPr>
          <w:trHeight w:val="469"/>
        </w:trPr>
        <w:tc>
          <w:tcPr>
            <w:tcW w:w="847" w:type="dxa"/>
            <w:vMerge w:val="restart"/>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当年绩效目标</w:t>
            </w:r>
          </w:p>
        </w:tc>
        <w:tc>
          <w:tcPr>
            <w:tcW w:w="6384" w:type="dxa"/>
            <w:gridSpan w:val="11"/>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年初绩效目标</w:t>
            </w:r>
          </w:p>
        </w:tc>
        <w:tc>
          <w:tcPr>
            <w:tcW w:w="3013" w:type="dxa"/>
            <w:gridSpan w:val="4"/>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全年目标实际完成情况</w:t>
            </w:r>
          </w:p>
        </w:tc>
      </w:tr>
      <w:tr>
        <w:trPr>
          <w:trHeight w:val="1055"/>
        </w:trPr>
        <w:tc>
          <w:tcPr>
            <w:tcW w:w="847" w:type="dxa"/>
            <w:vMerge/>
            <w:tcBorders>
              <w:tl2br w:val="nil"/>
              <w:tr2bl w:val="nil"/>
            </w:tcBorders>
            <w:noWrap/>
            <w:vAlign w:val="center"/>
          </w:tcPr>
          <w:p/>
        </w:tc>
        <w:tc>
          <w:tcPr>
            <w:tcW w:w="6384" w:type="dxa"/>
            <w:gridSpan w:val="11"/>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实施江津区滨江体育公园建设项目，改扩建面积75000平方米，包括：健身步道、五人制（七人制）足球、沙滩排球、攀岩、射箭等体育运动项目的专业标准场地设施，安装老年人和儿童休闲健身设施。项目建设周期300日历天，计划在2023年春节前投入使用。</w:t>
            </w:r>
          </w:p>
        </w:tc>
        <w:tc>
          <w:tcPr>
            <w:tcW w:w="3013" w:type="dxa"/>
            <w:gridSpan w:val="4"/>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lang w:eastAsia="zh-CN"/>
              </w:rPr>
            </w:pPr>
            <w:r>
              <w:rPr>
                <w:rFonts w:ascii="Times New Roman" w:eastAsia="方正仿宋_GBK" w:cs="宋体" w:hAnsi="Times New Roman" w:hint="eastAsia"/>
                <w:color w:val="000000"/>
                <w:kern w:val="0"/>
                <w:sz w:val="24"/>
                <w:szCs w:val="24"/>
                <w:lang w:eastAsia="zh-CN"/>
              </w:rPr>
              <w:t>完成</w:t>
            </w:r>
          </w:p>
        </w:tc>
      </w:tr>
      <w:tr>
        <w:trPr>
          <w:trHeight w:val="469"/>
        </w:trPr>
        <w:tc>
          <w:tcPr>
            <w:tcW w:w="847" w:type="dxa"/>
            <w:vMerge w:val="restart"/>
            <w:tcBorders>
              <w:tl2br w:val="nil"/>
              <w:tr2bl w:val="nil"/>
            </w:tcBorders>
            <w:noWrap/>
            <w:textDirection w:val="tbRlV"/>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绩效指标</w:t>
            </w:r>
          </w:p>
        </w:tc>
        <w:tc>
          <w:tcPr>
            <w:tcW w:w="1224" w:type="dxa"/>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名称</w:t>
            </w:r>
          </w:p>
        </w:tc>
        <w:tc>
          <w:tcPr>
            <w:tcW w:w="709"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计量</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单位</w:t>
            </w:r>
          </w:p>
        </w:tc>
        <w:tc>
          <w:tcPr>
            <w:tcW w:w="708"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性质</w:t>
            </w:r>
          </w:p>
        </w:tc>
        <w:tc>
          <w:tcPr>
            <w:tcW w:w="653" w:type="dxa"/>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值</w:t>
            </w:r>
          </w:p>
        </w:tc>
        <w:tc>
          <w:tcPr>
            <w:tcW w:w="1062"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全年</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完成值</w:t>
            </w:r>
          </w:p>
        </w:tc>
        <w:tc>
          <w:tcPr>
            <w:tcW w:w="918"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偏离度（%）</w:t>
            </w:r>
          </w:p>
        </w:tc>
        <w:tc>
          <w:tcPr>
            <w:tcW w:w="1110" w:type="dxa"/>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得分</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系数</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w:t>
            </w:r>
          </w:p>
        </w:tc>
        <w:tc>
          <w:tcPr>
            <w:tcW w:w="1275" w:type="dxa"/>
            <w:gridSpan w:val="2"/>
            <w:tcBorders>
              <w:tl2br w:val="nil"/>
              <w:tr2bl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权重</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（分）</w:t>
            </w:r>
          </w:p>
        </w:tc>
        <w:tc>
          <w:tcPr>
            <w:tcW w:w="1738" w:type="dxa"/>
            <w:gridSpan w:val="2"/>
            <w:tcBorders>
              <w:tl2br w:val="nil"/>
              <w:tr2bl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指标得分</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（分）</w:t>
            </w:r>
          </w:p>
        </w:tc>
      </w:tr>
      <w:tr>
        <w:trPr>
          <w:trHeight w:val="896"/>
        </w:trPr>
        <w:tc>
          <w:tcPr>
            <w:tcW w:w="847" w:type="dxa"/>
            <w:vMerge/>
            <w:tcBorders>
              <w:tl2br w:val="nil"/>
              <w:tr2bl w:val="nil"/>
            </w:tcBorders>
            <w:noWrap/>
            <w:vAlign w:val="center"/>
          </w:tcPr>
          <w:p/>
        </w:tc>
        <w:tc>
          <w:tcPr>
            <w:tcW w:w="1224" w:type="dxa"/>
            <w:tcBorders>
              <w:tl2br w:val="nil"/>
              <w:tr2bl w:val="nil"/>
            </w:tcBorders>
            <w:noWrap/>
            <w:vAlign w:val="center"/>
          </w:tcPr>
          <w:p>
            <w:pPr>
              <w:keepNext w:val="0"/>
              <w:keepLines w:val="0"/>
              <w:widowControl/>
              <w:suppressLineNumbers w:val="0"/>
              <w:jc w:val="left"/>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产出—数量：改扩建面积</w:t>
            </w:r>
          </w:p>
        </w:tc>
        <w:tc>
          <w:tcPr>
            <w:tcW w:w="709"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平方米</w:t>
            </w:r>
          </w:p>
        </w:tc>
        <w:tc>
          <w:tcPr>
            <w:tcW w:w="708"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lang w:val="en-US" w:eastAsia="zh-CN" w:bidi="ar-SA"/>
              </w:rPr>
            </w:pPr>
            <w:r>
              <w:rPr>
                <w:rFonts w:ascii="Arial" w:eastAsia="等线" w:cs="Arial" w:hAnsi="Arial"/>
                <w:i w:val="0"/>
                <w:color w:val="000000"/>
                <w:kern w:val="0"/>
                <w:sz w:val="20"/>
                <w:szCs w:val="20"/>
                <w:u w:val="none"/>
                <w:lang w:val="en-US" w:eastAsia="zh-CN"/>
              </w:rPr>
              <w:t>=</w:t>
            </w:r>
          </w:p>
        </w:tc>
        <w:tc>
          <w:tcPr>
            <w:tcW w:w="653" w:type="dxa"/>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75000</w:t>
            </w:r>
          </w:p>
        </w:tc>
        <w:tc>
          <w:tcPr>
            <w:tcW w:w="1062"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75000</w:t>
            </w:r>
          </w:p>
        </w:tc>
        <w:tc>
          <w:tcPr>
            <w:tcW w:w="91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p>
        </w:tc>
        <w:tc>
          <w:tcPr>
            <w:tcW w:w="1110" w:type="dxa"/>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20</w:t>
            </w:r>
          </w:p>
        </w:tc>
        <w:tc>
          <w:tcPr>
            <w:tcW w:w="1275"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5</w:t>
            </w:r>
          </w:p>
        </w:tc>
        <w:tc>
          <w:tcPr>
            <w:tcW w:w="173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20</w:t>
            </w:r>
          </w:p>
        </w:tc>
      </w:tr>
      <w:tr>
        <w:trPr>
          <w:trHeight w:val="408"/>
        </w:trPr>
        <w:tc>
          <w:tcPr>
            <w:tcW w:w="847" w:type="dxa"/>
            <w:vMerge/>
            <w:tcBorders>
              <w:tl2br w:val="nil"/>
              <w:tr2bl w:val="nil"/>
            </w:tcBorders>
            <w:noWrap/>
            <w:vAlign w:val="center"/>
          </w:tcPr>
          <w:p/>
        </w:tc>
        <w:tc>
          <w:tcPr>
            <w:tcW w:w="1224" w:type="dxa"/>
            <w:tcBorders>
              <w:tl2br w:val="nil"/>
              <w:tr2bl w:val="nil"/>
            </w:tcBorders>
            <w:noWrap/>
            <w:vAlign w:val="center"/>
          </w:tcPr>
          <w:p>
            <w:pPr>
              <w:keepNext w:val="0"/>
              <w:keepLines w:val="0"/>
              <w:widowControl/>
              <w:suppressLineNumbers w:val="0"/>
              <w:jc w:val="left"/>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产出—质量：工程验收合格率</w:t>
            </w:r>
          </w:p>
        </w:tc>
        <w:tc>
          <w:tcPr>
            <w:tcW w:w="709"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w:t>
            </w:r>
          </w:p>
        </w:tc>
        <w:tc>
          <w:tcPr>
            <w:tcW w:w="708"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w:t>
            </w:r>
          </w:p>
        </w:tc>
        <w:tc>
          <w:tcPr>
            <w:tcW w:w="653" w:type="dxa"/>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100</w:t>
            </w:r>
          </w:p>
        </w:tc>
        <w:tc>
          <w:tcPr>
            <w:tcW w:w="1062"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100</w:t>
            </w:r>
          </w:p>
        </w:tc>
        <w:tc>
          <w:tcPr>
            <w:tcW w:w="91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p>
        </w:tc>
        <w:tc>
          <w:tcPr>
            <w:tcW w:w="1110" w:type="dxa"/>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20</w:t>
            </w:r>
          </w:p>
        </w:tc>
        <w:tc>
          <w:tcPr>
            <w:tcW w:w="1275"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15</w:t>
            </w:r>
          </w:p>
        </w:tc>
        <w:tc>
          <w:tcPr>
            <w:tcW w:w="173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20</w:t>
            </w:r>
          </w:p>
        </w:tc>
      </w:tr>
      <w:tr>
        <w:trPr>
          <w:trHeight w:val="408"/>
        </w:trPr>
        <w:tc>
          <w:tcPr>
            <w:tcW w:w="847" w:type="dxa"/>
            <w:vMerge/>
            <w:tcBorders>
              <w:tl2br w:val="nil"/>
              <w:tr2bl w:val="nil"/>
            </w:tcBorders>
            <w:noWrap/>
            <w:vAlign w:val="center"/>
          </w:tcPr>
          <w:p/>
        </w:tc>
        <w:tc>
          <w:tcPr>
            <w:tcW w:w="1224" w:type="dxa"/>
            <w:tcBorders>
              <w:tl2br w:val="nil"/>
              <w:tr2bl w:val="nil"/>
            </w:tcBorders>
            <w:noWrap/>
            <w:vAlign w:val="center"/>
          </w:tcPr>
          <w:p>
            <w:pPr>
              <w:keepNext w:val="0"/>
              <w:keepLines w:val="0"/>
              <w:widowControl/>
              <w:suppressLineNumbers w:val="0"/>
              <w:jc w:val="left"/>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产出—时效：项目周期</w:t>
            </w:r>
          </w:p>
        </w:tc>
        <w:tc>
          <w:tcPr>
            <w:tcW w:w="709"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天</w:t>
            </w:r>
          </w:p>
        </w:tc>
        <w:tc>
          <w:tcPr>
            <w:tcW w:w="708"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w:t>
            </w:r>
          </w:p>
        </w:tc>
        <w:tc>
          <w:tcPr>
            <w:tcW w:w="653" w:type="dxa"/>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300</w:t>
            </w:r>
          </w:p>
        </w:tc>
        <w:tc>
          <w:tcPr>
            <w:tcW w:w="1062"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300</w:t>
            </w:r>
          </w:p>
        </w:tc>
        <w:tc>
          <w:tcPr>
            <w:tcW w:w="91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p>
        </w:tc>
        <w:tc>
          <w:tcPr>
            <w:tcW w:w="1110" w:type="dxa"/>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18</w:t>
            </w:r>
          </w:p>
        </w:tc>
        <w:tc>
          <w:tcPr>
            <w:tcW w:w="1275"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10</w:t>
            </w:r>
          </w:p>
        </w:tc>
        <w:tc>
          <w:tcPr>
            <w:tcW w:w="173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18</w:t>
            </w:r>
          </w:p>
        </w:tc>
      </w:tr>
      <w:tr>
        <w:trPr>
          <w:trHeight w:val="408"/>
        </w:trPr>
        <w:tc>
          <w:tcPr>
            <w:tcW w:w="847" w:type="dxa"/>
            <w:vMerge/>
            <w:tcBorders>
              <w:tl2br w:val="nil"/>
              <w:tr2bl w:val="nil"/>
            </w:tcBorders>
            <w:noWrap/>
            <w:vAlign w:val="center"/>
          </w:tcPr>
          <w:p/>
        </w:tc>
        <w:tc>
          <w:tcPr>
            <w:tcW w:w="1224" w:type="dxa"/>
            <w:tcBorders>
              <w:tl2br w:val="nil"/>
              <w:tr2bl w:val="nil"/>
            </w:tcBorders>
            <w:noWrap/>
            <w:vAlign w:val="center"/>
          </w:tcPr>
          <w:p>
            <w:pPr>
              <w:keepNext w:val="0"/>
              <w:keepLines w:val="0"/>
              <w:widowControl/>
              <w:suppressLineNumbers w:val="0"/>
              <w:jc w:val="left"/>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效益—经济效益：每年带动经营收入</w:t>
            </w:r>
          </w:p>
        </w:tc>
        <w:tc>
          <w:tcPr>
            <w:tcW w:w="709"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万元</w:t>
            </w:r>
          </w:p>
        </w:tc>
        <w:tc>
          <w:tcPr>
            <w:tcW w:w="708"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w:t>
            </w:r>
          </w:p>
        </w:tc>
        <w:tc>
          <w:tcPr>
            <w:tcW w:w="653" w:type="dxa"/>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572</w:t>
            </w:r>
          </w:p>
        </w:tc>
        <w:tc>
          <w:tcPr>
            <w:tcW w:w="1062"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572</w:t>
            </w:r>
          </w:p>
        </w:tc>
        <w:tc>
          <w:tcPr>
            <w:tcW w:w="91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p>
        </w:tc>
        <w:tc>
          <w:tcPr>
            <w:tcW w:w="1110" w:type="dxa"/>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20</w:t>
            </w:r>
          </w:p>
        </w:tc>
        <w:tc>
          <w:tcPr>
            <w:tcW w:w="1275"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5</w:t>
            </w:r>
          </w:p>
        </w:tc>
        <w:tc>
          <w:tcPr>
            <w:tcW w:w="173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20</w:t>
            </w:r>
          </w:p>
        </w:tc>
      </w:tr>
      <w:tr>
        <w:trPr>
          <w:trHeight w:val="408"/>
        </w:trPr>
        <w:tc>
          <w:tcPr>
            <w:tcW w:w="847" w:type="dxa"/>
            <w:vMerge/>
            <w:tcBorders>
              <w:tl2br w:val="nil"/>
              <w:tr2bl w:val="nil"/>
            </w:tcBorders>
            <w:noWrap/>
            <w:vAlign w:val="center"/>
          </w:tcPr>
          <w:p/>
        </w:tc>
        <w:tc>
          <w:tcPr>
            <w:tcW w:w="1224" w:type="dxa"/>
            <w:tcBorders>
              <w:tl2br w:val="nil"/>
              <w:tr2bl w:val="nil"/>
            </w:tcBorders>
            <w:noWrap/>
            <w:vAlign w:val="center"/>
          </w:tcPr>
          <w:p>
            <w:pPr>
              <w:keepNext w:val="0"/>
              <w:keepLines w:val="0"/>
              <w:widowControl/>
              <w:suppressLineNumbers w:val="0"/>
              <w:jc w:val="left"/>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效益—社会效益：直接受益人数</w:t>
            </w:r>
          </w:p>
        </w:tc>
        <w:tc>
          <w:tcPr>
            <w:tcW w:w="709"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人</w:t>
            </w:r>
          </w:p>
        </w:tc>
        <w:tc>
          <w:tcPr>
            <w:tcW w:w="708"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w:t>
            </w:r>
          </w:p>
        </w:tc>
        <w:tc>
          <w:tcPr>
            <w:tcW w:w="653" w:type="dxa"/>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300000</w:t>
            </w:r>
          </w:p>
        </w:tc>
        <w:tc>
          <w:tcPr>
            <w:tcW w:w="1062"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300000</w:t>
            </w:r>
          </w:p>
        </w:tc>
        <w:tc>
          <w:tcPr>
            <w:tcW w:w="91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p>
        </w:tc>
        <w:tc>
          <w:tcPr>
            <w:tcW w:w="1110" w:type="dxa"/>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w:t>
            </w:r>
          </w:p>
        </w:tc>
        <w:tc>
          <w:tcPr>
            <w:tcW w:w="1275"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10</w:t>
            </w:r>
          </w:p>
        </w:tc>
        <w:tc>
          <w:tcPr>
            <w:tcW w:w="173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10</w:t>
            </w:r>
          </w:p>
        </w:tc>
      </w:tr>
      <w:tr>
        <w:trPr>
          <w:trHeight w:val="408"/>
        </w:trPr>
        <w:tc>
          <w:tcPr>
            <w:tcW w:w="847" w:type="dxa"/>
            <w:vMerge/>
            <w:tcBorders>
              <w:tl2br w:val="nil"/>
              <w:tr2bl w:val="nil"/>
            </w:tcBorders>
            <w:noWrap/>
            <w:vAlign w:val="center"/>
          </w:tcPr>
          <w:p/>
        </w:tc>
        <w:tc>
          <w:tcPr>
            <w:tcW w:w="1224" w:type="dxa"/>
            <w:tcBorders>
              <w:tl2br w:val="nil"/>
              <w:tr2bl w:val="nil"/>
            </w:tcBorders>
            <w:noWrap/>
            <w:vAlign w:val="center"/>
          </w:tcPr>
          <w:p>
            <w:pPr>
              <w:keepNext w:val="0"/>
              <w:keepLines w:val="0"/>
              <w:widowControl/>
              <w:suppressLineNumbers w:val="0"/>
              <w:jc w:val="left"/>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满意度：受益对象满意度</w:t>
            </w:r>
          </w:p>
        </w:tc>
        <w:tc>
          <w:tcPr>
            <w:tcW w:w="709"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w:t>
            </w:r>
          </w:p>
        </w:tc>
        <w:tc>
          <w:tcPr>
            <w:tcW w:w="708"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w:t>
            </w:r>
          </w:p>
        </w:tc>
        <w:tc>
          <w:tcPr>
            <w:tcW w:w="653" w:type="dxa"/>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90</w:t>
            </w:r>
          </w:p>
        </w:tc>
        <w:tc>
          <w:tcPr>
            <w:tcW w:w="1062"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90</w:t>
            </w:r>
          </w:p>
        </w:tc>
        <w:tc>
          <w:tcPr>
            <w:tcW w:w="91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p>
        </w:tc>
        <w:tc>
          <w:tcPr>
            <w:tcW w:w="1110" w:type="dxa"/>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20</w:t>
            </w:r>
          </w:p>
        </w:tc>
        <w:tc>
          <w:tcPr>
            <w:tcW w:w="1275" w:type="dxa"/>
            <w:gridSpan w:val="2"/>
            <w:tcBorders>
              <w:tl2br w:val="nil"/>
              <w:tr2bl w:val="nil"/>
            </w:tcBorders>
            <w:noWrap/>
            <w:vAlign w:val="center"/>
          </w:tcPr>
          <w:p>
            <w:pPr>
              <w:keepNext w:val="0"/>
              <w:keepLines w:val="0"/>
              <w:widowControl/>
              <w:suppressLineNumbers w:val="0"/>
              <w:jc w:val="center"/>
              <w:textAlignment w:val="center"/>
              <w:rPr>
                <w:rFonts w:ascii="Times New Roman" w:eastAsia="方正仿宋_GBK" w:cs="宋体" w:hAnsi="Times New Roman" w:hint="eastAsia"/>
                <w:color w:val="000000"/>
                <w:kern w:val="0"/>
                <w:sz w:val="24"/>
                <w:szCs w:val="24"/>
              </w:rPr>
            </w:pPr>
            <w:r>
              <w:rPr>
                <w:rFonts w:ascii="宋体" w:eastAsia="宋体" w:cs="宋体" w:hint="eastAsia"/>
                <w:i w:val="0"/>
                <w:color w:val="000000"/>
                <w:kern w:val="0"/>
                <w:sz w:val="20"/>
                <w:szCs w:val="20"/>
                <w:u w:val="none"/>
                <w:lang w:val="en-US" w:eastAsia="zh-CN"/>
              </w:rPr>
              <w:t>10</w:t>
            </w:r>
          </w:p>
        </w:tc>
        <w:tc>
          <w:tcPr>
            <w:tcW w:w="1738" w:type="dxa"/>
            <w:gridSpan w:val="2"/>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20</w:t>
            </w:r>
          </w:p>
        </w:tc>
      </w:tr>
      <w:tr>
        <w:trPr>
          <w:trHeight w:val="589"/>
        </w:trPr>
        <w:tc>
          <w:tcPr>
            <w:tcW w:w="847" w:type="dxa"/>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说明</w:t>
            </w:r>
          </w:p>
        </w:tc>
        <w:tc>
          <w:tcPr>
            <w:tcW w:w="9397" w:type="dxa"/>
            <w:gridSpan w:val="15"/>
            <w:tcBorders>
              <w:tl2br w:val="nil"/>
              <w:tr2bl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p>
        </w:tc>
      </w:tr>
    </w:tbl>
    <w:p>
      <w:pPr>
        <w:pStyle w:val="22"/>
        <w:keepNext w:val="0"/>
        <w:keepLines w:val="0"/>
        <w:pageBreakBefore w:val="0"/>
        <w:widowControl w:val="0"/>
        <w:tabs>
          <w:tab w:val="center" w:pos="4153"/>
          <w:tab w:val="left" w:pos="7275"/>
        </w:tabs>
        <w:kinsoku/>
        <w:wordWrap/>
        <w:overflowPunct/>
        <w:topLinePunct w:val="0"/>
        <w:autoSpaceDE/>
        <w:autoSpaceDN/>
        <w:bidi w:val="0"/>
        <w:adjustRightInd/>
        <w:snapToGrid/>
        <w:spacing w:line="579" w:lineRule="exact"/>
        <w:ind w:left="0" w:firstLineChars="200" w:firstLine="640"/>
        <w:textAlignment w:val="auto"/>
        <w:rPr>
          <w:rFonts w:ascii="Times New Roman" w:eastAsia="方正仿宋_GBK" w:cs="宋体" w:hAnsi="Times New Roman" w:hint="eastAsia"/>
          <w:kern w:val="0"/>
          <w:sz w:val="32"/>
          <w:szCs w:val="32"/>
        </w:rPr>
      </w:pPr>
      <w:r>
        <w:rPr>
          <w:rFonts w:ascii="Times New Roman" w:eastAsia="方正仿宋_GBK" w:cs="宋体" w:hAnsi="Times New Roman" w:hint="eastAsia"/>
          <w:b w:val="0"/>
          <w:bCs/>
          <w:kern w:val="0"/>
          <w:sz w:val="32"/>
          <w:szCs w:val="32"/>
        </w:rPr>
        <w:t>2.绩效自评报告</w:t>
      </w:r>
      <w:r>
        <w:rPr>
          <w:rFonts w:ascii="Times New Roman" w:eastAsia="方正仿宋_GBK" w:cs="宋体" w:hAnsi="Times New Roman"/>
          <w:b w:val="0"/>
          <w:bCs/>
          <w:kern w:val="0"/>
          <w:sz w:val="32"/>
          <w:szCs w:val="32"/>
        </w:rPr>
        <w:t>或案例</w:t>
      </w:r>
    </w:p>
    <w:p>
      <w:pPr>
        <w:pStyle w:val="22"/>
        <w:keepNext w:val="0"/>
        <w:keepLines w:val="0"/>
        <w:pageBreakBefore w:val="0"/>
        <w:widowControl w:val="0"/>
        <w:tabs>
          <w:tab w:val="center" w:pos="4153"/>
          <w:tab w:val="left" w:pos="7275"/>
        </w:tabs>
        <w:kinsoku/>
        <w:wordWrap/>
        <w:overflowPunct/>
        <w:topLinePunct w:val="0"/>
        <w:autoSpaceDE/>
        <w:autoSpaceDN/>
        <w:bidi w:val="0"/>
        <w:adjustRightInd/>
        <w:snapToGrid/>
        <w:spacing w:line="579" w:lineRule="exact"/>
        <w:textAlignment w:val="auto"/>
        <w:rPr>
          <w:rFonts w:ascii="Times New Roman" w:eastAsia="方正仿宋_GBK" w:cs="宋体" w:hAnsi="Times New Roman" w:hint="eastAsia"/>
          <w:kern w:val="0"/>
          <w:sz w:val="32"/>
          <w:szCs w:val="32"/>
          <w:lang w:val="en-US" w:eastAsia="zh-CN"/>
        </w:rPr>
      </w:pPr>
      <w:r>
        <w:rPr>
          <w:rFonts w:ascii="Times New Roman" w:eastAsia="方正仿宋_GBK" w:cs="宋体" w:hAnsi="Times New Roman" w:hint="eastAsia"/>
          <w:kern w:val="0"/>
          <w:sz w:val="32"/>
          <w:szCs w:val="32"/>
          <w:lang w:val="en-US" w:eastAsia="zh-CN"/>
        </w:rPr>
        <w:t>本单位无此事项。</w:t>
      </w:r>
    </w:p>
    <w:p>
      <w:pPr>
        <w:pStyle w:val="22"/>
        <w:keepNext w:val="0"/>
        <w:keepLines w:val="0"/>
        <w:pageBreakBefore w:val="0"/>
        <w:widowControl w:val="0"/>
        <w:tabs>
          <w:tab w:val="center" w:pos="4153"/>
          <w:tab w:val="left" w:pos="7275"/>
        </w:tabs>
        <w:kinsoku/>
        <w:wordWrap/>
        <w:overflowPunct/>
        <w:topLinePunct w:val="0"/>
        <w:autoSpaceDE/>
        <w:autoSpaceDN/>
        <w:bidi w:val="0"/>
        <w:adjustRightInd/>
        <w:snapToGrid/>
        <w:spacing w:line="579" w:lineRule="exact"/>
        <w:textAlignment w:val="auto"/>
        <w:rPr>
          <w:rFonts w:ascii="Times New Roman" w:eastAsia="方正仿宋_GBK" w:cs="宋体" w:hAnsi="Times New Roman" w:hint="eastAsia"/>
          <w:color w:val="000000"/>
          <w:kern w:val="0"/>
          <w:sz w:val="32"/>
          <w:szCs w:val="32"/>
        </w:rPr>
      </w:pPr>
      <w:r>
        <w:rPr>
          <w:rFonts w:ascii="Times New Roman" w:eastAsia="方正仿宋_GBK" w:cs="宋体" w:hAnsi="Times New Roman" w:hint="eastAsia"/>
          <w:color w:val="000000"/>
          <w:kern w:val="0"/>
          <w:sz w:val="32"/>
          <w:szCs w:val="32"/>
        </w:rPr>
        <w:t>3.关于绩效自评结果的说明</w:t>
      </w:r>
    </w:p>
    <w:p>
      <w:pPr>
        <w:pStyle w:val="22"/>
        <w:keepNext w:val="0"/>
        <w:keepLines w:val="0"/>
        <w:pageBreakBefore w:val="0"/>
        <w:widowControl w:val="0"/>
        <w:tabs>
          <w:tab w:val="center" w:pos="4153"/>
          <w:tab w:val="left" w:pos="7275"/>
        </w:tabs>
        <w:kinsoku/>
        <w:wordWrap/>
        <w:overflowPunct/>
        <w:topLinePunct w:val="0"/>
        <w:autoSpaceDE/>
        <w:autoSpaceDN/>
        <w:bidi w:val="0"/>
        <w:adjustRightInd/>
        <w:snapToGrid/>
        <w:spacing w:line="579" w:lineRule="exact"/>
        <w:textAlignment w:val="auto"/>
        <w:rPr>
          <w:rFonts w:ascii="Times New Roman" w:eastAsia="方正仿宋_GBK" w:cs="宋体" w:hAnsi="Times New Roman" w:hint="eastAsia"/>
          <w:kern w:val="0"/>
          <w:sz w:val="32"/>
          <w:szCs w:val="32"/>
          <w:lang w:val="en-US" w:eastAsia="zh-CN"/>
        </w:rPr>
      </w:pPr>
      <w:r>
        <w:rPr>
          <w:rFonts w:ascii="Times New Roman" w:eastAsia="方正仿宋_GBK" w:cs="宋体" w:hAnsi="Times New Roman" w:hint="eastAsia"/>
          <w:kern w:val="0"/>
          <w:sz w:val="32"/>
          <w:szCs w:val="32"/>
          <w:lang w:val="en-US" w:eastAsia="zh-CN"/>
        </w:rPr>
        <w:t>本单位无此事项。</w:t>
      </w:r>
    </w:p>
    <w:p>
      <w:pPr>
        <w:pStyle w:val="22"/>
        <w:keepNext w:val="0"/>
        <w:keepLines w:val="0"/>
        <w:pageBreakBefore w:val="0"/>
        <w:widowControl w:val="0"/>
        <w:tabs>
          <w:tab w:val="center" w:pos="4153"/>
          <w:tab w:val="left" w:pos="7275"/>
        </w:tabs>
        <w:kinsoku/>
        <w:wordWrap/>
        <w:overflowPunct/>
        <w:topLinePunct w:val="0"/>
        <w:autoSpaceDE/>
        <w:autoSpaceDN/>
        <w:bidi w:val="0"/>
        <w:adjustRightInd/>
        <w:snapToGrid/>
        <w:spacing w:line="579" w:lineRule="exact"/>
        <w:textAlignment w:val="auto"/>
        <w:rPr>
          <w:rFonts w:ascii="Times New Roman" w:eastAsia="方正楷体_GBK" w:hAnsi="Times New Roman" w:hint="eastAsia"/>
          <w:color w:val="333333"/>
          <w:sz w:val="32"/>
          <w:szCs w:val="32"/>
        </w:rPr>
      </w:pPr>
      <w:r>
        <w:rPr>
          <w:rStyle w:val="19"/>
          <w:rFonts w:ascii="方正楷体_GBK" w:eastAsia="方正楷体_GBK" w:cs="方正楷体_GBK" w:hint="eastAsia"/>
          <w:b w:val="0"/>
          <w:bCs w:val="0"/>
          <w:kern w:val="2"/>
          <w:sz w:val="32"/>
          <w:szCs w:val="32"/>
          <w:lang w:val="en-US" w:eastAsia="zh-CN" w:bidi="ar-SA"/>
        </w:rPr>
        <w:t>（三）重点绩效评价结果</w:t>
      </w:r>
    </w:p>
    <w:p>
      <w:pPr>
        <w:pStyle w:val="22"/>
        <w:keepNext w:val="0"/>
        <w:keepLines w:val="0"/>
        <w:pageBreakBefore w:val="0"/>
        <w:widowControl w:val="0"/>
        <w:tabs>
          <w:tab w:val="center" w:pos="4153"/>
          <w:tab w:val="left" w:pos="7275"/>
        </w:tabs>
        <w:kinsoku/>
        <w:wordWrap/>
        <w:overflowPunct/>
        <w:topLinePunct w:val="0"/>
        <w:autoSpaceDE/>
        <w:autoSpaceDN/>
        <w:bidi w:val="0"/>
        <w:adjustRightInd/>
        <w:snapToGrid/>
        <w:spacing w:line="579" w:lineRule="exact"/>
        <w:textAlignment w:val="auto"/>
        <w:rPr>
          <w:rFonts w:ascii="Times New Roman" w:eastAsia="方正仿宋_GBK" w:cs="宋体" w:hAnsi="Times New Roman" w:hint="eastAsia"/>
          <w:kern w:val="0"/>
          <w:sz w:val="32"/>
          <w:szCs w:val="32"/>
          <w:lang w:val="en-US" w:eastAsia="zh-CN"/>
        </w:rPr>
      </w:pPr>
      <w:r>
        <w:rPr>
          <w:rFonts w:ascii="Times New Roman" w:eastAsia="方正仿宋_GBK" w:cs="宋体" w:hAnsi="Times New Roman" w:hint="eastAsia"/>
          <w:kern w:val="0"/>
          <w:sz w:val="32"/>
          <w:szCs w:val="32"/>
          <w:lang w:val="en-US" w:eastAsia="zh-CN"/>
        </w:rPr>
        <w:t>本单位无此事项。</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ascii="方正黑体_GBK" w:eastAsia="方正黑体_GBK" w:cs="方正黑体_GBK" w:hint="eastAsia"/>
          <w:b w:val="0"/>
          <w:bCs/>
          <w:sz w:val="32"/>
          <w:szCs w:val="32"/>
        </w:rPr>
      </w:pPr>
      <w:r>
        <w:rPr>
          <w:rFonts w:ascii="方正黑体_GBK" w:eastAsia="方正黑体_GBK" w:cs="方正黑体_GBK" w:hint="eastAsia"/>
          <w:b w:val="0"/>
          <w:bCs/>
          <w:sz w:val="32"/>
          <w:szCs w:val="32"/>
        </w:rPr>
        <w:t>六、专业名词解释</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（一）财政拨款收入：</w:t>
      </w:r>
      <w:r>
        <w:rPr>
          <w:rFonts w:hint="eastAsia"/>
          <w:sz w:val="27"/>
          <w:szCs w:val="27"/>
        </w:rPr>
        <w:t>指本年度从本级财政部门取得的财政拨款，包括一般公共预算财政拨款和政府性基金预算财政拨款。</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（二）事业收入：</w:t>
      </w:r>
      <w:r>
        <w:rPr>
          <w:rFonts w:hint="eastAsia"/>
          <w:sz w:val="27"/>
          <w:szCs w:val="27"/>
        </w:rPr>
        <w:t>指事业单位开展专业业务活动及其辅助活动取得的现金流入；事业单位收到的财政专户实际核拨的教育收费等资金在此反映。</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（三）经营收入：</w:t>
      </w:r>
      <w:r>
        <w:rPr>
          <w:rFonts w:hint="eastAsia"/>
          <w:sz w:val="27"/>
          <w:szCs w:val="27"/>
        </w:rPr>
        <w:t>指事业单位在专业业务活动及其辅助活动之外开展非独立核算经营活动取得的现金流入。</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（四）其他收入：</w:t>
      </w:r>
      <w:r>
        <w:rPr>
          <w:rFonts w:hint="eastAsia"/>
          <w:sz w:val="27"/>
          <w:szCs w:val="27"/>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（五）使用非财政拨款结余：</w:t>
      </w:r>
      <w:r>
        <w:rPr>
          <w:rFonts w:hint="eastAsia"/>
          <w:sz w:val="27"/>
          <w:szCs w:val="27"/>
        </w:rPr>
        <w:t>指单位在当年的“财政拨款收入”、“事业收入”、“经营收入”、“其他收入”等不足以安排当年支出的情况下，使用以前年度积累的非财政拨款结余弥补本年度收支缺口的资金。</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（六）年初结转和结余：</w:t>
      </w:r>
      <w:r>
        <w:rPr>
          <w:rFonts w:hint="eastAsia"/>
          <w:sz w:val="27"/>
          <w:szCs w:val="27"/>
        </w:rPr>
        <w:t>指单位上年结转本年使用的基本支出结转、项目支出结转和结余、经营结余。</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（七）结余分配：</w:t>
      </w:r>
      <w:r>
        <w:rPr>
          <w:rFonts w:hint="eastAsia"/>
          <w:sz w:val="27"/>
          <w:szCs w:val="27"/>
        </w:rPr>
        <w:t>指单位按照国家有关规定，缴纳所得税、提取专用基金、转入非财政拨款结余等当年结余的分配情况。</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（八）年末结转和结余：</w:t>
      </w:r>
      <w:r>
        <w:rPr>
          <w:rFonts w:hint="eastAsia"/>
          <w:sz w:val="27"/>
          <w:szCs w:val="27"/>
        </w:rPr>
        <w:t>指单位结转下年的基本支出结转、项目支出结转和结余、经营结余。</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（九）基本支出：</w:t>
      </w:r>
      <w:r>
        <w:rPr>
          <w:rFonts w:hint="eastAsia"/>
          <w:sz w:val="27"/>
          <w:szCs w:val="27"/>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（十）项目支出：</w:t>
      </w:r>
      <w:r>
        <w:rPr>
          <w:rFonts w:hint="eastAsia"/>
          <w:sz w:val="27"/>
          <w:szCs w:val="27"/>
        </w:rPr>
        <w:t>指在基本支出之外为完成特定行政任务和事业发展目标所发生的支出。</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（十一）经营支出：</w:t>
      </w:r>
      <w:r>
        <w:rPr>
          <w:rFonts w:hint="eastAsia"/>
          <w:sz w:val="27"/>
          <w:szCs w:val="27"/>
        </w:rPr>
        <w:t>指事业单位在专业业务活动及其辅助活动之外开展非独立核算经营活动发生的支出。</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（十二）“三公”经费：</w:t>
      </w:r>
      <w:r>
        <w:rPr>
          <w:rFonts w:hint="eastAsia"/>
          <w:sz w:val="27"/>
          <w:szCs w:val="27"/>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（十三）机关运行经费：</w:t>
      </w:r>
      <w:r>
        <w:rPr>
          <w:rFonts w:hint="eastAsia"/>
          <w:sz w:val="27"/>
          <w:szCs w:val="27"/>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（十四）工资福利支出（支出经济分类科目类级）：</w:t>
      </w:r>
      <w:r>
        <w:rPr>
          <w:rFonts w:hint="eastAsia"/>
          <w:sz w:val="27"/>
          <w:szCs w:val="27"/>
        </w:rPr>
        <w:t>反映单位开支的在职职工和编制外长期聘用人员的各类劳动报酬，以及为上述人员缴纳的各项社会保险费等。</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（十五）商品和服务支出（支出经济分类科目类级）：</w:t>
      </w:r>
      <w:r>
        <w:rPr>
          <w:rFonts w:hint="eastAsia"/>
          <w:sz w:val="27"/>
          <w:szCs w:val="27"/>
        </w:rPr>
        <w:t>反映单位购买商品和服务的支出（不包括用于购置固定资产的支出、战略性和应急储备支出）。</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rPr>
      </w:pPr>
      <w:r>
        <w:rPr>
          <w:rStyle w:val="19"/>
          <w:rFonts w:ascii="方正楷体_GBK" w:eastAsia="方正楷体_GBK" w:cs="方正楷体_GBK" w:hint="eastAsia"/>
          <w:b w:val="0"/>
          <w:bCs w:val="0"/>
          <w:kern w:val="2"/>
          <w:sz w:val="32"/>
          <w:szCs w:val="32"/>
          <w:lang w:val="en-US" w:eastAsia="zh-CN" w:bidi="ar-SA"/>
        </w:rPr>
        <w:t>（十六）对个人和家庭的补助（支出经济分类科目类级）：</w:t>
      </w:r>
      <w:r>
        <w:rPr>
          <w:rFonts w:hint="eastAsia"/>
          <w:sz w:val="27"/>
          <w:szCs w:val="27"/>
        </w:rPr>
        <w:t>反映用于对个人和家庭的补助支出。</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hint="eastAsia"/>
          <w:sz w:val="27"/>
          <w:szCs w:val="27"/>
        </w:rPr>
      </w:pPr>
      <w:r>
        <w:rPr>
          <w:rStyle w:val="19"/>
          <w:rFonts w:ascii="方正楷体_GBK" w:eastAsia="方正楷体_GBK" w:cs="方正楷体_GBK" w:hint="eastAsia"/>
          <w:b w:val="0"/>
          <w:bCs w:val="0"/>
          <w:kern w:val="2"/>
          <w:sz w:val="32"/>
          <w:szCs w:val="32"/>
          <w:lang w:val="en-US" w:eastAsia="zh-CN" w:bidi="ar-SA"/>
        </w:rPr>
        <w:t>（十七）其他资本性支出（支出经济分类科目类级）：</w:t>
      </w:r>
      <w:r>
        <w:rPr>
          <w:rFonts w:hint="eastAsia"/>
          <w:sz w:val="27"/>
          <w:szCs w:val="27"/>
        </w:rPr>
        <w:t>反映非各级发展与改革部门集中安排的用于购置固定资产、战略性和应急性储备、土地和无形资产，以及构建基础设施、大型修缮和财政支持企业更新改造所发生的支出。</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00" w:firstLine="640"/>
        <w:textAlignment w:val="auto"/>
        <w:rPr>
          <w:rFonts w:ascii="方正黑体_GBK" w:eastAsia="方正黑体_GBK" w:cs="方正黑体_GBK" w:hint="eastAsia"/>
          <w:b w:val="0"/>
          <w:bCs/>
          <w:sz w:val="32"/>
          <w:szCs w:val="32"/>
        </w:rPr>
      </w:pPr>
      <w:r>
        <w:rPr>
          <w:rFonts w:ascii="方正黑体_GBK" w:eastAsia="方正黑体_GBK" w:cs="方正黑体_GBK" w:hint="eastAsia"/>
          <w:b w:val="0"/>
          <w:bCs/>
          <w:sz w:val="32"/>
          <w:szCs w:val="32"/>
        </w:rPr>
        <w:t>七、决算公开联系方式</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Chars="250" w:firstLine="675"/>
        <w:textAlignment w:val="auto"/>
        <w:rPr>
          <w:rFonts w:ascii="Times New Roman" w:eastAsia="方正仿宋_GBK" w:hAnsi="Times New Roman" w:hint="eastAsia"/>
          <w:sz w:val="32"/>
          <w:szCs w:val="32"/>
        </w:rPr>
      </w:pPr>
      <w:r>
        <w:rPr>
          <w:rFonts w:hint="eastAsia"/>
          <w:sz w:val="27"/>
          <w:szCs w:val="27"/>
        </w:rPr>
        <w:t>本单位决算公开信息反馈</w:t>
      </w:r>
      <w:r>
        <w:rPr>
          <w:rFonts w:hint="eastAsia"/>
          <w:color w:val="000000"/>
          <w:sz w:val="27"/>
          <w:szCs w:val="27"/>
        </w:rPr>
        <w:t>和联系方式：办公电话：023-47524079。</w:t>
      </w:r>
    </w:p>
    <w:sectPr>
      <w:footerReference w:type="default" r:id="rId2"/>
      <w:footerReference w:type="even" r:id="rId3"/>
      <w:pgSz w:w="11906" w:h="16838"/>
      <w:pgMar w:top="2098" w:right="1531" w:bottom="1985" w:left="1531" w:header="851" w:footer="1474"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小标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仿宋_GB2312">
    <w:altName w:val="仿宋"/>
    <w:panose1 w:val="02010609030101010101"/>
    <w:charset w:val="86"/>
    <w:family w:val="swiss"/>
    <w:pitch w:val="variable"/>
    <w:sig w:usb0="00000000" w:usb1="00000000" w:usb2="00000010" w:usb3="00000000" w:csb0="00040000" w:csb1="00000000"/>
  </w:font>
  <w:font w:name="宋体">
    <w:panose1 w:val="02010600030101010101"/>
    <w:charset w:val="86"/>
    <w:family w:val="auto"/>
    <w:pitch w:val="variable"/>
    <w:sig w:usb0="00000203" w:usb1="288F0000" w:usb2="00000006" w:usb3="00000000" w:csb0="00040001" w:csb1="00000000"/>
  </w:font>
  <w:font w:name="华文细黑">
    <w:panose1 w:val="02010600040101010101"/>
    <w:charset w:val="86"/>
    <w:family w:val="auto"/>
    <w:pitch w:val="variable"/>
    <w:sig w:usb0="00000287" w:usb1="080F0000" w:usb2="00000000" w:usb3="00000000" w:csb0="0004009F" w:csb1="DFD70000"/>
  </w:font>
  <w:font w:name="等线">
    <w:panose1 w:val="02010600030101010101"/>
    <w:charset w:val="86"/>
    <w:family w:val="auto"/>
    <w:pitch w:val="variable"/>
    <w:sig w:usb0="A00002BF" w:usb1="38CF7CFA" w:usb2="00000016" w:usb3="00000000" w:csb0="0004000F" w:csb1="00000000"/>
  </w:font>
  <w:font w:name="Arial">
    <w:panose1 w:val="020B0604020202020204"/>
    <w:charset w:val="01"/>
    <w:family w:val="swiss"/>
    <w:pitch w:val="variable"/>
    <w:sig w:usb0="E0002EFF" w:usb1="C000785B"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4DC45CE"/>
    <w:multiLevelType w:val="singleLevel"/>
    <w:tmpl w:val="64DC45CE"/>
    <w:lvl w:ilvl="0">
      <w:start w:val="8"/>
      <w:numFmt w:val="decimal"/>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evenAndOddHeaders/>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2"/>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widowControl/>
      <w:spacing w:before="100" w:beforeAutospacing="1" w:after="100" w:afterAutospacing="1"/>
      <w:jc w:val="left"/>
    </w:pPr>
    <w:rPr>
      <w:rFonts w:ascii="宋体" w:cs="宋体"/>
      <w:kern w:val="0"/>
      <w:sz w:val="24"/>
      <w:szCs w:val="24"/>
    </w:rPr>
  </w:style>
  <w:style w:type="character" w:styleId="19">
    <w:name w:val="Strong"/>
    <w:basedOn w:val="10"/>
    <w:rPr>
      <w:b/>
      <w:bCs/>
    </w:rPr>
  </w:style>
  <w:style w:type="character" w:customStyle="1" w:styleId="20">
    <w:name w:val="页脚 Char"/>
    <w:rPr>
      <w:kern w:val="2"/>
      <w:sz w:val="18"/>
      <w:szCs w:val="18"/>
    </w:rPr>
  </w:style>
  <w:style w:type="paragraph" w:customStyle="1" w:styleId="21">
    <w:name w:val="_Style 2"/>
    <w:basedOn w:val="0"/>
    <w:pPr>
      <w:ind w:firstLineChars="200" w:firstLine="200"/>
    </w:pPr>
  </w:style>
  <w:style w:type="paragraph" w:customStyle="1" w:styleId="22">
    <w:name w:val="List Paragraph"/>
    <w:basedOn w:val="0"/>
    <w:pPr>
      <w:ind w:firstLineChars="200" w:firstLine="200"/>
    </w:pPr>
  </w:style>
  <w:style w:type="paragraph" w:customStyle="1" w:styleId="23">
    <w:name w:val="_Style 1"/>
    <w:basedOn w:val="0"/>
    <w:pPr>
      <w:ind w:firstLineChars="200" w:firstLine="200"/>
    </w:pPr>
  </w:style>
  <w:style w:type="paragraph" w:customStyle="1" w:styleId="24">
    <w:name w:val="_Style 4"/>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218</TotalTime>
  <Application>Yozo_Office</Application>
  <Pages>1</Pages>
  <Words>22</Words>
  <Characters>25</Characters>
  <Lines>2</Lines>
  <Paragraphs>2</Paragraphs>
  <CharactersWithSpaces>25</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admin</cp:lastModifiedBy>
  <cp:revision>5</cp:revision>
  <cp:lastPrinted>2023-08-10T01:16:18Z</cp:lastPrinted>
  <dcterms:created xsi:type="dcterms:W3CDTF">2021-07-06T06:32:00Z</dcterms:created>
  <dcterms:modified xsi:type="dcterms:W3CDTF">2024-04-02T09:07:27Z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7C67E06506834E44936D3CE2ADC67639_13</vt:lpwstr>
  </property>
</Properties>
</file>