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经济运行简况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根据地区生产总值统一核算结果，上半年，全区实现地区生产总值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658.1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亿元，按可比价格计算，同比增长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%。分产业看，第一产业实现增加值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%；第二产业实现增加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383.0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%；第三产业实现增加值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225.7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一、农业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实现农业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总产值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72.2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按可比价格计算，同比增长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4.1%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。夏粮产量2.3万吨，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增长0.6%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蔬菜产量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生猪出栏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万头，同比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二、工业</w:t>
      </w:r>
      <w:bookmarkStart w:id="0" w:name="_GoBack"/>
      <w:bookmarkEnd w:id="0"/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，全区规模以上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增加值同比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分三大门类看，采矿业增加值增长2.4%，制造业增加值增长5.2%，电力、热力、燃气及水生产和供应业增加值增长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7.6%。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三、固定资产投资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，全区固定资产投资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不含农户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增长11.0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四、消费品市场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，全区社会消费品零售总额同比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%。批发业商品销售额同比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；零售业商品销售额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同比增长11.7%；住宿业营业额同比增长14.3%；餐饮业营业额同比增长14.9%。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五、金融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月末，全区金融机构人民币存款余额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1489.2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%；人民币贷款余额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1131.9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、房地产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上半年，全区房地产开发投资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92.8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增长10.0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%；商品房销售面积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72.3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万平方米，同比下降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七、居民收入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上半年，全区城镇常住居民人均可支配收入27605元，同比增长4.2%；农村常住居民人均可支配收入15547元，同比增长6.7%。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k2N2Q5NWFlMjE2YThmODIzOWI5MTIzZmY5NmUifQ=="/>
  </w:docVars>
  <w:rsids>
    <w:rsidRoot w:val="2B5A6D3F"/>
    <w:rsid w:val="07E67CC5"/>
    <w:rsid w:val="0EBB3483"/>
    <w:rsid w:val="1A7F5EAB"/>
    <w:rsid w:val="23360304"/>
    <w:rsid w:val="29743DDC"/>
    <w:rsid w:val="29DF5A8C"/>
    <w:rsid w:val="2B5A6D3F"/>
    <w:rsid w:val="2C6652B9"/>
    <w:rsid w:val="2F5D062E"/>
    <w:rsid w:val="36ED739A"/>
    <w:rsid w:val="3EDA3668"/>
    <w:rsid w:val="3FCF62C3"/>
    <w:rsid w:val="4AB6352A"/>
    <w:rsid w:val="71897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679</Characters>
  <Lines>0</Lines>
  <Paragraphs>0</Paragraphs>
  <TotalTime>122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2021-02-03T06:30:00Z</dcterms:created>
  <dc:creator>木瓜Ⅰ</dc:creator>
  <cp:lastModifiedBy>TJ1</cp:lastModifiedBy>
  <cp:lastPrinted>2023-08-02T02:13:09Z</cp:lastPrinted>
  <dcterms:modified xsi:type="dcterms:W3CDTF">2023-08-02T02:28:03Z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72D066909DC548729846ABCED3F072F1_13</vt:lpwstr>
  </property>
</Properties>
</file>