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snapToGrid/>
        <w:spacing w:line="579" w:lineRule="exact"/>
        <w:ind w:left="0"/>
        <w:jc w:val="center"/>
        <w:rPr>
          <w:rFonts w:ascii="宋体" w:eastAsia="方正小标宋_GBK" w:cs="方正小标宋_GBK" w:hAnsi="宋体" w:hint="eastAsia"/>
          <w:sz w:val="44"/>
          <w:szCs w:val="44"/>
        </w:rPr>
      </w:pPr>
      <w:r>
        <w:rPr>
          <w:rFonts w:ascii="宋体" w:eastAsia="方正小标宋_GBK" w:cs="方正小标宋_GBK" w:hAnsi="宋体" w:hint="eastAsia"/>
          <w:sz w:val="44"/>
          <w:szCs w:val="44"/>
          <w:lang w:eastAsia="zh-CN"/>
        </w:rPr>
        <w:t>重庆市江津区统计局</w:t>
      </w:r>
      <w:r>
        <w:rPr>
          <w:rFonts w:ascii="宋体" w:eastAsia="方正小标宋_GBK" w:cs="方正小标宋_GBK" w:hAnsi="宋体" w:hint="eastAsia"/>
          <w:sz w:val="44"/>
          <w:szCs w:val="44"/>
        </w:rPr>
        <w:t>202</w:t>
      </w:r>
      <w:r>
        <w:rPr>
          <w:rFonts w:ascii="宋体" w:eastAsia="方正小标宋_GBK" w:cs="方正小标宋_GBK" w:hAnsi="宋体" w:hint="eastAsia"/>
          <w:sz w:val="44"/>
          <w:szCs w:val="44"/>
          <w:lang w:val="en-US" w:eastAsia="zh-CN"/>
        </w:rPr>
        <w:t>4年度决算公开</w:t>
      </w:r>
      <w:r>
        <w:rPr>
          <w:rFonts w:ascii="宋体" w:eastAsia="方正小标宋_GBK" w:cs="方正小标宋_GBK" w:hAnsi="宋体" w:hint="eastAsia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79" w:lineRule="exact"/>
        <w:ind w:firstLineChars="250" w:firstLine="1100"/>
        <w:textAlignment w:val="auto"/>
        <w:rPr>
          <w:rFonts w:ascii="宋体" w:eastAsia="方正仿宋_GBK" w:cs="方正仿宋_GBK" w:hAnsi="宋体" w:hint="eastAsia"/>
          <w:sz w:val="44"/>
          <w:szCs w:val="44"/>
        </w:rPr>
      </w:pPr>
      <w:bookmarkStart w:id="0" w:name="_GoBack"/>
      <w:bookmarkEnd w:id="0"/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宋体" w:eastAsia="方正黑体_GBK" w:cs="方正黑体_GBK" w:hAnsi="宋体" w:hint="eastAsia"/>
          <w:sz w:val="32"/>
          <w:szCs w:val="32"/>
        </w:rPr>
      </w:pPr>
      <w:r>
        <w:rPr>
          <w:rFonts w:ascii="宋体" w:eastAsia="方正黑体_GBK" w:cs="方正黑体_GBK" w:hAnsi="宋体" w:hint="eastAsia"/>
          <w:sz w:val="32"/>
          <w:szCs w:val="32"/>
        </w:rPr>
        <w:t>一、单位基本情况</w:t>
      </w:r>
    </w:p>
    <w:p>
      <w:pPr>
        <w:pStyle w:val="2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</w:pPr>
      <w:r>
        <w:rPr>
          <w:rFonts w:ascii="宋体" w:eastAsia="方正楷体_GBK" w:cs="方正楷体_GBK" w:hAnsi="宋体" w:hint="eastAsia"/>
          <w:kern w:val="0"/>
          <w:sz w:val="32"/>
          <w:szCs w:val="32"/>
          <w:lang w:eastAsia="zh-CN"/>
        </w:rPr>
        <w:t>（</w:t>
      </w:r>
      <w:r>
        <w:rPr>
          <w:rFonts w:ascii="宋体" w:eastAsia="方正楷体_GBK" w:cs="方正楷体_GBK" w:hAnsi="宋体" w:hint="eastAsia"/>
          <w:kern w:val="0"/>
          <w:sz w:val="32"/>
          <w:szCs w:val="32"/>
          <w:lang w:val="en-US" w:eastAsia="zh-CN"/>
        </w:rPr>
        <w:t>一</w:t>
      </w:r>
      <w:r>
        <w:rPr>
          <w:rFonts w:ascii="宋体" w:eastAsia="方正楷体_GBK" w:cs="方正楷体_GBK" w:hAnsi="宋体" w:hint="eastAsia"/>
          <w:kern w:val="0"/>
          <w:sz w:val="32"/>
          <w:szCs w:val="32"/>
          <w:lang w:eastAsia="zh-CN"/>
        </w:rPr>
        <w:t>）</w:t>
      </w:r>
      <w:r>
        <w:rPr>
          <w:rFonts w:ascii="宋体" w:eastAsia="方正楷体_GBK" w:cs="方正楷体_GBK" w:hAnsi="宋体" w:hint="eastAsia"/>
          <w:kern w:val="0"/>
          <w:sz w:val="32"/>
          <w:szCs w:val="32"/>
          <w:lang w:val="en-US" w:eastAsia="zh-CN"/>
        </w:rPr>
        <w:t>职能职责</w:t>
      </w:r>
      <w:r>
        <w:rPr>
          <w:rFonts w:eastAsia="方正楷体_GBK" w:cs="方正楷体_GBK" w:hint="eastAsia"/>
          <w:kern w:val="0"/>
          <w:sz w:val="32"/>
          <w:szCs w:val="32"/>
          <w:lang w:val="en-US" w:eastAsia="zh-CN"/>
        </w:rPr>
        <w:t>。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1.组织领导和管理全区统计工作，确保统计数据真实、准确、及时的责任；组织实施国家统计制度、统计标准和发展规划；制定并组织实施地方统计调查制度。2．贯彻执行统计法律、法规、规章和方针政策；查处统计违法违纪行为；依法对涉外调查事务、民间统计进行监督管理。3．管理和指导镇街、园区、部门（行业）统计工作；协调政府综合统计与部门统计之间的关系；依法对部门统计数据进行审核、评估；依法管理全区统计调查项目；加强全区统计基层基础工作。4．组织实施综合统计、工业统计、能源统计、商贸统计、建筑及房地产统计、投资统计、利用内资统计、劳动工资统计、文化产业统计、服务业统计、两纲监测统计、科技统计、小康监测统计、战略性新兴产业统计等专项统计工作；组织实施新型金融业调查、小企业投资调查、小企业创新调查、人口抽样调查、</w:t>
      </w:r>
      <w:r>
        <w:rPr>
          <w:rStyle w:val="27"/>
          <w:rFonts w:ascii="方正仿宋_GBK" w:eastAsia="方正仿宋_GBK" w:cs="方正仿宋_GBK" w:hint="eastAsia"/>
          <w:color w:val="000000"/>
          <w:kern w:val="2"/>
          <w:sz w:val="32"/>
          <w:szCs w:val="32"/>
        </w:rPr>
        <w:t>规下工业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调查、</w:t>
      </w:r>
      <w:r>
        <w:rPr>
          <w:rStyle w:val="27"/>
          <w:rFonts w:ascii="方正仿宋_GBK" w:eastAsia="方正仿宋_GBK" w:cs="方正仿宋_GBK" w:hint="eastAsia"/>
          <w:color w:val="000000"/>
          <w:kern w:val="2"/>
          <w:sz w:val="32"/>
          <w:szCs w:val="32"/>
        </w:rPr>
        <w:t>规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下服务业调查、限下商贸业调查、规下企业劳动工资调查、四众平台专项统计调查、城乡属性调查、新兴工业企业调查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  <w:lang w:eastAsia="zh-CN"/>
        </w:rPr>
        <w:t>、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基本单位名录</w:t>
      </w:r>
      <w:r>
        <w:rPr>
          <w:rStyle w:val="27"/>
          <w:rFonts w:ascii="方正仿宋_GBK" w:eastAsia="方正仿宋_GBK" w:cs="方正仿宋_GBK" w:hint="eastAsia"/>
          <w:color w:val="000000"/>
          <w:kern w:val="2"/>
          <w:sz w:val="32"/>
          <w:szCs w:val="32"/>
        </w:rPr>
        <w:t>库维护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等工作，搜集、整理和提供相关数据。5．组织实施全区人口普查、经济普查、农业普查等工作，负责普查资料开发和普查数据库建设工作，发布普查公报，开发、应用普查资料。6．组织实施全区国民经济核算制度；核算全区及镇</w:t>
      </w:r>
      <w:r>
        <w:rPr>
          <w:rStyle w:val="27"/>
          <w:rFonts w:ascii="方正仿宋_GBK" w:eastAsia="方正仿宋_GBK" w:cs="方正仿宋_GBK" w:hint="eastAsia"/>
          <w:color w:val="000000"/>
          <w:kern w:val="2"/>
          <w:sz w:val="32"/>
          <w:szCs w:val="32"/>
        </w:rPr>
        <w:t>街生产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总值；搜集、整理和提供国民经济核算有关资料。7．建立有关统计数据质量审核、评估和监控制度；整理、核定、管理、提供、发布全区基本统计资料；发布全区国民经济和社会发展情况的统计信息，建立和管理全区经济社会发展综合统计数据库。8．对国民经济、社会发展、科技进步、能源资源、环境等情况进行统计分析、统计预警和统计监督；建立健全全区经济社会发展的统计监测和评价体系，加强动态监测和决策咨询服务；参与对镇街、园区、区级部门的综合考核评价工作。9．负责全区统计信息化建设规划；建设和管理全区经济社会发展综合统计数据库；负责建立统计数据库和网络的基本标准与运行规则，整理、核定、管理、提供、发布全区基本统计资料；发布全区国民经济和社会发展情况的统计信息；加强对全区统计信息发布的规范管理，组织建立统计信息共享制度和发布制度。10.协助镇（街）做好全区统计管理工作，开展统计人员的专业技术培训、统计职称考试等工作。11.承办区政府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napToGrid/>
        <w:spacing w:line="560" w:lineRule="exact"/>
        <w:ind w:left="0" w:firstLineChars="200" w:firstLine="640"/>
        <w:textAlignment w:val="auto"/>
        <w:rPr>
          <w:rFonts w:ascii="宋体" w:eastAsia="方正楷体_GBK" w:cs="方正楷体_GBK" w:hAnsi="宋体" w:hint="eastAsia"/>
          <w:kern w:val="0"/>
          <w:sz w:val="32"/>
          <w:szCs w:val="32"/>
          <w:lang w:eastAsia="zh-CN"/>
        </w:rPr>
      </w:pPr>
      <w:r>
        <w:rPr>
          <w:rFonts w:ascii="宋体" w:eastAsia="方正楷体_GBK" w:cs="方正楷体_GBK" w:hAnsi="宋体" w:hint="eastAsia"/>
          <w:kern w:val="0"/>
          <w:sz w:val="32"/>
          <w:szCs w:val="32"/>
          <w:lang w:val="en-US" w:eastAsia="zh-CN"/>
        </w:rPr>
        <w:t>单位构成。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</w:rPr>
        <w:t>我局为行政机关，独立核算单位，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  <w:lang w:eastAsia="zh-CN"/>
        </w:rPr>
        <w:t>下属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</w:rPr>
        <w:t>二级预算单位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</w:rPr>
        <w:t>有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</w:rPr>
        <w:t>重庆市江津区统计局（本级）和重庆市江津区社会经济调查队。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</w:rPr>
        <w:t>其中重庆市江津区统计局（本级）为行政单位，重庆市江津区社会经济调查队为参公事业单位</w:t>
      </w:r>
      <w:r>
        <w:rPr>
          <w:rFonts w:ascii="方正仿宋_GBK" w:eastAsia="方正仿宋_GBK" w:cs="方正仿宋_GBK" w:hint="eastAsia"/>
          <w:color w:val="000000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outlineLvl w:val="0"/>
        <w:rPr>
          <w:rFonts w:ascii="宋体" w:eastAsia="方正黑体_GBK" w:cs="方正黑体_GBK" w:hAnsi="宋体" w:hint="eastAsia"/>
          <w:sz w:val="32"/>
          <w:szCs w:val="32"/>
        </w:rPr>
      </w:pPr>
      <w:r>
        <w:rPr>
          <w:rFonts w:ascii="宋体" w:eastAsia="方正黑体_GBK" w:cs="方正黑体_GBK" w:hAnsi="宋体" w:hint="eastAsia"/>
          <w:sz w:val="32"/>
          <w:szCs w:val="32"/>
        </w:rPr>
        <w:t>部门决算情况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outlineLvl w:val="1"/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</w:pPr>
      <w:r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  <w:t>收入支出总体情况。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2024年度收入总计1163.0万元，支出总计1163.0万元。收支较上年减少394.25万元，下降25.32%，主要原因：一是减少了第五次全国经济普查市级拨款225.44万元；二是今年严格贯彻区委区政府关于过苦日子的精神，调整了部分项目经费，减少了综合统计项目经费69.72万元，减少了国家1%人口抽样调查、企业电子统计台账建设及统计抽样调查等经费共101.87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  <w:t>收入情况。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2024年度本年收入合计1163.0万元，较上年减少394.25万元。其中：财政拨款收入1163.0万元，占比100%；无事业收入和其他收入。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此外，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使用非财政拨款结余和专用结余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资金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也未使用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年初结转和结余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  <w:t>支出情况。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2024年度本年支出合计1163.0万元，</w:t>
      </w:r>
      <w:r>
        <w:rPr>
          <w:rFonts w:ascii="宋体" w:eastAsia="方正仿宋_GBK" w:cs="方正仿宋_GBK" w:hAnsi="宋体" w:hint="eastAsia"/>
          <w:sz w:val="32"/>
        </w:rPr>
        <w:t>较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上年</w:t>
      </w:r>
      <w:r>
        <w:rPr>
          <w:rFonts w:ascii="宋体" w:eastAsia="方正仿宋_GBK" w:cs="方正仿宋_GBK" w:hAnsi="宋体" w:hint="eastAsia"/>
          <w:sz w:val="32"/>
          <w:lang w:eastAsia="zh-CN"/>
        </w:rPr>
        <w:t>减少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394.25</w:t>
      </w:r>
      <w:r>
        <w:rPr>
          <w:rFonts w:ascii="宋体" w:eastAsia="方正仿宋_GBK" w:cs="方正仿宋_GBK" w:hAnsi="宋体" w:hint="eastAsia"/>
          <w:sz w:val="32"/>
        </w:rPr>
        <w:t>万元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。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其中：基本支出761.49万元，占比65.48%；项目支出401.51万元，占比34.52%。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  <w:t>结转结余情况。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2024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年度年末无结转和结余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outlineLvl w:val="1"/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</w:pPr>
      <w:r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  <w:t>财政拨款收支总体情况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sz w:val="32"/>
          <w:lang w:val="en-US" w:eastAsia="zh-CN"/>
        </w:rPr>
        <w:t>2024年度财政拨款收入总计1163.0万元，支出总计1163.0万元。</w:t>
      </w:r>
      <w:r>
        <w:rPr>
          <w:rFonts w:ascii="宋体" w:eastAsia="方正仿宋_GBK" w:cs="方正仿宋_GBK" w:hAnsi="宋体" w:hint="eastAsia"/>
          <w:sz w:val="32"/>
        </w:rPr>
        <w:t>收支较上年</w:t>
      </w:r>
      <w:r>
        <w:rPr>
          <w:rFonts w:ascii="宋体" w:eastAsia="方正仿宋_GBK" w:cs="方正仿宋_GBK" w:hAnsi="宋体" w:hint="eastAsia"/>
          <w:sz w:val="32"/>
          <w:lang w:eastAsia="zh-CN"/>
        </w:rPr>
        <w:t>减少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394.25</w:t>
      </w:r>
      <w:r>
        <w:rPr>
          <w:rFonts w:ascii="宋体" w:eastAsia="方正仿宋_GBK" w:cs="方正仿宋_GBK" w:hAnsi="宋体" w:hint="eastAsia"/>
          <w:sz w:val="32"/>
        </w:rPr>
        <w:t>万元</w:t>
      </w:r>
      <w:r>
        <w:rPr>
          <w:rFonts w:ascii="宋体" w:eastAsia="方正仿宋_GBK" w:cs="方正仿宋_GBK" w:hAnsi="宋体" w:hint="eastAsia"/>
          <w:sz w:val="32"/>
          <w:lang w:eastAsia="zh-CN"/>
        </w:rPr>
        <w:t>，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下降25.32%，</w:t>
      </w:r>
      <w:r>
        <w:rPr>
          <w:rFonts w:ascii="宋体" w:eastAsia="方正仿宋_GBK" w:cs="方正仿宋_GBK" w:hAnsi="宋体" w:hint="eastAsia"/>
          <w:sz w:val="32"/>
        </w:rPr>
        <w:t>主要原因</w:t>
      </w:r>
      <w:r>
        <w:rPr>
          <w:rFonts w:ascii="宋体" w:eastAsia="方正仿宋_GBK" w:cs="方正仿宋_GBK" w:hAnsi="宋体" w:hint="eastAsia"/>
          <w:sz w:val="32"/>
          <w:lang w:val="en-US" w:eastAsia="zh-CN"/>
        </w:rPr>
        <w:t>：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一是减少了第五次全国经济普查市级拨款225.44万元；二是今年严格贯彻区委区政府关于过苦日子的精神，调整了统计项目经费，减少了综合统计项目经费69.72万元，减少了国家1%人口抽样调查、企业电子统计台账建设及统计抽样调查等经费共101.87万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outlineLvl w:val="1"/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</w:pPr>
      <w:r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  <w:t>一般公共预算财政拨款收支总体情况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lang w:val="en-US" w:eastAsia="zh-CN"/>
        </w:rPr>
        <w:t>收入情况。</w:t>
      </w:r>
      <w:r>
        <w:rPr>
          <w:rFonts w:ascii="宋体" w:eastAsia="方正仿宋_GBK" w:cs="方正仿宋_GBK" w:hAnsi="宋体" w:hint="eastAsia"/>
          <w:color w:val="auto"/>
          <w:sz w:val="32"/>
        </w:rPr>
        <w:t>202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4</w:t>
      </w:r>
      <w:r>
        <w:rPr>
          <w:rFonts w:ascii="宋体" w:eastAsia="方正仿宋_GBK" w:cs="方正仿宋_GBK" w:hAnsi="宋体" w:hint="eastAsia"/>
          <w:color w:val="auto"/>
          <w:sz w:val="32"/>
        </w:rPr>
        <w:t>年度一般公共预算财政拨款收入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1163.0</w:t>
      </w:r>
      <w:r>
        <w:rPr>
          <w:rFonts w:ascii="宋体" w:eastAsia="方正仿宋_GBK" w:cs="方正仿宋_GBK" w:hAnsi="宋体" w:hint="eastAsia"/>
          <w:color w:val="auto"/>
          <w:sz w:val="32"/>
        </w:rPr>
        <w:t>万元，较上年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决算数减少168.81</w:t>
      </w:r>
      <w:r>
        <w:rPr>
          <w:rFonts w:ascii="宋体" w:eastAsia="方正仿宋_GBK" w:cs="方正仿宋_GBK" w:hAnsi="宋体" w:hint="eastAsia"/>
          <w:color w:val="auto"/>
          <w:sz w:val="32"/>
        </w:rPr>
        <w:t>万元，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下降12.68</w:t>
      </w:r>
      <w:r>
        <w:rPr>
          <w:rFonts w:ascii="宋体" w:eastAsia="方正仿宋_GBK" w:cs="方正仿宋_GBK" w:hAnsi="宋体" w:hint="eastAsia"/>
          <w:color w:val="auto"/>
          <w:sz w:val="32"/>
        </w:rPr>
        <w:t>%</w:t>
      </w:r>
      <w:r>
        <w:rPr>
          <w:rFonts w:ascii="宋体" w:eastAsia="方正仿宋_GBK" w:cs="方正仿宋_GBK" w:hAnsi="宋体" w:hint="eastAsia"/>
          <w:color w:val="auto"/>
          <w:sz w:val="32"/>
          <w:lang w:eastAsia="zh-CN"/>
        </w:rPr>
        <w:t>，</w:t>
      </w:r>
      <w:r>
        <w:rPr>
          <w:rFonts w:ascii="宋体" w:eastAsia="方正仿宋_GBK" w:cs="方正仿宋_GBK" w:hAnsi="宋体" w:hint="eastAsia"/>
          <w:color w:val="auto"/>
          <w:sz w:val="32"/>
        </w:rPr>
        <w:t>主要原因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：</w:t>
      </w:r>
      <w:r>
        <w:rPr>
          <w:rFonts w:ascii="宋体" w:eastAsia="方正仿宋_GBK" w:cs="方正仿宋_GBK" w:hAnsi="宋体" w:hint="eastAsia"/>
          <w:b w:val="0"/>
          <w:bCs w:val="0"/>
          <w:sz w:val="32"/>
          <w:szCs w:val="32"/>
          <w:lang w:val="en-US" w:eastAsia="zh-CN"/>
        </w:rPr>
        <w:t>今年调整了统计项目经费，减少了综合统计项目经费69.72万元，减少了国家1%人口抽样调查、企业电子统计台账建设及统计抽样调查等经费共101.87万元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。较年初预算数减少95.51万元，下降了7.59%，主要原因：一是调整了国家1%人口抽样调查项目和企业电子统计台账建设项目，减少经费50.47万元；二是调整了统计抽样调查项目，减少经费48.47万元。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此外，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年初财政拨款结转和结余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资金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sz w:val="32"/>
          <w:lang w:val="en-US" w:eastAsia="zh-CN"/>
        </w:rPr>
        <w:t>支出情况。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2024年度一般公共预算财政拨款支出1163.0万元，</w:t>
      </w:r>
      <w:r>
        <w:rPr>
          <w:rFonts w:ascii="宋体" w:eastAsia="方正仿宋_GBK" w:cs="方正仿宋_GBK" w:hAnsi="宋体" w:hint="eastAsia"/>
          <w:color w:val="auto"/>
          <w:sz w:val="32"/>
        </w:rPr>
        <w:t>较上年决算数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减少168.81</w:t>
      </w:r>
      <w:r>
        <w:rPr>
          <w:rFonts w:ascii="宋体" w:eastAsia="方正仿宋_GBK" w:cs="方正仿宋_GBK" w:hAnsi="宋体" w:hint="eastAsia"/>
          <w:color w:val="auto"/>
          <w:sz w:val="32"/>
        </w:rPr>
        <w:t>万元，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较年初预算数减少95.51万元。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N/>
        <w:bidi w:val="0"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color w:val="auto"/>
          <w:sz w:val="32"/>
          <w:lang w:val="en-US" w:eastAsia="zh-CN"/>
        </w:rPr>
        <w:t>结转结余情况。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2024年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度年末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一般公共预算财政拨款结转和结余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资金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b/>
          <w:bCs/>
          <w:kern w:val="2"/>
          <w:sz w:val="32"/>
          <w:szCs w:val="22"/>
          <w:lang w:val="en-US" w:eastAsia="zh-CN" w:bidi="ar-SA"/>
        </w:rPr>
        <w:t>比较情况。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本部门2024年度一般公共预算财政拨款支出主要用于以下几个方面：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一般公共服务支出938.26万元，占比80.68%。较年初预算数91.7万元，下降8.9%，主要原因是贯彻区委区政府过苦日子精神，对统计项目经费作了调整。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（2）教育支出2.71万元，占比0.23%。较年初预算数减少0.89万元，主要原因是今年增加了线上培训。</w:t>
      </w:r>
    </w:p>
    <w:p>
      <w:pPr>
        <w:pStyle w:val="2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（3）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社会保障与就业支出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125.46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10.79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%，较年初预算数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>持平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pStyle w:val="2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（4）卫生健康支出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47.58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4.09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>较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年初预算数持平。</w:t>
      </w:r>
    </w:p>
    <w:p>
      <w:pPr>
        <w:pStyle w:val="2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（5）住房保障支出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48.99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4.21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>较年初预算数持平。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outlineLvl w:val="1"/>
        <w:rPr>
          <w:rFonts w:ascii="宋体" w:eastAsia="方正楷体_GBK" w:cs="方正楷体_GBK" w:hAnsi="宋体" w:hint="eastAsia"/>
          <w:sz w:val="32"/>
          <w:szCs w:val="32"/>
          <w:lang w:val="en-US" w:eastAsia="zh-CN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一般公共预算财政拨款基本支出情况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2024年度一般公共预算财政拨款基本支出761.49万元。其中：人员经费647.88万元，主要用于</w:t>
      </w:r>
      <w:r>
        <w:rPr>
          <w:rFonts w:ascii="仿宋_GB2312" w:eastAsia="仿宋_GB2312" w:cs="仿宋_GB2312" w:hint="eastAsia"/>
          <w:sz w:val="32"/>
        </w:rPr>
        <w:t>保障在职人员工资福利及社会保险缴费，退休人员补助等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，较上年决算数减少43.13万元，下降6.24%，主要原因是今年减少了退休人员的死亡抚恤金47.75万元。公用经费113.61万元，主要用于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办公费、印刷费、邮电费、差旅费、会议费、培训费、公务接待费、工会经费、福利费、公务用车运行维护费等日常机关运行费用。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较上年决算数增加5.9万元，增长5.48%，主要原因是工会经费支出增加。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（五）政府性基金预算收支决算情况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方正仿宋_GBK" w:eastAsia="方正仿宋_GBK" w:cs="方正仿宋_GBK" w:hint="eastAsia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方正仿宋_GBK" w:eastAsia="方正仿宋_GBK" w:cs="方正仿宋_GBK"/>
          <w:color w:val="auto"/>
          <w:sz w:val="32"/>
          <w:szCs w:val="32"/>
          <w:shd w:val="clear" w:color="auto" w:fill="FFFFFF"/>
        </w:rPr>
        <w:t>本单位</w:t>
      </w:r>
      <w:r>
        <w:rPr>
          <w:rFonts w:ascii="方正仿宋_GBK" w:eastAsia="方正仿宋_GBK" w:cs="方正仿宋_GBK" w:hint="eastAsia"/>
          <w:color w:val="auto"/>
          <w:sz w:val="32"/>
          <w:szCs w:val="32"/>
          <w:shd w:val="clear" w:color="auto" w:fill="FFFFFF"/>
          <w:lang w:eastAsia="zh-CN"/>
        </w:rPr>
        <w:t>2024年</w:t>
      </w:r>
      <w:r>
        <w:rPr>
          <w:rFonts w:ascii="方正仿宋_GBK" w:eastAsia="方正仿宋_GBK" w:cs="方正仿宋_GBK"/>
          <w:color w:val="auto"/>
          <w:sz w:val="32"/>
          <w:szCs w:val="32"/>
          <w:shd w:val="clear" w:color="auto" w:fill="FFFFFF"/>
        </w:rPr>
        <w:t>度无政府性基金预算财政拨款收支</w:t>
      </w:r>
      <w:r>
        <w:rPr>
          <w:rFonts w:ascii="方正仿宋_GBK" w:eastAsia="方正仿宋_GBK" w:cs="方正仿宋_GBK" w:hint="eastAsia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（六）国有资本经营预算财政拨款支出决算情况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方正仿宋_GBK" w:eastAsia="方正仿宋_GBK" w:cs="方正仿宋_GBK"/>
          <w:color w:val="auto"/>
          <w:sz w:val="32"/>
          <w:szCs w:val="32"/>
          <w:shd w:val="clear" w:color="auto" w:fill="FFFFFF"/>
        </w:rPr>
        <w:t>本单位</w:t>
      </w:r>
      <w:r>
        <w:rPr>
          <w:rFonts w:ascii="方正仿宋_GBK" w:eastAsia="方正仿宋_GBK" w:cs="方正仿宋_GBK" w:hint="eastAsia"/>
          <w:color w:val="auto"/>
          <w:sz w:val="32"/>
          <w:szCs w:val="32"/>
          <w:shd w:val="clear" w:color="auto" w:fill="FFFFFF"/>
          <w:lang w:eastAsia="zh-CN"/>
        </w:rPr>
        <w:t>2024年</w:t>
      </w:r>
      <w:r>
        <w:rPr>
          <w:rFonts w:ascii="方正仿宋_GBK" w:eastAsia="方正仿宋_GBK" w:cs="方正仿宋_GBK"/>
          <w:color w:val="auto"/>
          <w:sz w:val="32"/>
          <w:szCs w:val="32"/>
          <w:shd w:val="clear" w:color="auto" w:fill="FFFFFF"/>
        </w:rPr>
        <w:t>度无国有资本经营预算财政拨款支出。</w:t>
      </w:r>
    </w:p>
    <w:p>
      <w:pPr>
        <w:pStyle w:val="2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left"/>
        <w:textAlignment w:val="auto"/>
        <w:outlineLvl w:val="0"/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</w:rPr>
      </w:pPr>
      <w:r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</w:rPr>
        <w:t>“三公”经费情况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（一）“三公”经费支出总体情况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2024年度“三公”经费支出共计20.86万元，较年初预算数减少13.14万元，下降38.65%，主要原因是公务车购置费比年初预算减少10.6万元，公务接待费比年初预算减少2.54万元。较上年支出数增加15.11万元，主要原因：一是增加了公务车购置费14.4万元，二是市级检查增多，公务接待费增加了0.71万元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（二）“三公”经费分项支出情况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因公出国（境）费用0万元。费用支出较年初预算数增加0万元，较上年支出数增加0万元。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公务车购置费用14.4万元，主要用于机关人员日常公务出行用车。费用支出较年初预算数减少10.6万元，较上年支出数增加14.4万元，因上年无公务车，也无公务车购置支出。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公务车运行维护费3.0万元，主要用于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</w:rPr>
        <w:t>相关统计业务检查、统计调查用车、市内因公出行等工作所需车辆的燃料费、维修（护）费、过路过桥费、保险费等。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费用支出较年初预算数持平。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公务接待费3.46万元，主要用于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接待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</w:rPr>
        <w:t>国家、</w:t>
      </w:r>
      <w:r>
        <w:rPr>
          <w:rStyle w:val="28"/>
          <w:rFonts w:ascii="方正仿宋_GBK" w:eastAsia="方正仿宋_GBK" w:cs="方正仿宋_GBK" w:hint="eastAsia"/>
          <w:color w:val="000000"/>
          <w:sz w:val="32"/>
          <w:szCs w:val="32"/>
        </w:rPr>
        <w:t>市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</w:rPr>
        <w:t>统计局到江津检查指导工作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lang w:eastAsia="zh-CN"/>
        </w:rPr>
        <w:t>和其他地区统计工作交流等</w:t>
      </w: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。费用支出较年初预算数减少2.54万元，较上年支出数增加1.15万元，主要原因是本年市级检查项目和检查次数增加。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outlineLvl w:val="1"/>
        <w:rPr>
          <w:rFonts w:ascii="宋体" w:eastAsia="方正楷体_GBK" w:cs="方正楷体_GBK" w:hAnsi="宋体" w:hint="eastAsi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（三）“三公”经费实物量情况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</w:pPr>
      <w:r>
        <w:rPr>
          <w:rFonts w:ascii="宋体" w:eastAsia="方正仿宋_GBK" w:cs="方正仿宋_GBK" w:hAnsi="宋体" w:hint="eastAsia"/>
          <w:color w:val="auto"/>
          <w:sz w:val="32"/>
          <w:lang w:val="en-US" w:eastAsia="zh-CN"/>
        </w:rPr>
        <w:t>2024年度本部门因公出国（境）共计0个团组，0人；公务用车购置1辆，公务车保有量为1辆；国内公务接待26批次353人，其中：国内外事接待0批次，0人；国（境）外公务接待0批次，0人。人均接待费98元，车均购置费14.4万元，车均维护费3万元。</w:t>
      </w:r>
    </w:p>
    <w:p>
      <w:pPr>
        <w:pStyle w:val="2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left"/>
        <w:textAlignment w:val="auto"/>
        <w:outlineLvl w:val="0"/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</w:rPr>
      </w:pPr>
      <w:r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Style w:val="24"/>
          <w:rFonts w:ascii="宋体" w:eastAsia="方正黑体_GBK" w:cs="方正黑体_GBK" w:hAnsi="宋体" w:hint="eastAsia"/>
          <w:b w:val="0"/>
          <w:sz w:val="32"/>
          <w:szCs w:val="32"/>
          <w:shd w:val="clear" w:color="auto" w:fill="FFFFFF"/>
        </w:rPr>
        <w:t>其他需要说明的事项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（一）财政拨款会议费和培训费情况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年度会议费支出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1.92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万元，与2023年度相比，减少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3.01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万元，下降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61.05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%，主要原因是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减少了第五次全国经济普查相关会议费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22.76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万元，与2023年度相比，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减少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71.11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下降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val="en-US" w:eastAsia="zh-CN"/>
        </w:rPr>
        <w:t>75.75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%，主要原因是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减少了第五次全国经济普查相关培训费</w:t>
      </w:r>
      <w:r>
        <w:rPr>
          <w:rFonts w:asci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（二）机关运行经费情况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60" w:lineRule="exact"/>
        <w:ind w:firstLineChars="150" w:firstLine="480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</w:rPr>
        <w:t>202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4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年度本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部门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机关运行经费支出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113.61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万元，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较上年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增加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5.89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万元，增长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5.47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%，主要原因是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增加了工会经费支出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。比年初预算数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减少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19.93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万元，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下降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14.92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%，主要原因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：</w:t>
      </w:r>
      <w:r>
        <w:rPr>
          <w:rFonts w:eastAsia="方正仿宋_GBK" w:cs="方正仿宋_GBK" w:hint="eastAsia"/>
          <w:kern w:val="0"/>
          <w:sz w:val="32"/>
          <w:szCs w:val="32"/>
          <w:lang w:eastAsia="zh-CN"/>
        </w:rPr>
        <w:t>一是划拨了</w:t>
      </w:r>
      <w:r>
        <w:rPr>
          <w:rFonts w:eastAsia="方正仿宋_GBK" w:cs="方正仿宋_GBK" w:hint="eastAsia"/>
          <w:kern w:val="0"/>
          <w:sz w:val="32"/>
          <w:szCs w:val="32"/>
          <w:lang w:val="en-US" w:eastAsia="zh-CN"/>
        </w:rPr>
        <w:t>2名政协领导的公用经费6.6万元；二是贯彻区委区政府过苦日子精神，减少了办公费、公务车运行维护费和机关人员差旅费等费用开支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。机关运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行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经费主要用于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  <w:shd w:val="clear" w:color="auto" w:fill="FFFFFF"/>
        </w:rPr>
        <w:t>开支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</w:rPr>
        <w:t>办公费、印刷费、邮电费、差旅费、会议费、培训费、公务接待费、工会经费、福利费、公务用车运行维护费等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</w:rPr>
        <w:t>。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（三）国有资产占用情况说明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</w:rPr>
        <w:t>截至202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4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年12月31日，本部门共有车辆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1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辆。其中：副部（省）级及以上领导用车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辆，主要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负责人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辆，机要通信用车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辆，应急保障用车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1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辆，执法执勤用车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辆，特种专业技术用车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辆，离退休干部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服务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辆，其他用车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辆。单价100万元（含）以上设备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（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不含车辆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）</w:t>
      </w: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0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台（套）。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（四）政府采购支出说明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both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2024年</w:t>
      </w:r>
      <w:r>
        <w:rPr>
          <w:rFonts w:ascii="宋体" w:eastAsia="方正仿宋_GBK" w:cs="方正仿宋_GBK" w:hAnsi="宋体" w:hint="eastAsia"/>
          <w:kern w:val="0"/>
          <w:sz w:val="32"/>
          <w:szCs w:val="32"/>
        </w:rPr>
        <w:t>度我单位未发生政府采购事项，无相关经费支出。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outlineLvl w:val="0"/>
        <w:rPr>
          <w:rFonts w:ascii="宋体" w:eastAsia="方正黑体_GBK" w:cs="方正黑体_GBK" w:hAnsi="宋体" w:hint="eastAsia"/>
          <w:b w:val="0"/>
          <w:bCs/>
          <w:sz w:val="32"/>
          <w:szCs w:val="32"/>
          <w:lang w:eastAsia="zh-CN"/>
        </w:rPr>
      </w:pPr>
      <w:r>
        <w:rPr>
          <w:rStyle w:val="21"/>
          <w:rFonts w:ascii="宋体" w:eastAsia="方正黑体_GBK" w:cs="方正黑体_GBK" w:hAnsi="宋体" w:hint="eastAsia"/>
          <w:b w:val="0"/>
          <w:bCs/>
          <w:sz w:val="32"/>
          <w:szCs w:val="32"/>
          <w:shd w:val="clear" w:color="auto" w:fill="FFFFFF"/>
        </w:rPr>
        <w:t>五、预算绩效管理情况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outlineLvl w:val="1"/>
        <w:rPr>
          <w:rFonts w:ascii="宋体" w:eastAsia="方正楷体_GBK" w:cs="方正楷体_GBK" w:hAnsi="宋体" w:hint="eastAsi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（一）预算绩效管理工作开展情况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</w:rPr>
        <w:t>根据预算绩效管理要求，我局对部门整体和1个项目开展了绩效自评，其中，以填报自评表形式开展自评1项，涉及资金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261.78</w:t>
      </w:r>
      <w:r>
        <w:rPr>
          <w:rFonts w:ascii="方正仿宋_GBK" w:eastAsia="方正仿宋_GBK" w:cs="方正仿宋_GBK" w:hint="eastAsia"/>
          <w:color w:val="000000"/>
          <w:spacing w:val="0"/>
          <w:kern w:val="0"/>
          <w:sz w:val="32"/>
          <w:szCs w:val="32"/>
          <w:shd w:val="clear" w:color="auto" w:fill="FFFFFF"/>
        </w:rPr>
        <w:t>万元；无委托第三方出具报告的方式开展绩效项目。</w:t>
      </w:r>
    </w:p>
    <w:p>
      <w:pPr>
        <w:pStyle w:val="2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9" w:lineRule="exact"/>
        <w:ind w:left="0" w:firstLineChars="200" w:firstLine="640"/>
        <w:jc w:val="left"/>
        <w:textAlignment w:val="auto"/>
        <w:outlineLvl w:val="1"/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24"/>
          <w:rFonts w:ascii="宋体" w:eastAsia="方正楷体_GBK" w:cs="方正楷体_GBK" w:hAnsi="宋体" w:hint="eastAsia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（二）绩效自评结果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snapToGrid/>
        <w:spacing w:line="579" w:lineRule="exact"/>
        <w:ind w:firstLineChars="0" w:firstLine="0"/>
        <w:jc w:val="center"/>
        <w:textAlignment w:val="auto"/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</w:rPr>
      </w:pPr>
      <w:r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  <w:lang w:val="en-US" w:eastAsia="zh-CN"/>
        </w:rPr>
        <w:t>2024年度部门整体</w:t>
      </w:r>
      <w:r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</w:rPr>
        <w:t>绩效自评表</w:t>
      </w:r>
    </w:p>
    <w:tbl>
      <w:tblPr>
        <w:jc w:val="cent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23"/>
        <w:gridCol w:w="742"/>
        <w:gridCol w:w="982"/>
        <w:gridCol w:w="1210"/>
        <w:gridCol w:w="666"/>
        <w:gridCol w:w="174"/>
        <w:gridCol w:w="590"/>
        <w:gridCol w:w="196"/>
        <w:gridCol w:w="894"/>
        <w:gridCol w:w="736"/>
        <w:gridCol w:w="301"/>
        <w:gridCol w:w="774"/>
        <w:gridCol w:w="997"/>
        <w:gridCol w:w="83"/>
      </w:tblGrid>
      <w:tr>
        <w:trPr>
          <w:trHeight w:val="606"/>
          <w:gridAfter w:val="1"/>
          <w:wAfter w:w="83" w:type="dxa"/>
        </w:trPr>
        <w:tc>
          <w:tcPr>
            <w:tcW w:w="8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95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重庆市江津区统计局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自评总分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4488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95.67</w:t>
            </w:r>
          </w:p>
        </w:tc>
      </w:tr>
      <w:tr>
        <w:trPr>
          <w:trHeight w:val="659"/>
          <w:gridAfter w:val="1"/>
          <w:wAfter w:w="83" w:type="dxa"/>
        </w:trPr>
        <w:tc>
          <w:tcPr>
            <w:tcW w:w="8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部门</w:t>
            </w:r>
          </w:p>
        </w:tc>
        <w:tc>
          <w:tcPr>
            <w:tcW w:w="1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重庆市江津区统计局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财政归口科室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行政政法科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何洪容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81220517</w:t>
            </w:r>
          </w:p>
        </w:tc>
      </w:tr>
      <w:tr>
        <w:trPr>
          <w:trHeight w:val="618"/>
          <w:gridAfter w:val="1"/>
          <w:wAfter w:w="83" w:type="dxa"/>
        </w:trPr>
        <w:tc>
          <w:tcPr>
            <w:tcW w:w="847" w:type="dxa"/>
            <w:vMerge w:val="restart"/>
            <w:tcBorders>
              <w:tl2br w:val="nil"/>
              <w:tr2bl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176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年度总金额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全年（调整）预算数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（%）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权重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</w:tr>
      <w:tr>
        <w:trPr>
          <w:trHeight w:val="469"/>
          <w:gridAfter w:val="1"/>
          <w:wAfter w:w="83" w:type="dxa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765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1258.51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1163.0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1163.0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rPr>
          <w:trHeight w:val="469"/>
          <w:gridAfter w:val="1"/>
          <w:wAfter w:w="83" w:type="dxa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其中：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财政拨款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1258.81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1163.0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1163.0</w:t>
            </w: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</w:tr>
      <w:tr>
        <w:trPr>
          <w:trHeight w:val="372"/>
          <w:gridAfter w:val="1"/>
          <w:wAfter w:w="83" w:type="dxa"/>
        </w:trPr>
        <w:tc>
          <w:tcPr>
            <w:tcW w:w="84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当年绩效目标</w:t>
            </w:r>
          </w:p>
        </w:tc>
        <w:tc>
          <w:tcPr>
            <w:tcW w:w="395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年初绩效目标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全年（调整）绩效目标</w:t>
            </w:r>
          </w:p>
        </w:tc>
        <w:tc>
          <w:tcPr>
            <w:tcW w:w="370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全年目标实际完成情况</w:t>
            </w:r>
          </w:p>
        </w:tc>
      </w:tr>
      <w:tr>
        <w:trPr>
          <w:trHeight w:val="1120"/>
          <w:gridAfter w:val="1"/>
          <w:wAfter w:w="83" w:type="dxa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395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1、全力做好第五次全国经济普查登记、汇总、审核和查询工作，分析普查数据，真实反映全区经济发展状况。2、做好企业“升规纳统”工作，确保应统尽统。3、抓好月度、季度、年度报表工作，重视数据的关联和衔接。4、加强统计基础知识、数据整理分析等业务培训，提升统计干部综合能力。5、完成工业、建筑、商贸、服务业等15个专业统计工作。6、做好统计电子台账全面推广工作，切实提升统计工作效率。7、完成1%人口抽样调查、劳动工资调查等14项专项调查任务。8、加大现代信息技术运用，提高统计数据综合利用率。9、加强统计基层基础建设，加大统计执法力度，提高统计数据质量。10、做好统计信息咨询服务、统计年鉴管理、统计人员管理等工作。11、加强统计系统平台维护，保障全区统计工作顺利开展，提高统计数据质量，形成系统统计数据，为各级部门制定政策提供依据。</w:t>
            </w:r>
          </w:p>
        </w:tc>
        <w:tc>
          <w:tcPr>
            <w:tcW w:w="162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370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完成了第五次全国经济普查登记、查询、汇总和审核工作，全区共登记法人单位28003家，个体户7349个；全年升规纳统企业83家，完成了工业、商贸、建筑、核算等20余个专业报表任务；完成了规下服务业、人口抽样、劳动工资等抽样调查任务；完成了统计专网整合工作，全年开展统计执法企业77家，完成了统计年鉴、统计公报、统计月卡等统计资料印发；按区财政要求按时进行的预决算全面公开；聘用人员控制在规定的人数2人；“三公”经费小于年初预算金额。</w:t>
            </w:r>
          </w:p>
        </w:tc>
      </w:tr>
      <w:tr>
        <w:trPr>
          <w:trHeight w:val="469"/>
        </w:trPr>
        <w:tc>
          <w:tcPr>
            <w:tcW w:w="847" w:type="dxa"/>
            <w:vMerge w:val="restart"/>
            <w:tcBorders>
              <w:tl2br w:val="nil"/>
              <w:tr2bl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性质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值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偏离度（%）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系数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（%）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权重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一套表企业数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1366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2.43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75.7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11.36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按实际报表企业填报</w:t>
            </w: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部门决算公开情况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＝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对外发布统计数据及时率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主要数据产品未受质疑及未产生不良影响数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服务对象对统计调查的认可度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服务对象满意度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“三公”经费控制情况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5.26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采用保障金方式的政府采购占比情况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＝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84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经济普查两员补助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≤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225.12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2.33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76.7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3.83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center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按实际补助数填报</w:t>
            </w:r>
          </w:p>
        </w:tc>
      </w:tr>
      <w:tr>
        <w:trPr>
          <w:trHeight w:val="408"/>
        </w:trPr>
        <w:tc>
          <w:tcPr>
            <w:tcW w:w="847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聘用人员控制情况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＝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snapToGrid/>
        <w:spacing w:line="579" w:lineRule="exact"/>
        <w:ind w:firstLineChars="0" w:firstLine="0"/>
        <w:jc w:val="both"/>
        <w:textAlignment w:val="auto"/>
        <w:rPr>
          <w:rFonts w:ascii="宋体" w:eastAsia="方正仿宋_GBK" w:cs="方正仿宋_GBK" w:hAnsi="宋体" w:hint="eastAsia"/>
          <w:color w:val="000000"/>
          <w:kern w:val="0"/>
          <w:sz w:val="36"/>
          <w:szCs w:val="36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N/>
        <w:bidi w:val="0"/>
        <w:snapToGrid/>
        <w:spacing w:line="579" w:lineRule="exact"/>
        <w:ind w:firstLineChars="0" w:firstLine="0"/>
        <w:jc w:val="center"/>
        <w:textAlignment w:val="auto"/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</w:rPr>
      </w:pPr>
      <w:r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  <w:lang w:val="en-US" w:eastAsia="zh-CN"/>
        </w:rPr>
        <w:t>2024年度项目</w:t>
      </w:r>
      <w:r>
        <w:rPr>
          <w:rFonts w:ascii="方正黑体_GBK" w:eastAsia="方正黑体_GBK" w:cs="方正黑体_GBK" w:hint="eastAsia"/>
          <w:b w:val="0"/>
          <w:bCs w:val="0"/>
          <w:color w:val="000000"/>
          <w:kern w:val="0"/>
          <w:sz w:val="36"/>
          <w:szCs w:val="36"/>
        </w:rPr>
        <w:t>绩效自评表</w:t>
      </w:r>
    </w:p>
    <w:tbl>
      <w:tblPr>
        <w:jc w:val="center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27"/>
        <w:gridCol w:w="655"/>
        <w:gridCol w:w="709"/>
        <w:gridCol w:w="116"/>
        <w:gridCol w:w="1162"/>
        <w:gridCol w:w="664"/>
        <w:gridCol w:w="742"/>
        <w:gridCol w:w="910"/>
        <w:gridCol w:w="1092"/>
        <w:gridCol w:w="938"/>
        <w:gridCol w:w="158"/>
        <w:gridCol w:w="1080"/>
      </w:tblGrid>
      <w:tr>
        <w:trPr>
          <w:trHeight w:val="469"/>
        </w:trPr>
        <w:tc>
          <w:tcPr>
            <w:tcW w:w="9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6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第五次全国经济普查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4178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92.11</w:t>
            </w:r>
          </w:p>
        </w:tc>
      </w:tr>
      <w:tr>
        <w:trPr>
          <w:trHeight w:val="469"/>
        </w:trPr>
        <w:tc>
          <w:tcPr>
            <w:tcW w:w="9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部门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重庆市江津区统计局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财政归口科室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行政政法科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刘玉连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7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81220517</w:t>
            </w:r>
          </w:p>
        </w:tc>
      </w:tr>
      <w:tr>
        <w:trPr>
          <w:trHeight w:val="469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1582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年度总金额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全年（调整）预算数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（%）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权重</w:t>
            </w: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执行率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</w:tr>
      <w:tr>
        <w:trPr>
          <w:trHeight w:val="469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582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261.78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261.78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rPr>
          <w:trHeight w:val="469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其中：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财政拨款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261.78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261.78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</w:tr>
      <w:tr>
        <w:trPr>
          <w:trHeight w:val="469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当年绩效目标</w:t>
            </w:r>
          </w:p>
        </w:tc>
        <w:tc>
          <w:tcPr>
            <w:tcW w:w="356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年初绩效目标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全年（调整）绩效目标</w:t>
            </w:r>
          </w:p>
        </w:tc>
        <w:tc>
          <w:tcPr>
            <w:tcW w:w="326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全年目标实际完成情况</w:t>
            </w:r>
          </w:p>
        </w:tc>
      </w:tr>
      <w:tr>
        <w:trPr>
          <w:trHeight w:val="1055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356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开展普查人员选聘、培训，做好普查试点工作，在全社会广 泛宣传，提高普查对象支持率，完成全区二、三产业调查登记任务，加强普查数据审核、汇总和评审工作，形成初步普查数据。对普查数据开展课题分析，形成调研报告共各级各部门参考使用，真实反应全区经济发展现状，为制定科学经济决策提供依据。</w:t>
            </w:r>
          </w:p>
        </w:tc>
        <w:tc>
          <w:tcPr>
            <w:tcW w:w="231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第五次全国经济普查选聘“两员”1526人，清查摸底单位3.55万家，个体户11.87万户；开展了普查登记工作，完成了普查数据审核、查询和汇总工作，正式登记单位2.8万家，个体户0.73万户。</w:t>
            </w:r>
          </w:p>
        </w:tc>
      </w:tr>
      <w:tr>
        <w:trPr>
          <w:trHeight w:val="469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jc w:val="center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性质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值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偏离度（%）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系数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（%）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权重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指标得分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  <w:t>（分）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普查“两员”配备数量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1526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1.73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按实际人数填报</w:t>
            </w: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统计调查对象数量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万家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15.4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2.67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按实际普查数填报</w:t>
            </w: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统计调查覆盖率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形成统计成果数量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普查信息正确率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5.26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47.4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7.11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eastAsia="zh-CN"/>
              </w:rPr>
              <w:t>按查询数填报</w:t>
            </w: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成果发布率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11.11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成果利用率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11.11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普查成果对社会经济影响时限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979" w:type="dxa"/>
            <w:vMerge/>
            <w:tcBorders>
              <w:tl2br w:val="nil"/>
              <w:tr2bl w:val="nil"/>
            </w:tcBorders>
            <w:noWrap/>
            <w:vAlign w:val="center"/>
          </w:tcPr>
          <w:p/>
        </w:tc>
        <w:tc>
          <w:tcPr>
            <w:tcW w:w="9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社会大众对普查总体满意度</w:t>
            </w:r>
          </w:p>
        </w:tc>
        <w:tc>
          <w:tcPr>
            <w:tcW w:w="6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≥</w:t>
            </w:r>
          </w:p>
        </w:tc>
        <w:tc>
          <w:tcPr>
            <w:tcW w:w="127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11.11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0" w:after="0" w:afterAutospacing="0" w:line="200" w:lineRule="exact"/>
              <w:ind w:left="0" w:right="0" w:firstLine="0"/>
              <w:jc w:val="both"/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方正仿宋_GBK" w:eastAsia="方正仿宋_GBK" w:cs="方正仿宋_GBK" w:hint="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napToGrid/>
              <w:spacing w:line="579" w:lineRule="exact"/>
              <w:textAlignment w:val="auto"/>
              <w:rPr>
                <w:rFonts w:ascii="宋体" w:eastAsia="方正仿宋_GBK" w:cs="方正仿宋_GBK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 w:val="0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b/>
          <w:bCs w:val="0"/>
          <w:kern w:val="0"/>
          <w:sz w:val="32"/>
          <w:szCs w:val="32"/>
        </w:rPr>
        <w:t>绩效自评报告或案例</w:t>
      </w:r>
    </w:p>
    <w:p>
      <w:pPr>
        <w:pStyle w:val="2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Chars="200" w:firstLine="640"/>
        <w:jc w:val="left"/>
        <w:textAlignment w:val="auto"/>
        <w:rPr>
          <w:rFonts w:ascii="方正仿宋_GBK" w:eastAsia="方正仿宋_GBK" w:cs="方正仿宋_GBK" w:hint="eastAsia"/>
          <w:spacing w:val="0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cs="方正仿宋_GBK" w:hint="eastAsia"/>
          <w:spacing w:val="0"/>
          <w:kern w:val="0"/>
          <w:sz w:val="32"/>
          <w:szCs w:val="32"/>
          <w:shd w:val="clear" w:color="auto" w:fill="FFFFFF"/>
        </w:rPr>
        <w:t>本单位无此事项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宋体" w:eastAsia="方正仿宋_GBK" w:cs="方正仿宋_GBK" w:hAnsi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b/>
          <w:bCs/>
          <w:color w:val="000000"/>
          <w:kern w:val="0"/>
          <w:sz w:val="32"/>
          <w:szCs w:val="32"/>
        </w:rPr>
        <w:t>关于绩效自评结果的说明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  <w:t>全部指标都按实际发生数填报，造成部分指标与预算值有一定差异，今后在预算时，多开展调查研究，做好数据评估工作，尽力避免预决算指标差。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ascii="宋体" w:eastAsia="方正楷体_GBK" w:cs="方正楷体_GBK" w:hAnsi="宋体" w:hint="eastAsia"/>
          <w:color w:val="333333"/>
          <w:sz w:val="32"/>
          <w:szCs w:val="32"/>
        </w:rPr>
      </w:pPr>
      <w:r>
        <w:rPr>
          <w:rFonts w:ascii="宋体" w:eastAsia="方正楷体_GBK" w:cs="方正楷体_GBK" w:hAnsi="宋体" w:hint="eastAsia"/>
          <w:color w:val="333333"/>
          <w:sz w:val="32"/>
          <w:szCs w:val="32"/>
        </w:rPr>
        <w:t>（三）重点绩效评价结果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eastAsia="方正仿宋_GBK" w:cs="方正仿宋_GBK" w:hAnsi="宋体" w:hint="eastAsia"/>
          <w:kern w:val="0"/>
          <w:sz w:val="32"/>
          <w:szCs w:val="32"/>
          <w:lang w:eastAsia="zh-CN"/>
        </w:rPr>
      </w:pPr>
      <w:r>
        <w:rPr>
          <w:rFonts w:ascii="宋体" w:eastAsia="方正仿宋_GBK" w:cs="方正仿宋_GBK" w:hAnsi="宋体" w:hint="eastAsia"/>
          <w:kern w:val="0"/>
          <w:sz w:val="32"/>
          <w:szCs w:val="32"/>
          <w:lang w:val="en-US" w:eastAsia="zh-CN"/>
        </w:rPr>
        <w:t>本单位无此事项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0" w:firstLine="640"/>
        <w:textAlignment w:val="auto"/>
        <w:outlineLvl w:val="0"/>
        <w:rPr>
          <w:rFonts w:ascii="宋体" w:eastAsia="方正黑体_GBK" w:cs="方正黑体_GBK" w:hAnsi="宋体" w:hint="eastAsia"/>
          <w:sz w:val="32"/>
          <w:szCs w:val="32"/>
        </w:rPr>
      </w:pPr>
      <w:r>
        <w:rPr>
          <w:rFonts w:ascii="宋体" w:eastAsia="方正黑体_GBK" w:cs="方正黑体_GBK" w:hAnsi="宋体" w:hint="eastAsia"/>
          <w:sz w:val="32"/>
          <w:szCs w:val="32"/>
        </w:rPr>
        <w:t>专业名词解释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部门应根据实际情况对专业名词进行解释，不得遗漏。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（一）财政拨款收入：指本年度从本级财政部门取得的财政拨款，包括一般公共预算财政拨款和政府性基金预算财政拨款。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二</w:t>
      </w:r>
      <w:r>
        <w:rPr>
          <w:rFonts w:ascii="宋体" w:eastAsia="方正仿宋_GBK" w:cs="方正仿宋_GBK" w:hAnsi="宋体" w:hint="eastAsia"/>
          <w:sz w:val="32"/>
          <w:szCs w:val="32"/>
        </w:rPr>
        <w:t>）其他收入：指单位取得的除“财政拨款收入”、“事业收入”、“经营收入”等以外的收入，包括未纳入财政预算或财政专户管理的投资收益、银行存款利息收入、租金收入、捐赠收入，现金盘盈收入、存货盘盈收入、收回已核销的应收及预付款项、无法偿付的应付及预收款项等。各单位从本级财政部门以外的同级单位取得的经费、从非本级财政部门取得的经费，以及行政单位收到的财政专户管理资金反映在本项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三</w:t>
      </w:r>
      <w:r>
        <w:rPr>
          <w:rFonts w:ascii="宋体" w:eastAsia="方正仿宋_GBK" w:cs="方正仿宋_GBK" w:hAnsi="宋体" w:hint="eastAsia"/>
          <w:sz w:val="32"/>
          <w:szCs w:val="32"/>
        </w:rPr>
        <w:t>）使用非财政拨款结余：指单位在当年的“财政拨款收入”、“事业收入”、“经营收入”、“其他收入”等不足以安排当年支出的情况下，使用以前年度积累的非财政拨款结余弥补本年度收支缺口的资金。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四</w:t>
      </w:r>
      <w:r>
        <w:rPr>
          <w:rFonts w:ascii="宋体" w:eastAsia="方正仿宋_GBK" w:cs="方正仿宋_GBK" w:hAnsi="宋体" w:hint="eastAsia"/>
          <w:sz w:val="32"/>
          <w:szCs w:val="32"/>
        </w:rPr>
        <w:t>）年初结转和结余：指单位上年结转本年使用的基本支出结转、项目支出结转和结余、经营结余。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五</w:t>
      </w:r>
      <w:r>
        <w:rPr>
          <w:rFonts w:ascii="宋体" w:eastAsia="方正仿宋_GBK" w:cs="方正仿宋_GBK" w:hAnsi="宋体" w:hint="eastAsia"/>
          <w:sz w:val="32"/>
          <w:szCs w:val="32"/>
        </w:rPr>
        <w:t>）年末结转和结余：指单位结转下年的基本支出结转、项目支出结转和结余、经营结余。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六</w:t>
      </w:r>
      <w:r>
        <w:rPr>
          <w:rFonts w:ascii="宋体" w:eastAsia="方正仿宋_GBK" w:cs="方正仿宋_GBK" w:hAnsi="宋体" w:hint="eastAsia"/>
          <w:sz w:val="32"/>
          <w:szCs w:val="32"/>
        </w:rPr>
        <w:t>）基本支出：指为保障机构正常运转、完成日常工作任务而发生的人员经费和公用经费。其中：人员经费指政府收支分类经济科目中的“工资福利支出”和“对个人和家庭的补助”；公用经费指政府收支分类经济科目中除“工资福利支出”和“对个人和家庭的补助”外的其他支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Chars="200" w:firstLine="640"/>
        <w:textAlignment w:val="auto"/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七</w:t>
      </w:r>
      <w:r>
        <w:rPr>
          <w:rFonts w:ascii="宋体" w:eastAsia="方正仿宋_GBK" w:cs="方正仿宋_GBK" w:hAnsi="宋体" w:hint="eastAsia"/>
          <w:sz w:val="32"/>
          <w:szCs w:val="32"/>
        </w:rPr>
        <w:t>）项目支出：</w:t>
      </w: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指在基本支出之外为完成各种普查、专项统计调查等发生的支出。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eastAsia="zh-CN"/>
        </w:rPr>
        <w:t>八</w:t>
      </w:r>
      <w:r>
        <w:rPr>
          <w:rFonts w:ascii="宋体" w:eastAsia="方正仿宋_GBK" w:cs="方正仿宋_GBK" w:hAnsi="宋体" w:hint="eastAsia"/>
          <w:sz w:val="32"/>
          <w:szCs w:val="32"/>
        </w:rPr>
        <w:t>）“三公”经费：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</w:t>
      </w:r>
      <w:r>
        <w:rPr>
          <w:rFonts w:ascii="宋体" w:eastAsia="方正仿宋_GBK" w:cs="方正仿宋_GBK" w:hAnsi="宋体" w:hint="eastAsia"/>
          <w:sz w:val="32"/>
          <w:szCs w:val="32"/>
          <w:lang w:eastAsia="zh-CN"/>
        </w:rPr>
        <w:t>九</w:t>
      </w:r>
      <w:r>
        <w:rPr>
          <w:rFonts w:ascii="宋体" w:eastAsia="方正仿宋_GBK" w:cs="方正仿宋_GBK" w:hAnsi="宋体" w:hint="eastAsia"/>
          <w:sz w:val="32"/>
          <w:szCs w:val="32"/>
        </w:rPr>
        <w:t>）机关运行经费：为保障行政单位（含参照公务员法管理的事业单位）运行用于购买货物和服务等的各项公用经费，包括办公及印刷费、邮电费、差旅费、会议费、福利费、日常维护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（十）工资福利支出（支出经济分类科目类级）：反映单位开支的在职职工和编制外长期聘用人员的各类劳动报酬，以及为上述人员缴纳的各项社会保险费等。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（十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一</w:t>
      </w:r>
      <w:r>
        <w:rPr>
          <w:rFonts w:ascii="宋体" w:eastAsia="方正仿宋_GBK" w:cs="方正仿宋_GBK" w:hAnsi="宋体" w:hint="eastAsia"/>
          <w:sz w:val="32"/>
          <w:szCs w:val="32"/>
        </w:rPr>
        <w:t>）商品和服务支出（支出经济分类科目类级）：反映单位购买商品和服务的支出（不包括用于购置固定资产的支出）。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（十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二</w:t>
      </w:r>
      <w:r>
        <w:rPr>
          <w:rFonts w:ascii="宋体" w:eastAsia="方正仿宋_GBK" w:cs="方正仿宋_GBK" w:hAnsi="宋体" w:hint="eastAsia"/>
          <w:sz w:val="32"/>
          <w:szCs w:val="32"/>
        </w:rPr>
        <w:t>）对个人和家庭的补助（支出经济分类科目类级）：反映用于对个人和家庭的补助支出。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（十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三</w:t>
      </w:r>
      <w:r>
        <w:rPr>
          <w:rFonts w:ascii="宋体" w:eastAsia="方正仿宋_GBK" w:cs="方正仿宋_GBK" w:hAnsi="宋体" w:hint="eastAsia"/>
          <w:sz w:val="32"/>
          <w:szCs w:val="32"/>
        </w:rPr>
        <w:t>）其他资本性支出（支出经济分类科目类级）：反映非各级发展与改革部门集中安排的用于购置固定资产、战略性和应急性储备、土地和无形资产，以及构建基础设施、大型修缮和财政支持企业更新改造所发生的支出。</w:t>
      </w:r>
    </w:p>
    <w:p>
      <w:pPr>
        <w:pStyle w:val="22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宋体" w:eastAsia="方正黑体_GBK" w:cs="方正黑体_GBK" w:hAnsi="宋体" w:hint="eastAsia"/>
          <w:sz w:val="32"/>
          <w:szCs w:val="32"/>
        </w:rPr>
      </w:pPr>
      <w:r>
        <w:rPr>
          <w:rFonts w:ascii="宋体" w:eastAsia="方正黑体_GBK" w:cs="方正黑体_GBK" w:hAnsi="宋体" w:hint="eastAsia"/>
          <w:sz w:val="32"/>
          <w:szCs w:val="32"/>
        </w:rPr>
        <w:t>七、决算公开联系方式</w:t>
      </w:r>
    </w:p>
    <w:p>
      <w:pPr>
        <w:pStyle w:val="2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宋体" w:eastAsia="方正仿宋_GBK" w:cs="方正仿宋_GBK" w:hAnsi="宋体" w:hint="eastAsia"/>
          <w:sz w:val="32"/>
          <w:szCs w:val="32"/>
        </w:rPr>
      </w:pPr>
      <w:r>
        <w:rPr>
          <w:rFonts w:ascii="宋体" w:eastAsia="方正仿宋_GBK" w:cs="方正仿宋_GBK" w:hAnsi="宋体" w:hint="eastAsia"/>
          <w:sz w:val="32"/>
          <w:szCs w:val="32"/>
        </w:rPr>
        <w:t>本单位决算公开信息反馈和联系方式：</w:t>
      </w:r>
    </w:p>
    <w:p>
      <w:pPr>
        <w:pStyle w:val="2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宋体" w:eastAsia="方正仿宋_GBK" w:cs="方正仿宋_GBK" w:hAnsi="宋体"/>
          <w:sz w:val="32"/>
          <w:szCs w:val="32"/>
          <w:lang w:val="en-US"/>
        </w:rPr>
      </w:pP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联系人：何洪容</w:t>
      </w:r>
      <w:r>
        <w:rPr>
          <w:rFonts w:ascii="宋体" w:eastAsia="方正仿宋_GBK" w:cs="方正仿宋_GBK" w:hAnsi="宋体" w:hint="eastAsia"/>
          <w:sz w:val="32"/>
          <w:szCs w:val="32"/>
        </w:rPr>
        <w:t xml:space="preserve">   </w:t>
      </w:r>
      <w:r>
        <w:rPr>
          <w:rFonts w:ascii="宋体" w:eastAsia="方正仿宋_GBK" w:cs="方正仿宋_GBK" w:hAnsi="宋体" w:hint="eastAsia"/>
          <w:sz w:val="32"/>
          <w:szCs w:val="32"/>
          <w:lang w:val="en-US" w:eastAsia="zh-CN"/>
        </w:rPr>
        <w:t>联系电话：023-81220517</w:t>
      </w:r>
    </w:p>
    <w:sectPr>
      <w:footerReference w:type="default" r:id="rId2"/>
      <w:footerReference w:type="even" r:id="rId3"/>
      <w:pgSz w:w="11906" w:h="16838"/>
      <w:pgMar w:top="1587" w:right="1474" w:bottom="1474" w:left="1587" w:header="851" w:footer="147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8"/>
      <w:tabs>
        <w:tab w:val="center" w:pos="4153"/>
        <w:tab w:val="right" w:pos="8306"/>
      </w:tabs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8"/>
      <w:tabs>
        <w:tab w:val="center" w:pos="4153"/>
        <w:tab w:val="right" w:pos="8306"/>
      </w:tabs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7FC6D37E"/>
    <w:multiLevelType w:val="singleLevel"/>
    <w:tmpl w:val="7FC6D37E"/>
    <w:lvl w:ilvl="0">
      <w:start w:val="2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1">
    <w:nsid w:val="BF018CFE"/>
    <w:multiLevelType w:val="singleLevel"/>
    <w:tmpl w:val="BF018CFE"/>
    <w:lvl w:ilvl="0">
      <w:start w:val="2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2">
    <w:nsid w:val="6BB1AE55"/>
    <w:multiLevelType w:val="singleLevel"/>
    <w:tmpl w:val="6BB1AE55"/>
    <w:lvl w:ilvl="0">
      <w:start w:val="1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abstractNum w:abstractNumId="3">
    <w:nsid w:val="170F8B3D"/>
    <w:multiLevelType w:val="singleLevel"/>
    <w:tmpl w:val="170F8B3D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hanging="0"/>
      </w:pPr>
    </w:lvl>
  </w:abstractNum>
  <w:abstractNum w:abstractNumId="4">
    <w:nsid w:val="C7DC43F0"/>
    <w:multiLevelType w:val="singleLevel"/>
    <w:tmpl w:val="C7DC43F0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hanging="0"/>
      </w:pPr>
    </w:lvl>
  </w:abstractNum>
  <w:abstractNum w:abstractNumId="5">
    <w:nsid w:val="FC092FFC"/>
    <w:multiLevelType w:val="singleLevel"/>
    <w:tmpl w:val="FC092FFC"/>
    <w:lvl w:ilvl="0">
      <w:start w:val="1"/>
      <w:numFmt w:val="decimal"/>
      <w:lvlRestart w:val="0"/>
      <w:suff w:val="nothing"/>
      <w:lvlText w:val="（%1）"/>
      <w:lvlJc w:val="left"/>
      <w:pPr>
        <w:tabs>
          <w:tab w:val="num" w:pos="0"/>
        </w:tabs>
        <w:ind w:left="0" w:hanging="0"/>
      </w:pPr>
    </w:lvl>
  </w:abstractNum>
  <w:abstractNum w:abstractNumId="6">
    <w:nsid w:val="36AF54E0"/>
    <w:multiLevelType w:val="singleLevel"/>
    <w:tmpl w:val="36AF54E0"/>
    <w:lvl w:ilvl="0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hanging="0"/>
      </w:pPr>
    </w:lvl>
  </w:abstractNum>
  <w:abstractNum w:abstractNumId="7">
    <w:nsid w:val="BE15FB01"/>
    <w:multiLevelType w:val="singleLevel"/>
    <w:tmpl w:val="BE15FB01"/>
    <w:lvl w:ilvl="0">
      <w:start w:val="6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efaultTabStop w:val="420"/>
  <w:evenAndOddHeaders/>
  <w:drawingGridHorizontalSpacing w:val="21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spacing w:before="0" w:beforeAutospacing="0" w:after="0" w:afterAutospacing="0"/>
      <w:ind w:left="1680" w:right="0"/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6">
    <w:name w:val="toc 8"/>
    <w:basedOn w:val="0"/>
    <w:next w:val="0"/>
    <w:pPr>
      <w:spacing w:before="0" w:beforeAutospacing="0" w:after="0" w:afterAutospacing="0"/>
      <w:ind w:left="2940" w:right="0"/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1">
    <w:name w:val="Strong"/>
    <w:basedOn w:val="10"/>
    <w:rPr>
      <w:b/>
    </w:rPr>
  </w:style>
  <w:style w:type="paragraph" w:customStyle="1" w:styleId="22">
    <w:name w:val="List Paragraph"/>
    <w:basedOn w:val="0"/>
    <w:pPr>
      <w:ind w:firstLineChars="200" w:firstLine="200"/>
    </w:pPr>
  </w:style>
  <w:style w:type="paragraph" w:customStyle="1" w:styleId="23">
    <w:name w:val="普通(网站) Char"/>
    <w:basedOn w:val="0"/>
    <w:pPr>
      <w:spacing w:before="100" w:beforeAutospacing="1" w:after="100" w:afterAutospacing="1"/>
      <w:ind w:left="0" w:right="0"/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customStyle="1" w:styleId="24">
    <w:name w:val="23"/>
    <w:basedOn w:val="10"/>
    <w:rPr>
      <w:rFonts w:ascii="Times New Roman" w:cs="Times New Roman" w:hAnsi="Times New Roman"/>
      <w:b/>
    </w:rPr>
  </w:style>
  <w:style w:type="character" w:customStyle="1" w:styleId="25">
    <w:name w:val="页脚 Char"/>
    <w:rPr>
      <w:kern w:val="2"/>
      <w:sz w:val="18"/>
      <w:szCs w:val="18"/>
    </w:rPr>
  </w:style>
  <w:style w:type="paragraph" w:customStyle="1" w:styleId="26">
    <w:name w:val="普通(网站) Char Char"/>
    <w:basedOn w:val="0"/>
    <w:next w:val="15"/>
    <w:pPr>
      <w:spacing w:before="100" w:beforeAutospacing="1" w:after="100" w:afterAutospacing="1"/>
      <w:ind w:left="0" w:right="0"/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customStyle="1" w:styleId="27">
    <w:name w:val="20"/>
    <w:basedOn w:val="10"/>
    <w:rPr>
      <w:rFonts w:ascii="Times New Roman" w:cs="Times New Roman" w:hAnsi="Times New Roman"/>
    </w:rPr>
  </w:style>
  <w:style w:type="character" w:customStyle="1" w:styleId="28">
    <w:name w:val="18"/>
    <w:basedOn w:val="10"/>
    <w:rPr>
      <w:rFonts w:ascii="Times New Roman" w:cs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12</Pages>
  <Words>6608</Words>
  <Characters>7365</Characters>
  <Lines>687</Lines>
  <Paragraphs>388</Paragraphs>
  <CharactersWithSpaces>7380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Microsoft</cp:lastModifiedBy>
  <cp:revision>5</cp:revision>
  <cp:lastPrinted>2023-08-10T09:16:00Z</cp:lastPrinted>
  <dcterms:created xsi:type="dcterms:W3CDTF">2021-07-06T14:32:00Z</dcterms:created>
  <dcterms:modified xsi:type="dcterms:W3CDTF">2025-10-14T08:59:56Z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C5C051BE58ED47B681D748640379E264</vt:lpwstr>
  </property>
  <property fmtid="{D5CDD505-2E9C-101B-9397-08002B2CF9AE}" pid="4" name="KSOTemplateDocerSaveRecord">
    <vt:lpwstr>eyJoZGlkIjoiNDU2ODVkMGU0MDk2MmQ3YmJkZjNjZTUwYmY0NzQ0MzciLCJ1c2VySWQiOiIxNjc3OTYwMjE4In0=</vt:lpwstr>
  </property>
</Properties>
</file>