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pStyle w:val="18"/>
        <w:keepNext w:val="0"/>
        <w:keepLines w:val="0"/>
        <w:widowControl/>
        <w:suppressLineNumbers w:val="0"/>
        <w:autoSpaceDE w:val="0"/>
        <w:autoSpaceDN/>
        <w:spacing w:before="0" w:beforeAutospacing="0" w:line="520" w:lineRule="exact"/>
        <w:ind w:left="0"/>
        <w:jc w:val="center"/>
        <w:rPr>
          <w:rFonts w:ascii="方正小标宋_GBK" w:eastAsia="方正小标宋_GBK" w:cs="方正小标宋_GBK" w:hint="eastAsia"/>
          <w:kern w:val="0"/>
          <w:sz w:val="36"/>
          <w:szCs w:val="36"/>
        </w:rPr>
      </w:pPr>
      <w:r>
        <w:rPr>
          <w:rStyle w:val="28"/>
          <w:rFonts w:ascii="方正小标宋_GBK" w:eastAsia="方正小标宋_GBK" w:cs="方正小标宋_GBK" w:hint="eastAsia"/>
          <w:b/>
          <w:bCs w:val="0"/>
          <w:sz w:val="36"/>
          <w:szCs w:val="36"/>
          <w:shd w:val="clear" w:color="auto" w:fill="FFFFFF"/>
        </w:rPr>
        <w:t>重庆市江津区社会经济调查队</w:t>
      </w:r>
    </w:p>
    <w:p>
      <w:pPr>
        <w:pStyle w:val="18"/>
        <w:keepNext w:val="0"/>
        <w:keepLines w:val="0"/>
        <w:widowControl/>
        <w:suppressLineNumbers w:val="0"/>
        <w:autoSpaceDE w:val="0"/>
        <w:autoSpaceDN/>
        <w:spacing w:before="0" w:beforeAutospacing="0" w:line="520" w:lineRule="exact"/>
        <w:ind w:left="0"/>
        <w:jc w:val="center"/>
        <w:rPr>
          <w:rFonts w:ascii="方正小标宋_GBK" w:eastAsia="方正小标宋_GBK" w:cs="方正小标宋_GBK" w:hint="eastAsia"/>
          <w:b/>
          <w:bCs w:val="0"/>
          <w:kern w:val="0"/>
          <w:sz w:val="36"/>
          <w:szCs w:val="36"/>
          <w:shd w:val="clear" w:color="auto" w:fill="FFFFFF"/>
        </w:rPr>
      </w:pPr>
      <w:r>
        <w:rPr>
          <w:rStyle w:val="28"/>
          <w:rFonts w:ascii="方正小标宋_GBK" w:eastAsia="方正小标宋_GBK" w:cs="方正小标宋_GBK" w:hint="eastAsia"/>
          <w:b/>
          <w:bCs w:val="0"/>
          <w:sz w:val="36"/>
          <w:szCs w:val="36"/>
          <w:shd w:val="clear" w:color="auto" w:fill="FFFFFF"/>
        </w:rPr>
        <w:t>2022年度部门决算情况说明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黑体_GBK" w:eastAsia="方正黑体_GBK" w:cs="方正黑体_GBK" w:hint="eastAsia"/>
          <w:color w:val="000000"/>
          <w:kern w:val="0"/>
          <w:sz w:val="32"/>
          <w:szCs w:val="32"/>
        </w:rPr>
      </w:pPr>
      <w:r>
        <w:rPr>
          <w:rStyle w:val="28"/>
          <w:rFonts w:ascii="方正黑体_GBK" w:eastAsia="方正黑体_GBK" w:cs="方正黑体_GBK" w:hint="eastAsia"/>
          <w:b/>
          <w:bCs w:val="0"/>
          <w:color w:val="000000"/>
          <w:sz w:val="32"/>
          <w:szCs w:val="32"/>
          <w:shd w:val="clear" w:color="auto" w:fill="FFFFFF"/>
        </w:rPr>
        <w:t>一、部门基本情况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40" w:lineRule="exact"/>
        <w:ind w:left="0" w:firstLineChars="200" w:firstLine="640"/>
        <w:jc w:val="both"/>
        <w:textAlignment w:val="auto"/>
        <w:rPr>
          <w:rFonts w:ascii="方正仿宋_GBK" w:eastAsia="方正仿宋_GBK" w:cs="方正仿宋_GBK" w:hint="eastAsia"/>
          <w:color w:val="000000"/>
          <w:kern w:val="2"/>
          <w:sz w:val="32"/>
          <w:szCs w:val="32"/>
        </w:rPr>
      </w:pPr>
      <w:r>
        <w:rPr>
          <w:rStyle w:val="28"/>
          <w:rFonts w:ascii="方正仿宋_GBK" w:eastAsia="方正仿宋_GBK" w:cs="方正仿宋_GBK" w:hint="eastAsia"/>
          <w:b/>
          <w:bCs w:val="0"/>
          <w:color w:val="000000"/>
          <w:sz w:val="32"/>
          <w:szCs w:val="32"/>
          <w:shd w:val="clear" w:color="auto" w:fill="FFFFFF"/>
        </w:rPr>
        <w:t>（一）职能职责。</w:t>
      </w:r>
      <w:r>
        <w:rPr>
          <w:rFonts w:ascii="方正仿宋_GBK" w:eastAsia="方正仿宋_GBK" w:cs="方正仿宋_GBK" w:hint="eastAsia"/>
          <w:color w:val="000000"/>
          <w:kern w:val="2"/>
          <w:sz w:val="32"/>
          <w:szCs w:val="32"/>
        </w:rPr>
        <w:t>1.组织实施新型金融业调查、小企业投资调查、小企业创新调查、企业景气调查、人口抽样调查、</w:t>
      </w:r>
      <w:r>
        <w:rPr>
          <w:rStyle w:val="24"/>
          <w:rFonts w:ascii="方正仿宋_GBK" w:eastAsia="方正仿宋_GBK" w:cs="方正仿宋_GBK" w:hint="eastAsia"/>
          <w:color w:val="000000"/>
          <w:kern w:val="2"/>
          <w:sz w:val="32"/>
          <w:szCs w:val="32"/>
        </w:rPr>
        <w:t>规下工业</w:t>
      </w:r>
      <w:r>
        <w:rPr>
          <w:rFonts w:ascii="方正仿宋_GBK" w:eastAsia="方正仿宋_GBK" w:cs="方正仿宋_GBK" w:hint="eastAsia"/>
          <w:color w:val="000000"/>
          <w:kern w:val="2"/>
          <w:sz w:val="32"/>
          <w:szCs w:val="32"/>
        </w:rPr>
        <w:t>调查、</w:t>
      </w:r>
      <w:r>
        <w:rPr>
          <w:rStyle w:val="24"/>
          <w:rFonts w:ascii="方正仿宋_GBK" w:eastAsia="方正仿宋_GBK" w:cs="方正仿宋_GBK" w:hint="eastAsia"/>
          <w:color w:val="000000"/>
          <w:kern w:val="2"/>
          <w:sz w:val="32"/>
          <w:szCs w:val="32"/>
        </w:rPr>
        <w:t>规</w:t>
      </w:r>
      <w:r>
        <w:rPr>
          <w:rFonts w:ascii="方正仿宋_GBK" w:eastAsia="方正仿宋_GBK" w:cs="方正仿宋_GBK" w:hint="eastAsia"/>
          <w:color w:val="000000"/>
          <w:kern w:val="2"/>
          <w:sz w:val="32"/>
          <w:szCs w:val="32"/>
        </w:rPr>
        <w:t>下服务业调查、限下商贸业调查、规下企业劳动工资调查、企业用工调查、四众平台专项统计调查、城乡属性调查、新兴工业企业调查、非公经济调查、数字经济统计等专项调查工作，负责一套表企业电子统计台账建设工作，搜集、整理和提供相关数据。2．负责全区人口普查、经济普查、农业普查等定期普查工作，搜集、整理和汇编有关普查资料。3.承办区统计局交办的其他任务。</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jc w:val="both"/>
        <w:textAlignment w:val="auto"/>
        <w:rPr>
          <w:rFonts w:ascii="方正仿宋_GBK" w:eastAsia="方正仿宋_GBK" w:cs="方正仿宋_GBK" w:hint="eastAsia"/>
          <w:color w:val="000000"/>
          <w:kern w:val="2"/>
          <w:sz w:val="32"/>
          <w:szCs w:val="32"/>
        </w:rPr>
      </w:pPr>
      <w:r>
        <w:rPr>
          <w:rFonts w:ascii="方正仿宋_GBK" w:eastAsia="方正仿宋_GBK" w:cs="方正仿宋_GBK" w:hint="eastAsia"/>
          <w:color w:val="000000"/>
          <w:kern w:val="0"/>
          <w:sz w:val="32"/>
          <w:szCs w:val="32"/>
        </w:rPr>
        <w:t xml:space="preserve">       </w:t>
      </w:r>
      <w:r>
        <w:rPr>
          <w:rStyle w:val="28"/>
          <w:rFonts w:ascii="方正仿宋_GBK" w:eastAsia="方正仿宋_GBK" w:cs="方正仿宋_GBK" w:hint="eastAsia"/>
          <w:b/>
          <w:bCs w:val="0"/>
          <w:color w:val="000000"/>
          <w:sz w:val="32"/>
          <w:szCs w:val="32"/>
          <w:shd w:val="clear" w:color="auto" w:fill="FFFFFF"/>
        </w:rPr>
        <w:t>（二）机构设置。</w:t>
      </w:r>
      <w:r>
        <w:rPr>
          <w:rFonts w:ascii="方正仿宋_GBK" w:eastAsia="方正仿宋_GBK" w:cs="方正仿宋_GBK" w:hint="eastAsia"/>
          <w:color w:val="000000"/>
          <w:kern w:val="2"/>
          <w:sz w:val="32"/>
          <w:szCs w:val="32"/>
        </w:rPr>
        <w:t>重庆市江津区社会经济调查队是二级预算单位，属重庆市江津区统计局下属正科级全额拨款事业单位，独立核算。人员在工作上与区统计局混岗使用，共同完成相关统计工作。</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黑体_GBK" w:eastAsia="方正黑体_GBK" w:cs="方正黑体_GBK" w:hint="eastAsia"/>
          <w:b/>
          <w:bCs w:val="0"/>
          <w:color w:val="000000"/>
          <w:kern w:val="0"/>
          <w:sz w:val="32"/>
          <w:szCs w:val="32"/>
          <w:shd w:val="clear" w:color="auto" w:fill="FFFFFF"/>
        </w:rPr>
      </w:pPr>
      <w:r>
        <w:rPr>
          <w:rStyle w:val="28"/>
          <w:rFonts w:ascii="方正黑体_GBK" w:eastAsia="方正黑体_GBK" w:cs="方正黑体_GBK" w:hint="eastAsia"/>
          <w:b/>
          <w:bCs w:val="0"/>
          <w:color w:val="000000"/>
          <w:sz w:val="32"/>
          <w:szCs w:val="32"/>
          <w:shd w:val="clear" w:color="auto" w:fill="FFFFFF"/>
        </w:rPr>
        <w:t>二、部门决算情况说明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b w:val="0"/>
          <w:bCs/>
          <w:color w:val="000000"/>
          <w:kern w:val="0"/>
          <w:sz w:val="32"/>
          <w:szCs w:val="32"/>
          <w:shd w:val="clear" w:color="auto" w:fill="FFFFFF"/>
        </w:rPr>
      </w:pPr>
      <w:r>
        <w:rPr>
          <w:rStyle w:val="28"/>
          <w:rFonts w:ascii="方正仿宋_GBK" w:eastAsia="方正仿宋_GBK" w:cs="方正仿宋_GBK" w:hint="eastAsia"/>
          <w:b w:val="0"/>
          <w:bCs/>
          <w:color w:val="000000"/>
          <w:sz w:val="32"/>
          <w:szCs w:val="32"/>
          <w:shd w:val="clear" w:color="auto" w:fill="FFFFFF"/>
        </w:rPr>
        <w:t>本单位是重庆市江津区统计局二级预算单位，2021年没有单独预决算，故无上年数据不能进行同期比较。</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（一）收入支出决算总体情况说明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both"/>
        <w:textAlignment w:val="auto"/>
        <w:rPr>
          <w:rFonts w:ascii="方正仿宋_GBK" w:eastAsia="方正仿宋_GBK" w:cs="方正仿宋_GBK" w:hint="eastAsia"/>
          <w:color w:val="000000"/>
          <w:kern w:val="0"/>
          <w:sz w:val="32"/>
          <w:szCs w:val="32"/>
          <w:shd w:val="clear" w:color="auto" w:fill="FFFFFF"/>
        </w:rPr>
      </w:pPr>
      <w:r>
        <w:rPr>
          <w:rStyle w:val="28"/>
          <w:rFonts w:ascii="方正仿宋_GBK" w:eastAsia="方正仿宋_GBK" w:cs="方正仿宋_GBK" w:hint="eastAsia"/>
          <w:b/>
          <w:bCs w:val="0"/>
          <w:color w:val="000000"/>
          <w:sz w:val="32"/>
          <w:szCs w:val="32"/>
          <w:shd w:val="clear" w:color="auto" w:fill="FFFFFF"/>
        </w:rPr>
        <w:t>1.总体情况。</w:t>
      </w:r>
      <w:r>
        <w:rPr>
          <w:rFonts w:ascii="方正仿宋_GBK" w:eastAsia="方正仿宋_GBK" w:cs="方正仿宋_GBK" w:hint="eastAsia"/>
          <w:color w:val="000000"/>
          <w:kern w:val="0"/>
          <w:sz w:val="32"/>
          <w:szCs w:val="32"/>
          <w:shd w:val="clear" w:color="auto" w:fill="FFFFFF"/>
        </w:rPr>
        <w:t>2022年度收入总计378.02万元，支出总计378.02万元。</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both"/>
        <w:textAlignment w:val="auto"/>
        <w:rPr>
          <w:rFonts w:ascii="方正仿宋_GBK" w:eastAsia="方正仿宋_GBK" w:cs="方正仿宋_GBK" w:hint="eastAsia"/>
          <w:color w:val="000000"/>
          <w:kern w:val="0"/>
          <w:sz w:val="32"/>
          <w:szCs w:val="32"/>
          <w:shd w:val="clear" w:color="auto" w:fill="FFFFFF"/>
        </w:rPr>
      </w:pPr>
      <w:r>
        <w:rPr>
          <w:rStyle w:val="28"/>
          <w:rFonts w:ascii="方正仿宋_GBK" w:eastAsia="方正仿宋_GBK" w:cs="方正仿宋_GBK" w:hint="eastAsia"/>
          <w:b/>
          <w:bCs w:val="0"/>
          <w:color w:val="000000"/>
          <w:sz w:val="32"/>
          <w:szCs w:val="32"/>
          <w:shd w:val="clear" w:color="auto" w:fill="FFFFFF"/>
        </w:rPr>
        <w:t>2.收入情况。</w:t>
      </w:r>
      <w:r>
        <w:rPr>
          <w:rFonts w:ascii="方正仿宋_GBK" w:eastAsia="方正仿宋_GBK" w:cs="方正仿宋_GBK" w:hint="eastAsia"/>
          <w:color w:val="000000"/>
          <w:kern w:val="0"/>
          <w:sz w:val="32"/>
          <w:szCs w:val="32"/>
          <w:shd w:val="clear" w:color="auto" w:fill="FFFFFF"/>
        </w:rPr>
        <w:t>2022年度收入合计378.02万元，全部为财政拨款收入。无年初结转和结余。</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shd w:val="clear" w:color="auto" w:fill="FFFFFF"/>
        </w:rPr>
      </w:pPr>
      <w:r>
        <w:rPr>
          <w:rStyle w:val="28"/>
          <w:rFonts w:ascii="方正仿宋_GBK" w:eastAsia="方正仿宋_GBK" w:cs="方正仿宋_GBK" w:hint="eastAsia"/>
          <w:b/>
          <w:bCs w:val="0"/>
          <w:color w:val="000000"/>
          <w:sz w:val="32"/>
          <w:szCs w:val="32"/>
          <w:shd w:val="clear" w:color="auto" w:fill="FFFFFF"/>
        </w:rPr>
        <w:t>3.支出情况。</w:t>
      </w:r>
      <w:r>
        <w:rPr>
          <w:rFonts w:ascii="方正仿宋_GBK" w:eastAsia="方正仿宋_GBK" w:cs="方正仿宋_GBK" w:hint="eastAsia"/>
          <w:color w:val="000000"/>
          <w:kern w:val="0"/>
          <w:sz w:val="32"/>
          <w:szCs w:val="32"/>
          <w:shd w:val="clear" w:color="auto" w:fill="FFFFFF"/>
        </w:rPr>
        <w:t>2022年度支出合计378.02万元。其中：基本支出294.83万元，占78%；项目支出83.19万元，占22%。无经营支出，也无结余分配。</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4.结转结余情况。</w:t>
      </w:r>
      <w:r>
        <w:rPr>
          <w:rFonts w:ascii="方正仿宋_GBK" w:eastAsia="方正仿宋_GBK" w:cs="方正仿宋_GBK" w:hint="eastAsia"/>
          <w:color w:val="000000"/>
          <w:kern w:val="0"/>
          <w:sz w:val="32"/>
          <w:szCs w:val="32"/>
          <w:shd w:val="clear" w:color="auto" w:fill="FFFFFF"/>
        </w:rPr>
        <w:t>2022年度年末无结转和结余。</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（二）一般公共预算财政拨款收入支出决算情况说明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1.收入、支出情况。</w:t>
      </w:r>
      <w:r>
        <w:rPr>
          <w:rFonts w:ascii="方正仿宋_GBK" w:eastAsia="方正仿宋_GBK" w:cs="方正仿宋_GBK" w:hint="eastAsia"/>
          <w:color w:val="000000"/>
          <w:kern w:val="0"/>
          <w:sz w:val="32"/>
          <w:szCs w:val="32"/>
          <w:shd w:val="clear" w:color="auto" w:fill="FFFFFF"/>
        </w:rPr>
        <w:t>2022年度一般公共预算财政拨款收入378.02万元，一般公共预算财政拨款支出378.02万元。较年初预算数减少38.24万元，下降9.2%。主要原因：一是减税降费压减专项统计费和统计抽样调查项目经费33.5万元；二是减少年初预算的年休假报酬经费和一次性奖金经费等行政运行经费9.99万元；三是增加半年基础绩效社保费5.26万元。</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2.结转结余情况。</w:t>
      </w:r>
      <w:r>
        <w:rPr>
          <w:rFonts w:ascii="方正仿宋_GBK" w:eastAsia="方正仿宋_GBK" w:cs="方正仿宋_GBK" w:hint="eastAsia"/>
          <w:color w:val="000000"/>
          <w:kern w:val="0"/>
          <w:sz w:val="32"/>
          <w:szCs w:val="32"/>
          <w:shd w:val="clear" w:color="auto" w:fill="FFFFFF"/>
        </w:rPr>
        <w:t>2022年度年末无一般公共预算财政拨款结转和结余。</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shd w:val="clear" w:color="auto" w:fill="FFFFFF"/>
        </w:rPr>
      </w:pPr>
      <w:r>
        <w:rPr>
          <w:rStyle w:val="28"/>
          <w:rFonts w:ascii="方正仿宋_GBK" w:eastAsia="方正仿宋_GBK" w:cs="方正仿宋_GBK" w:hint="eastAsia"/>
          <w:b/>
          <w:bCs w:val="0"/>
          <w:color w:val="000000"/>
          <w:sz w:val="32"/>
          <w:szCs w:val="32"/>
          <w:shd w:val="clear" w:color="auto" w:fill="FFFFFF"/>
        </w:rPr>
        <w:t>3.比较情况。</w:t>
      </w:r>
      <w:r>
        <w:rPr>
          <w:rFonts w:ascii="方正仿宋_GBK" w:eastAsia="方正仿宋_GBK" w:cs="方正仿宋_GBK" w:hint="eastAsia"/>
          <w:color w:val="000000"/>
          <w:kern w:val="0"/>
          <w:sz w:val="32"/>
          <w:szCs w:val="32"/>
          <w:shd w:val="clear" w:color="auto" w:fill="FFFFFF"/>
        </w:rPr>
        <w:t>本部门2022年度一般公共预算财政拨款支出主要用于以下几个方面：</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Fonts w:ascii="方正仿宋_GBK" w:eastAsia="方正仿宋_GBK" w:cs="方正仿宋_GBK" w:hint="eastAsia"/>
          <w:color w:val="000000"/>
          <w:kern w:val="0"/>
          <w:sz w:val="32"/>
          <w:szCs w:val="32"/>
          <w:shd w:val="clear" w:color="auto" w:fill="FFFFFF"/>
        </w:rPr>
        <w:t>（1）一般公共服务支出324.36万元，占85.8%，较年初预算数减少43.49万元，下降11.8%，主要原因：一是减税降费压减专项统计经费和统计抽样调查项目经费33.5万元；二是减少年初预算的年休假报酬经费和一次性奖金经费等行政运行经费9.99万元。</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Fonts w:ascii="方正仿宋_GBK" w:eastAsia="方正仿宋_GBK" w:cs="方正仿宋_GBK" w:hint="eastAsia"/>
          <w:color w:val="000000"/>
          <w:kern w:val="0"/>
          <w:sz w:val="32"/>
          <w:szCs w:val="32"/>
          <w:shd w:val="clear" w:color="auto" w:fill="FFFFFF"/>
        </w:rPr>
        <w:t>（2）社会保障</w:t>
      </w:r>
      <w:r>
        <w:rPr>
          <w:rFonts w:ascii="方正仿宋_GBK" w:eastAsia="方正仿宋_GBK" w:cs="方正仿宋_GBK"/>
          <w:color w:val="000000"/>
          <w:kern w:val="0"/>
          <w:sz w:val="32"/>
          <w:szCs w:val="32"/>
          <w:shd w:val="clear" w:color="auto" w:fill="FFFFFF"/>
        </w:rPr>
        <w:t>和</w:t>
      </w:r>
      <w:bookmarkStart w:id="0" w:name="_GoBack"/>
      <w:bookmarkEnd w:id="0"/>
      <w:r>
        <w:rPr>
          <w:rFonts w:ascii="方正仿宋_GBK" w:eastAsia="方正仿宋_GBK" w:cs="方正仿宋_GBK" w:hint="eastAsia"/>
          <w:color w:val="000000"/>
          <w:kern w:val="0"/>
          <w:sz w:val="32"/>
          <w:szCs w:val="32"/>
          <w:shd w:val="clear" w:color="auto" w:fill="FFFFFF"/>
        </w:rPr>
        <w:t>就业支出27.61万元，占7.3%，较年初预算数增加5.25万元，增长23.5%，主要原因是增加半年基础绩效社保费5.26万元。</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shd w:val="clear" w:color="auto" w:fill="FFFFFF"/>
        </w:rPr>
      </w:pPr>
      <w:r>
        <w:rPr>
          <w:rFonts w:ascii="方正仿宋_GBK" w:eastAsia="方正仿宋_GBK" w:cs="方正仿宋_GBK" w:hint="eastAsia"/>
          <w:color w:val="000000"/>
          <w:kern w:val="0"/>
          <w:sz w:val="32"/>
          <w:szCs w:val="32"/>
          <w:shd w:val="clear" w:color="auto" w:fill="FFFFFF"/>
        </w:rPr>
        <w:t>（3）卫生健康支出13.48万元，占3.6%，与年初预算数持平。</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Fonts w:ascii="方正仿宋_GBK" w:eastAsia="方正仿宋_GBK" w:cs="方正仿宋_GBK" w:hint="eastAsia"/>
          <w:color w:val="000000"/>
          <w:kern w:val="0"/>
          <w:sz w:val="32"/>
          <w:szCs w:val="32"/>
          <w:shd w:val="clear" w:color="auto" w:fill="FFFFFF"/>
        </w:rPr>
        <w:t>（4）住房保障支出11.18万元，占3%，与年初预算数持平。</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（四）一般公共预算财政拨款基本支出决算情况说明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both"/>
        <w:textAlignment w:val="auto"/>
        <w:rPr>
          <w:rFonts w:ascii="方正仿宋_GBK" w:eastAsia="方正仿宋_GBK" w:cs="方正仿宋_GBK" w:hint="eastAsia"/>
          <w:color w:val="000000"/>
          <w:kern w:val="0"/>
          <w:sz w:val="32"/>
          <w:szCs w:val="32"/>
        </w:rPr>
      </w:pPr>
      <w:r>
        <w:rPr>
          <w:rFonts w:ascii="方正仿宋_GBK" w:eastAsia="方正仿宋_GBK" w:cs="方正仿宋_GBK" w:hint="eastAsia"/>
          <w:color w:val="000000"/>
          <w:kern w:val="0"/>
          <w:sz w:val="32"/>
          <w:szCs w:val="32"/>
          <w:shd w:val="clear" w:color="auto" w:fill="FFFFFF"/>
        </w:rPr>
        <w:t>2022年度一般公共预算财政拨款基本支出294.83万元。其中：人员经费256.39万元。人员经费用途主要包括基本工资、津贴补贴、奖金、社会保障缴费、其他工资福利支出、退休人员健康休养费、职工住房公积金等。公用经费38.43万元，公用经费用途主要包括办公费、印刷费、邮电费、差旅费、会议费、培训费、公务接待费、工会经费、福利费、公务用车运行维护费等日常机关运行费用。</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（五）政府性基金预算收支决算情况说明。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shd w:val="clear" w:color="auto" w:fill="FFFFFF"/>
        </w:rPr>
      </w:pPr>
      <w:r>
        <w:rPr>
          <w:rFonts w:ascii="方正仿宋_GBK" w:eastAsia="方正仿宋_GBK" w:cs="方正仿宋_GBK" w:hint="eastAsia"/>
          <w:color w:val="000000"/>
          <w:kern w:val="0"/>
          <w:sz w:val="32"/>
          <w:szCs w:val="32"/>
          <w:shd w:val="clear" w:color="auto" w:fill="FFFFFF"/>
        </w:rPr>
        <w:t>本部门2022年度无政府性基金预算财政拨款收支。</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（六）国有资本经营预算财政拨款支出决算情况说明。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shd w:val="clear" w:color="auto" w:fill="FFFFFF"/>
        </w:rPr>
      </w:pPr>
      <w:r>
        <w:rPr>
          <w:rFonts w:ascii="方正仿宋_GBK" w:eastAsia="方正仿宋_GBK" w:cs="方正仿宋_GBK" w:hint="eastAsia"/>
          <w:color w:val="000000"/>
          <w:kern w:val="0"/>
          <w:sz w:val="32"/>
          <w:szCs w:val="32"/>
          <w:shd w:val="clear" w:color="auto" w:fill="FFFFFF"/>
        </w:rPr>
        <w:t>本部门2022年度无国有资本经营预算财政拨款支出。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黑体_GBK" w:eastAsia="方正黑体_GBK" w:cs="方正黑体_GBK" w:hint="eastAsia"/>
          <w:color w:val="000000"/>
          <w:kern w:val="0"/>
          <w:sz w:val="32"/>
          <w:szCs w:val="32"/>
        </w:rPr>
      </w:pPr>
      <w:r>
        <w:rPr>
          <w:rStyle w:val="28"/>
          <w:rFonts w:ascii="方正黑体_GBK" w:eastAsia="方正黑体_GBK" w:cs="方正黑体_GBK" w:hint="eastAsia"/>
          <w:b/>
          <w:bCs w:val="0"/>
          <w:color w:val="000000"/>
          <w:sz w:val="32"/>
          <w:szCs w:val="32"/>
          <w:shd w:val="clear" w:color="auto" w:fill="FFFFFF"/>
        </w:rPr>
        <w:t>三、“三公”经费情况说明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（一）“三公”经费支出总体情况说明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Fonts w:ascii="方正仿宋_GBK" w:eastAsia="方正仿宋_GBK" w:cs="方正仿宋_GBK" w:hint="eastAsia"/>
          <w:color w:val="000000"/>
          <w:kern w:val="0"/>
          <w:sz w:val="32"/>
          <w:szCs w:val="32"/>
          <w:shd w:val="clear" w:color="auto" w:fill="FFFFFF"/>
        </w:rPr>
        <w:t>2022年度“三公”经费支出共计0.28万元，较年初预算数减少1.22万元，下降80.7%，主要原因：一是我单位是重庆市江津区统计局下属二级单位，无公务用车，发生的“三公”经费多列支在区统计局账户，本单位列支较少；二是2022年受疫性影响，发生的接待费和公务车运行费减少幅度较大。</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（二）“三公”经费分项支出情况</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Fonts w:ascii="方正仿宋_GBK" w:eastAsia="方正仿宋_GBK" w:cs="方正仿宋_GBK" w:hint="eastAsia"/>
          <w:color w:val="000000"/>
          <w:kern w:val="0"/>
          <w:sz w:val="32"/>
          <w:szCs w:val="32"/>
          <w:shd w:val="clear" w:color="auto" w:fill="FFFFFF"/>
        </w:rPr>
        <w:t>2022年度本部门因公出国（境）费用0.00万元，费用支出较年初预算数增加0.00万元。。</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Fonts w:ascii="方正仿宋_GBK" w:eastAsia="方正仿宋_GBK" w:cs="方正仿宋_GBK" w:hint="eastAsia"/>
          <w:color w:val="000000"/>
          <w:kern w:val="0"/>
          <w:sz w:val="32"/>
          <w:szCs w:val="32"/>
          <w:shd w:val="clear" w:color="auto" w:fill="FFFFFF"/>
        </w:rPr>
        <w:t>公务车购置费0.00万元，费用支出较年初预算数增加0.00万元)。</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Fonts w:ascii="方正仿宋_GBK" w:eastAsia="方正仿宋_GBK" w:cs="方正仿宋_GBK" w:hint="eastAsia"/>
          <w:color w:val="000000"/>
          <w:kern w:val="0"/>
          <w:sz w:val="32"/>
          <w:szCs w:val="32"/>
          <w:shd w:val="clear" w:color="auto" w:fill="FFFFFF"/>
        </w:rPr>
        <w:t>公务车运行维护费0.00万元，费用支出较年初预算数增加0.00万元。</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both"/>
        <w:textAlignment w:val="auto"/>
        <w:rPr>
          <w:rFonts w:ascii="方正仿宋_GBK" w:eastAsia="方正仿宋_GBK" w:cs="方正仿宋_GBK" w:hint="eastAsia"/>
          <w:color w:val="000000"/>
          <w:kern w:val="0"/>
          <w:sz w:val="32"/>
          <w:szCs w:val="32"/>
          <w:shd w:val="clear" w:color="auto" w:fill="FFFFFF"/>
        </w:rPr>
      </w:pPr>
      <w:r>
        <w:rPr>
          <w:rFonts w:ascii="方正仿宋_GBK" w:eastAsia="方正仿宋_GBK" w:cs="方正仿宋_GBK" w:hint="eastAsia"/>
          <w:color w:val="000000"/>
          <w:kern w:val="0"/>
          <w:sz w:val="32"/>
          <w:szCs w:val="32"/>
          <w:shd w:val="clear" w:color="auto" w:fill="FFFFFF"/>
        </w:rPr>
        <w:t>公务接待费0.29万元，主要用于接待</w:t>
      </w:r>
      <w:r>
        <w:rPr>
          <w:rFonts w:ascii="方正仿宋_GBK" w:eastAsia="方正仿宋_GBK" w:cs="方正仿宋_GBK" w:hint="eastAsia"/>
          <w:color w:val="000000"/>
          <w:spacing w:val="0"/>
          <w:kern w:val="0"/>
          <w:sz w:val="32"/>
          <w:szCs w:val="32"/>
        </w:rPr>
        <w:t>国家、</w:t>
      </w:r>
      <w:r>
        <w:rPr>
          <w:rStyle w:val="26"/>
          <w:rFonts w:ascii="方正仿宋_GBK" w:eastAsia="方正仿宋_GBK" w:cs="方正仿宋_GBK" w:hint="eastAsia"/>
          <w:color w:val="000000"/>
          <w:sz w:val="32"/>
          <w:szCs w:val="32"/>
        </w:rPr>
        <w:t>市</w:t>
      </w:r>
      <w:r>
        <w:rPr>
          <w:rFonts w:ascii="方正仿宋_GBK" w:eastAsia="方正仿宋_GBK" w:cs="方正仿宋_GBK" w:hint="eastAsia"/>
          <w:color w:val="000000"/>
          <w:spacing w:val="0"/>
          <w:kern w:val="0"/>
          <w:sz w:val="32"/>
          <w:szCs w:val="32"/>
        </w:rPr>
        <w:t>统计局到江津检查指导工作</w:t>
      </w:r>
      <w:r>
        <w:rPr>
          <w:rFonts w:ascii="方正仿宋_GBK" w:eastAsia="方正仿宋_GBK" w:cs="方正仿宋_GBK" w:hint="eastAsia"/>
          <w:color w:val="000000"/>
          <w:spacing w:val="0"/>
          <w:kern w:val="0"/>
          <w:sz w:val="32"/>
          <w:szCs w:val="32"/>
          <w:shd w:val="clear" w:color="auto" w:fill="FFFFFF"/>
        </w:rPr>
        <w:t>。</w:t>
      </w:r>
      <w:r>
        <w:rPr>
          <w:rFonts w:ascii="方正仿宋_GBK" w:eastAsia="方正仿宋_GBK" w:cs="方正仿宋_GBK" w:hint="eastAsia"/>
          <w:color w:val="000000"/>
          <w:kern w:val="0"/>
          <w:sz w:val="32"/>
          <w:szCs w:val="32"/>
          <w:shd w:val="clear" w:color="auto" w:fill="FFFFFF"/>
        </w:rPr>
        <w:t>费用支出较年初预算数减少1.21万元，下降80.7%，主要原因一是我单位是重庆市江津区统计局下属二级单位，发生的接待费多列支在区统计局账户，本单位列支较少；二是2022年受疫性影响，发生的接待费大幅减少。</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（三）“三公”经费实物量情况</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Fonts w:ascii="方正仿宋_GBK" w:eastAsia="方正仿宋_GBK" w:cs="方正仿宋_GBK" w:hint="eastAsia"/>
          <w:color w:val="000000"/>
          <w:kern w:val="0"/>
          <w:sz w:val="32"/>
          <w:szCs w:val="32"/>
          <w:shd w:val="clear" w:color="auto" w:fill="FFFFFF"/>
        </w:rPr>
        <w:t>2022年度本部门因公出国（境）共计0个团组，0人；公务用车购置0辆，公务车保有量为0辆；国内公务接待5批次29人，其中：国内外事接待0批次，0人；国（境）外公务接待0批次，0人。2022年本部门人均接待费99.34元，车均购置费0.00万元，车均维护费0.00万元。</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黑体_GBK" w:eastAsia="方正黑体_GBK" w:cs="方正黑体_GBK" w:hint="eastAsia"/>
          <w:color w:val="000000"/>
          <w:kern w:val="0"/>
          <w:sz w:val="32"/>
          <w:szCs w:val="32"/>
        </w:rPr>
      </w:pPr>
      <w:r>
        <w:rPr>
          <w:rStyle w:val="28"/>
          <w:rFonts w:ascii="方正黑体_GBK" w:eastAsia="方正黑体_GBK" w:cs="方正黑体_GBK" w:hint="eastAsia"/>
          <w:b/>
          <w:bCs w:val="0"/>
          <w:color w:val="000000"/>
          <w:sz w:val="32"/>
          <w:szCs w:val="32"/>
          <w:shd w:val="clear" w:color="auto" w:fill="FFFFFF"/>
        </w:rPr>
        <w:t>四、其他需要说明的事项</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（一）机关运行经费支出情况说明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Fonts w:ascii="方正仿宋_GBK" w:eastAsia="方正仿宋_GBK" w:cs="方正仿宋_GBK" w:hint="eastAsia"/>
          <w:color w:val="000000"/>
          <w:kern w:val="0"/>
          <w:sz w:val="32"/>
          <w:szCs w:val="32"/>
          <w:shd w:val="clear" w:color="auto" w:fill="FFFFFF"/>
        </w:rPr>
        <w:t>2022年度本部门机关运行经费支出38.43万元，主要用于开支</w:t>
      </w:r>
      <w:r>
        <w:rPr>
          <w:rFonts w:ascii="方正仿宋_GBK" w:eastAsia="方正仿宋_GBK" w:cs="方正仿宋_GBK" w:hint="eastAsia"/>
          <w:color w:val="000000"/>
          <w:spacing w:val="0"/>
          <w:kern w:val="0"/>
          <w:sz w:val="32"/>
          <w:szCs w:val="32"/>
        </w:rPr>
        <w:t>办公费、印刷费、邮电费、差旅费、会议费、培训费、公务接待费、工会经费、福利费、公务用车运行维护费等</w:t>
      </w:r>
      <w:r>
        <w:rPr>
          <w:rFonts w:ascii="方正仿宋_GBK" w:eastAsia="方正仿宋_GBK" w:cs="方正仿宋_GBK" w:hint="eastAsia"/>
          <w:color w:val="000000"/>
          <w:spacing w:val="0"/>
          <w:kern w:val="0"/>
          <w:sz w:val="32"/>
          <w:szCs w:val="32"/>
          <w:shd w:val="clear" w:color="auto" w:fill="FFFFFF"/>
        </w:rPr>
        <w:t>。</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（二）国有资产占用情况说明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spacing w:val="0"/>
          <w:kern w:val="0"/>
          <w:sz w:val="32"/>
          <w:szCs w:val="32"/>
        </w:rPr>
      </w:pPr>
      <w:r>
        <w:rPr>
          <w:rFonts w:ascii="方正仿宋_GBK" w:eastAsia="方正仿宋_GBK" w:cs="方正仿宋_GBK" w:hint="eastAsia"/>
          <w:color w:val="000000"/>
          <w:spacing w:val="0"/>
          <w:kern w:val="0"/>
          <w:sz w:val="32"/>
          <w:szCs w:val="32"/>
        </w:rPr>
        <w:t>我单位资产数量为0，主要因我单位为重庆市江津区统计局二级单位，原资产全纳入区统计局报表，本单位决算报表中未列资产数量。”</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（三）政府采购支出说明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jc w:val="left"/>
        <w:textAlignment w:val="auto"/>
        <w:rPr>
          <w:rFonts w:ascii="方正仿宋_GBK" w:eastAsia="方正仿宋_GBK" w:cs="方正仿宋_GBK" w:hint="eastAsia"/>
          <w:color w:val="000000"/>
          <w:spacing w:val="0"/>
          <w:kern w:val="0"/>
          <w:sz w:val="32"/>
          <w:szCs w:val="32"/>
        </w:rPr>
      </w:pPr>
      <w:r>
        <w:rPr>
          <w:rFonts w:ascii="方正仿宋_GBK" w:eastAsia="方正仿宋_GBK" w:cs="方正仿宋_GBK" w:hint="eastAsia"/>
          <w:color w:val="000000"/>
          <w:spacing w:val="0"/>
          <w:kern w:val="0"/>
          <w:sz w:val="32"/>
          <w:szCs w:val="32"/>
        </w:rPr>
        <w:t>2022年度我单位未发生政府采购事项，无相关经费支出。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黑体_GBK" w:eastAsia="方正黑体_GBK" w:cs="方正黑体_GBK" w:hint="eastAsia"/>
          <w:color w:val="000000"/>
          <w:kern w:val="0"/>
          <w:sz w:val="32"/>
          <w:szCs w:val="32"/>
        </w:rPr>
      </w:pPr>
      <w:r>
        <w:rPr>
          <w:rStyle w:val="28"/>
          <w:rFonts w:ascii="方正黑体_GBK" w:eastAsia="方正黑体_GBK" w:cs="方正黑体_GBK" w:hint="eastAsia"/>
          <w:b/>
          <w:bCs w:val="0"/>
          <w:color w:val="000000"/>
          <w:sz w:val="32"/>
          <w:szCs w:val="32"/>
          <w:shd w:val="clear" w:color="auto" w:fill="FFFFFF"/>
        </w:rPr>
        <w:t>五、预算绩效管理情况说明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Fonts w:ascii="方正仿宋_GBK" w:eastAsia="方正仿宋_GBK" w:cs="方正仿宋_GBK" w:hint="eastAsia"/>
          <w:color w:val="000000"/>
          <w:kern w:val="0"/>
          <w:sz w:val="32"/>
          <w:szCs w:val="32"/>
          <w:shd w:val="clear" w:color="auto" w:fill="FFFFFF"/>
        </w:rPr>
        <w:t>根据预算绩效管理要求，我单位绩效评价在重庆市江津区统计局一并开展，无单独进行绩效评价。故无绩效自评表、自评报告及自评结果说明等相关资料，也无重点绩效评价资料</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黑体_GBK" w:eastAsia="方正黑体_GBK" w:cs="方正黑体_GBK" w:hint="eastAsia"/>
          <w:color w:val="000000"/>
          <w:kern w:val="0"/>
          <w:sz w:val="32"/>
          <w:szCs w:val="32"/>
        </w:rPr>
      </w:pPr>
      <w:r>
        <w:rPr>
          <w:rStyle w:val="28"/>
          <w:rFonts w:ascii="方正黑体_GBK" w:eastAsia="方正黑体_GBK" w:cs="方正黑体_GBK" w:hint="eastAsia"/>
          <w:b/>
          <w:bCs w:val="0"/>
          <w:color w:val="000000"/>
          <w:sz w:val="32"/>
          <w:szCs w:val="32"/>
          <w:shd w:val="clear" w:color="auto" w:fill="FFFFFF"/>
        </w:rPr>
        <w:t>六、专业名词解释</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（一）财政拨款收入</w:t>
      </w:r>
      <w:r>
        <w:rPr>
          <w:rFonts w:ascii="方正仿宋_GBK" w:eastAsia="方正仿宋_GBK" w:cs="方正仿宋_GBK" w:hint="eastAsia"/>
          <w:color w:val="000000"/>
          <w:kern w:val="0"/>
          <w:sz w:val="32"/>
          <w:szCs w:val="32"/>
          <w:shd w:val="clear" w:color="auto" w:fill="FFFFFF"/>
        </w:rPr>
        <w:t>：指本年度从本级财政部门取得的财政拨款，包括一般公共预算财政拨款和政府性基金预算财政拨款。</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（二）基本支出</w:t>
      </w:r>
      <w:r>
        <w:rPr>
          <w:rFonts w:ascii="方正仿宋_GBK" w:eastAsia="方正仿宋_GBK" w:cs="方正仿宋_GBK" w:hint="eastAsia"/>
          <w:color w:val="000000"/>
          <w:kern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（三）项目支出</w:t>
      </w:r>
      <w:r>
        <w:rPr>
          <w:rFonts w:ascii="方正仿宋_GBK" w:eastAsia="方正仿宋_GBK" w:cs="方正仿宋_GBK" w:hint="eastAsia"/>
          <w:color w:val="000000"/>
          <w:kern w:val="0"/>
          <w:sz w:val="32"/>
          <w:szCs w:val="32"/>
          <w:shd w:val="clear" w:color="auto" w:fill="FFFFFF"/>
        </w:rPr>
        <w:t>：指在基本支出之外为完成专项统计调查所发生的支出。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（四）“三公”经费</w:t>
      </w:r>
      <w:r>
        <w:rPr>
          <w:rFonts w:ascii="方正仿宋_GBK" w:eastAsia="方正仿宋_GBK" w:cs="方正仿宋_GBK" w:hint="eastAsia"/>
          <w:color w:val="000000"/>
          <w:kern w:val="0"/>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（五）机关运行经费</w:t>
      </w:r>
      <w:r>
        <w:rPr>
          <w:rFonts w:ascii="方正仿宋_GBK" w:eastAsia="方正仿宋_GBK" w:cs="方正仿宋_GBK" w:hint="eastAsia"/>
          <w:color w:val="000000"/>
          <w:kern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（六）工资福利支出（支出经济分类科目类级）</w:t>
      </w:r>
      <w:r>
        <w:rPr>
          <w:rFonts w:ascii="方正仿宋_GBK" w:eastAsia="方正仿宋_GBK" w:cs="方正仿宋_GBK" w:hint="eastAsia"/>
          <w:color w:val="000000"/>
          <w:kern w:val="0"/>
          <w:sz w:val="32"/>
          <w:szCs w:val="32"/>
          <w:shd w:val="clear" w:color="auto" w:fill="FFFFFF"/>
        </w:rPr>
        <w:t>：反映单位开支的在职职工和编制外长期聘用人员的各类劳动报酬，以及为上述人员缴纳的各项社会保险费等。</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（七）商品和服务支出（支出经济分类科目类级）</w:t>
      </w:r>
      <w:r>
        <w:rPr>
          <w:rFonts w:ascii="方正仿宋_GBK" w:eastAsia="方正仿宋_GBK" w:cs="方正仿宋_GBK" w:hint="eastAsia"/>
          <w:color w:val="000000"/>
          <w:kern w:val="0"/>
          <w:sz w:val="32"/>
          <w:szCs w:val="32"/>
          <w:shd w:val="clear" w:color="auto" w:fill="FFFFFF"/>
        </w:rPr>
        <w:t>：反映单位购买商品和服务的支出（不包括用于购置固定资产的支出、战略性和应急储备支出）。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both"/>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（八）对个人和家庭的补助（支出经济分类科目类级）</w:t>
      </w:r>
      <w:r>
        <w:rPr>
          <w:rFonts w:ascii="方正仿宋_GBK" w:eastAsia="方正仿宋_GBK" w:cs="方正仿宋_GBK" w:hint="eastAsia"/>
          <w:color w:val="000000"/>
          <w:kern w:val="0"/>
          <w:sz w:val="32"/>
          <w:szCs w:val="32"/>
          <w:shd w:val="clear" w:color="auto" w:fill="FFFFFF"/>
        </w:rPr>
        <w:t>：反映用于对个人和家庭的补助支出。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Style w:val="28"/>
          <w:rFonts w:ascii="方正仿宋_GBK" w:eastAsia="方正仿宋_GBK" w:cs="方正仿宋_GBK" w:hint="eastAsia"/>
          <w:b/>
          <w:bCs w:val="0"/>
          <w:color w:val="000000"/>
          <w:sz w:val="32"/>
          <w:szCs w:val="32"/>
          <w:shd w:val="clear" w:color="auto" w:fill="FFFFFF"/>
        </w:rPr>
        <w:t>（九）其他资本性支出（支出经济分类科目类级）</w:t>
      </w:r>
      <w:r>
        <w:rPr>
          <w:rFonts w:ascii="方正仿宋_GBK" w:eastAsia="方正仿宋_GBK" w:cs="方正仿宋_GBK" w:hint="eastAsia"/>
          <w:color w:val="000000"/>
          <w:kern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黑体_GBK" w:eastAsia="方正黑体_GBK" w:cs="方正黑体_GBK" w:hint="eastAsia"/>
          <w:color w:val="000000"/>
          <w:kern w:val="0"/>
          <w:sz w:val="32"/>
          <w:szCs w:val="32"/>
        </w:rPr>
      </w:pPr>
      <w:r>
        <w:rPr>
          <w:rStyle w:val="28"/>
          <w:rFonts w:ascii="方正黑体_GBK" w:eastAsia="方正黑体_GBK" w:cs="方正黑体_GBK" w:hint="eastAsia"/>
          <w:b/>
          <w:bCs w:val="0"/>
          <w:color w:val="000000"/>
          <w:sz w:val="32"/>
          <w:szCs w:val="32"/>
          <w:shd w:val="clear" w:color="auto" w:fill="FFFFFF"/>
        </w:rPr>
        <w:t>七、决算公开联系方式及信息反馈渠道</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方正仿宋_GBK" w:eastAsia="方正仿宋_GBK" w:cs="方正仿宋_GBK" w:hint="eastAsia"/>
          <w:color w:val="000000"/>
          <w:kern w:val="0"/>
          <w:sz w:val="32"/>
          <w:szCs w:val="32"/>
        </w:rPr>
      </w:pPr>
      <w:r>
        <w:rPr>
          <w:rFonts w:ascii="方正仿宋_GBK" w:eastAsia="方正仿宋_GBK" w:cs="方正仿宋_GBK" w:hint="eastAsia"/>
          <w:color w:val="000000"/>
          <w:kern w:val="0"/>
          <w:sz w:val="32"/>
          <w:szCs w:val="32"/>
          <w:shd w:val="clear" w:color="auto" w:fill="FFFFFF"/>
        </w:rPr>
        <w:t>本单位决算公开信息反馈和联系方式：</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40" w:lineRule="exact"/>
        <w:ind w:left="0" w:firstLineChars="200" w:firstLine="640"/>
        <w:jc w:val="left"/>
        <w:textAlignment w:val="auto"/>
        <w:rPr>
          <w:rFonts w:ascii="宋体" w:eastAsia="宋体" w:cs="宋体" w:hint="eastAsia"/>
          <w:kern w:val="0"/>
          <w:sz w:val="24"/>
          <w:szCs w:val="24"/>
        </w:rPr>
      </w:pPr>
      <w:r>
        <w:rPr>
          <w:rFonts w:ascii="方正仿宋_GBK" w:eastAsia="方正仿宋_GBK" w:cs="方正仿宋_GBK" w:hint="eastAsia"/>
          <w:color w:val="000000"/>
          <w:kern w:val="0"/>
          <w:sz w:val="32"/>
          <w:szCs w:val="32"/>
          <w:shd w:val="clear" w:color="auto" w:fill="FFFFFF"/>
        </w:rPr>
        <w:t>何洪容   023-81220517</w:t>
      </w:r>
    </w:p>
    <w:sectPr>
      <w:pgSz w:w="11915" w:h="16851"/>
      <w:pgMar w:top="1440" w:right="1474" w:bottom="1412" w:left="1587" w:header="851" w:footer="992" w:gutter="0"/>
      <w:docGrid w:type="lines" w:linePitch="33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20"/>
  <w:drawingGridVerticalSpacing w:val="157"/>
  <w:displayHorizontalDrawingGridEvery w:val="0"/>
  <w:displayVerticalDrawingGridEvery w:val="2"/>
  <w:noPunctuationKerning/>
  <w:compat>
    <w:spaceForUL/>
    <w:growAutofit/>
    <w:useAltKinsokuLineBreakRules/>
    <w:splitPgBreakAndParaMark/>
    <w:compatSetting w:name="compatibilityMode" w:uri="http://schemas.microsoft.com/office/word" w:val="14"/>
  </w:compat>
  <w:docVars>
    <w:docVars w:name="commondata" w:val="eyJoZGlkIjoiNDU2ODVkMGU0MDk2MmQ3YmJkZjNjZTUwYmY0NzQ0Mz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before="0" w:beforeAutospacing="0" w:after="0" w:afterAutospacing="0"/>
      <w:ind w:left="0" w:right="0"/>
      <w:jc w:val="left"/>
    </w:pPr>
    <w:rPr>
      <w:rFonts w:ascii="宋体" w:eastAsia="宋体" w:cs="宋体"/>
      <w:kern w:val="0"/>
      <w:sz w:val="24"/>
      <w:szCs w:val="24"/>
      <w:lang w:val="en-US" w:eastAsia="zh-CN"/>
    </w:rPr>
  </w:style>
  <w:style w:type="paragraph" w:styleId="1">
    <w:name w:val="heading 1"/>
    <w:basedOn w:val="0"/>
    <w:next w:val="0"/>
    <w:pPr>
      <w:spacing w:before="0" w:beforeAutospacing="1" w:after="0" w:afterAutospacing="1"/>
      <w:ind w:left="0" w:right="0"/>
      <w:jc w:val="left"/>
    </w:pPr>
    <w:rPr>
      <w:rFonts w:ascii="宋体" w:eastAsia="宋体" w:cs="宋体"/>
      <w:b/>
      <w:bCs/>
      <w:kern w:val="44"/>
      <w:sz w:val="48"/>
      <w:szCs w:val="48"/>
      <w:lang w:val="en-US" w:eastAsia="zh-CN"/>
    </w:rPr>
  </w:style>
  <w:style w:type="paragraph" w:styleId="2">
    <w:name w:val="heading 2"/>
    <w:basedOn w:val="0"/>
    <w:next w:val="0"/>
    <w:pPr>
      <w:spacing w:before="0" w:beforeAutospacing="1" w:after="0" w:afterAutospacing="1"/>
      <w:ind w:left="0" w:right="0"/>
      <w:jc w:val="left"/>
    </w:pPr>
    <w:rPr>
      <w:rFonts w:ascii="宋体" w:eastAsia="宋体" w:cs="宋体"/>
      <w:b/>
      <w:bCs/>
      <w:kern w:val="0"/>
      <w:sz w:val="36"/>
      <w:szCs w:val="36"/>
      <w:lang w:val="en-US" w:eastAsia="zh-CN"/>
    </w:rPr>
  </w:style>
  <w:style w:type="paragraph" w:styleId="3">
    <w:name w:val="heading 3"/>
    <w:basedOn w:val="0"/>
    <w:next w:val="0"/>
    <w:pPr>
      <w:spacing w:before="0" w:beforeAutospacing="1" w:after="0" w:afterAutospacing="1"/>
      <w:ind w:left="0" w:right="0"/>
      <w:jc w:val="left"/>
    </w:pPr>
    <w:rPr>
      <w:rFonts w:ascii="宋体" w:eastAsia="宋体" w:cs="宋体"/>
      <w:b/>
      <w:bCs/>
      <w:kern w:val="0"/>
      <w:sz w:val="27"/>
      <w:szCs w:val="27"/>
      <w:lang w:val="en-US" w:eastAsia="zh-CN"/>
    </w:rPr>
  </w:style>
  <w:style w:type="paragraph" w:styleId="4">
    <w:name w:val="heading 4"/>
    <w:basedOn w:val="0"/>
    <w:next w:val="0"/>
    <w:pPr>
      <w:spacing w:before="0" w:beforeAutospacing="1" w:after="0" w:afterAutospacing="1"/>
      <w:ind w:left="0" w:right="0"/>
      <w:jc w:val="left"/>
    </w:pPr>
    <w:rPr>
      <w:rFonts w:ascii="宋体" w:eastAsia="宋体" w:cs="宋体"/>
      <w:b/>
      <w:bCs/>
      <w:kern w:val="0"/>
      <w:sz w:val="24"/>
      <w:szCs w:val="24"/>
      <w:lang w:val="en-US" w:eastAsia="zh-CN"/>
    </w:rPr>
  </w:style>
  <w:style w:type="paragraph" w:styleId="5">
    <w:name w:val="heading 5"/>
    <w:basedOn w:val="0"/>
    <w:next w:val="0"/>
    <w:pPr>
      <w:spacing w:before="0" w:beforeAutospacing="1" w:after="0" w:afterAutospacing="1"/>
      <w:ind w:left="0" w:right="0"/>
      <w:jc w:val="left"/>
    </w:pPr>
    <w:rPr>
      <w:rFonts w:ascii="宋体" w:eastAsia="宋体" w:cs="宋体"/>
      <w:b/>
      <w:bCs/>
      <w:kern w:val="0"/>
      <w:sz w:val="20"/>
      <w:szCs w:val="20"/>
      <w:lang w:val="en-US" w:eastAsia="zh-CN"/>
    </w:rPr>
  </w:style>
  <w:style w:type="paragraph" w:styleId="6">
    <w:name w:val="heading 6"/>
    <w:basedOn w:val="0"/>
    <w:next w:val="0"/>
    <w:pPr>
      <w:spacing w:before="0" w:beforeAutospacing="1" w:after="0" w:afterAutospacing="1"/>
      <w:ind w:left="0" w:right="0"/>
      <w:jc w:val="left"/>
    </w:pPr>
    <w:rPr>
      <w:rFonts w:ascii="宋体" w:eastAsia="宋体" w:cs="宋体"/>
      <w:b/>
      <w:bCs/>
      <w:kern w:val="0"/>
      <w:sz w:val="15"/>
      <w:szCs w:val="15"/>
      <w:lang w:val="en-US" w:eastAsia="zh-CN"/>
    </w:rPr>
  </w:style>
  <w:style w:type="character" w:default="1" w:styleId="10">
    <w:name w:val="Default Paragraph Font"/>
  </w:style>
  <w:style w:type="paragraph" w:styleId="15">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16">
    <w:name w:val="Normal (Web)"/>
    <w:basedOn w:val="0"/>
    <w:pPr>
      <w:spacing w:before="0" w:beforeAutospacing="1" w:after="0" w:afterAutospacing="1"/>
      <w:ind w:left="0" w:right="0"/>
      <w:jc w:val="left"/>
    </w:pPr>
    <w:rPr>
      <w:rFonts w:ascii="宋体" w:eastAsia="宋体" w:cs="宋体"/>
      <w:kern w:val="0"/>
      <w:sz w:val="24"/>
      <w:szCs w:val="24"/>
      <w:lang w:val="en-US" w:eastAsia="zh-CN"/>
    </w:rPr>
  </w:style>
  <w:style w:type="paragraph" w:customStyle="1" w:styleId="17">
    <w:name w:val="HTML 预设格式 Char"/>
    <w:basedOn w:val="0"/>
    <w:pPr>
      <w:spacing w:before="0" w:beforeAutospacing="0" w:after="0" w:afterAutospacing="0"/>
      <w:ind w:left="0" w:right="0"/>
      <w:jc w:val="left"/>
    </w:pPr>
    <w:rPr>
      <w:rFonts w:ascii="宋体" w:eastAsia="宋体" w:cs="宋体"/>
      <w:kern w:val="0"/>
      <w:sz w:val="24"/>
      <w:szCs w:val="24"/>
      <w:lang w:val="en-US" w:eastAsia="zh-CN"/>
    </w:rPr>
  </w:style>
  <w:style w:type="paragraph" w:customStyle="1" w:styleId="18">
    <w:name w:val="普通(网站) Char"/>
    <w:basedOn w:val="0"/>
    <w:pPr>
      <w:spacing w:before="0" w:beforeAutospacing="1" w:after="0" w:afterAutospacing="1"/>
      <w:ind w:left="0" w:right="0"/>
      <w:jc w:val="left"/>
    </w:pPr>
    <w:rPr>
      <w:rFonts w:ascii="宋体" w:eastAsia="宋体" w:cs="宋体"/>
      <w:kern w:val="0"/>
      <w:sz w:val="24"/>
      <w:szCs w:val="24"/>
      <w:lang w:val="en-US" w:eastAsia="zh-CN"/>
    </w:rPr>
  </w:style>
  <w:style w:type="paragraph" w:customStyle="1" w:styleId="19">
    <w:name w:val="p Char"/>
    <w:basedOn w:val="0"/>
    <w:pPr>
      <w:spacing w:before="0" w:beforeAutospacing="1" w:after="0" w:afterAutospacing="1"/>
      <w:ind w:left="0" w:right="0"/>
      <w:jc w:val="left"/>
    </w:pPr>
    <w:rPr>
      <w:rFonts w:ascii="宋体" w:eastAsia="宋体" w:cs="宋体"/>
      <w:kern w:val="0"/>
      <w:sz w:val="24"/>
      <w:szCs w:val="24"/>
      <w:lang w:val="en-US" w:eastAsia="zh-CN"/>
    </w:rPr>
  </w:style>
  <w:style w:type="character" w:customStyle="1" w:styleId="20">
    <w:name w:val="19"/>
    <w:basedOn w:val="10"/>
    <w:rPr>
      <w:rFonts w:ascii="Times New Roman" w:cs="Times New Roman" w:hAnsi="Times New Roman"/>
      <w:b/>
    </w:rPr>
  </w:style>
  <w:style w:type="paragraph" w:customStyle="1" w:styleId="21">
    <w:name w:val="pre Char"/>
    <w:basedOn w:val="0"/>
    <w:pPr>
      <w:spacing w:before="0" w:beforeAutospacing="0" w:after="0" w:afterAutospacing="0"/>
      <w:ind w:left="0" w:right="0"/>
      <w:jc w:val="left"/>
    </w:pPr>
    <w:rPr>
      <w:rFonts w:ascii="宋体" w:eastAsia="宋体" w:cs="宋体"/>
      <w:kern w:val="0"/>
      <w:sz w:val="24"/>
      <w:szCs w:val="24"/>
      <w:lang w:val="en-US" w:eastAsia="zh-CN"/>
    </w:rPr>
  </w:style>
  <w:style w:type="character" w:customStyle="1" w:styleId="22">
    <w:name w:val="18"/>
    <w:basedOn w:val="10"/>
    <w:rPr>
      <w:rFonts w:ascii="Times New Roman" w:cs="Times New Roman" w:hAnsi="Times New Roman"/>
    </w:rPr>
  </w:style>
  <w:style w:type="character" w:customStyle="1" w:styleId="23">
    <w:name w:val="10"/>
    <w:basedOn w:val="10"/>
    <w:rPr>
      <w:rFonts w:ascii="Times New Roman" w:cs="Times New Roman" w:hAnsi="Times New Roman"/>
    </w:rPr>
  </w:style>
  <w:style w:type="character" w:customStyle="1" w:styleId="24">
    <w:name w:val="15"/>
    <w:basedOn w:val="10"/>
    <w:rPr>
      <w:rFonts w:ascii="Times New Roman" w:cs="Times New Roman" w:hAnsi="Times New Roman"/>
    </w:rPr>
  </w:style>
  <w:style w:type="character" w:customStyle="1" w:styleId="25">
    <w:name w:val="16"/>
    <w:basedOn w:val="10"/>
    <w:rPr>
      <w:rFonts w:ascii="Times New Roman" w:cs="Times New Roman" w:hAnsi="Times New Roman"/>
    </w:rPr>
  </w:style>
  <w:style w:type="character" w:customStyle="1" w:styleId="26">
    <w:name w:val="17"/>
    <w:basedOn w:val="10"/>
    <w:rPr>
      <w:rFonts w:ascii="Times New Roman" w:cs="Times New Roman" w:hAnsi="Times New Roman"/>
    </w:rPr>
  </w:style>
  <w:style w:type="character" w:customStyle="1" w:styleId="27">
    <w:name w:val="20"/>
    <w:basedOn w:val="10"/>
    <w:rPr>
      <w:rFonts w:ascii="Times New Roman" w:cs="Times New Roman" w:hAnsi="Times New Roman"/>
    </w:rPr>
  </w:style>
  <w:style w:type="character" w:customStyle="1" w:styleId="28">
    <w:name w:val="21"/>
    <w:basedOn w:val="10"/>
    <w:rPr>
      <w:rFonts w:ascii="Times New Roman" w:cs="Times New Roman" w:hAnsi="Times New Roman"/>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6</Pages>
  <Words>2964</Words>
  <Characters>3222</Characters>
  <Lines>144</Lines>
  <Paragraphs>58</Paragraphs>
  <CharactersWithSpaces>3232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qwee</dc:creator>
  <cp:lastModifiedBy>Microsoft</cp:lastModifiedBy>
  <cp:revision>1</cp:revision>
  <dcterms:created xsi:type="dcterms:W3CDTF">2023-08-22T09:35:08Z</dcterms:created>
  <dcterms:modified xsi:type="dcterms:W3CDTF">2024-09-03T02:57:54Z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9036591241844ED08F993903BB389835_13</vt:lpwstr>
  </property>
</Properties>
</file>