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重庆市江津区统计局2021年度</w:t>
      </w:r>
    </w:p>
    <w:p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部门决算情况说明</w:t>
      </w:r>
    </w:p>
    <w:p>
      <w:pPr>
        <w:spacing w:line="560" w:lineRule="exact"/>
        <w:rPr>
          <w:rFonts w:hint="eastAsia"/>
        </w:rPr>
      </w:pPr>
      <w:r>
        <w:t xml:space="preserve">  </w:t>
      </w:r>
    </w:p>
    <w:p>
      <w:pPr>
        <w:spacing w:line="560" w:lineRule="exact"/>
        <w:ind w:firstLineChars="200" w:firstLine="640"/>
        <w:rPr>
          <w:rFonts w:hint="eastAsia"/>
        </w:rPr>
      </w:pPr>
      <w:r>
        <w:rPr>
          <w:rFonts w:ascii="黑体" w:eastAsia="黑体" w:hint="eastAsia"/>
          <w:sz w:val="32"/>
          <w:szCs w:val="32"/>
        </w:rPr>
        <w:t>一、部门基本情况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（一）职能职责。</w:t>
      </w:r>
      <w:r>
        <w:rPr>
          <w:rFonts w:ascii="方正仿宋_GBK" w:eastAsia="方正仿宋_GBK" w:hint="eastAsia"/>
          <w:sz w:val="32"/>
          <w:szCs w:val="32"/>
        </w:rPr>
        <w:t>1.组织领导和管理全区统计工作，确保统计数据真实、准确、及时的责任；组织实施国家统计制度、统计标准和发展规划；制定并组织实施地方统计调查制度。2.贯彻执行统计法律、法规、规章和方针政策；查处统计违法违纪行为；依法对涉外调查事务、民间统计进行监督管理。3.管理和指导镇街、园区、部门（行业）统计工作；协调政府综合统计与部门统计之间的关系；依法对部门统计数据进行审核、评估；依法管理全区统计调查项目；加强全区统计基层基础工作。4.组织实施综合统计、工业统计、能源统计、商贸统计、建筑及房地产统计、投资统计、利用内资统计、劳动工资统计、文化产业统计、服务业统计、两纲监测统计、科技统计、小康监测统计、战略性新兴产业统计等专项统计工作；组织实施新型金融业调查、小企业投资调查、小企业创新调查、企业景气调查、人口抽样调查、规下工业调查、规下服务业调查、限下商贸业调查、规下企业劳动工资调查、企业用工调查、四众平台专项统计调查、城乡属性调查、新兴工业企业调查、企业电子统计台账建设、基本单位名录库维护等工作，搜集、整理和提供相关数据。5．组织实施全区人口普查、经济普查、农业普查等工作，负责普查资料开发和普查数据库建设工作，发布普查公报，开发、应用普查资料。6.组织实施全区国民经济核算制度；核算全区及镇街生产总值；搜集、整理和提供国民经济核算有关资料。7.建立有关统计数据质量审核、评估和监控制度；整理、核定、管理、提供、发布全区基本统计资料；发布全区国民经济和社会发展情况的统计信息，建立和管理全区经济社会发展综合统计数据库。8.对国民经济、社会发展、科技进步、能源资源、环境等情况进行统计分析、统计预警和统计监督；建立健全全区经济社会发展的统计监测和评价体系，加强动态监测和决策咨询服务；参与对镇街、园区、区级部门的综合考核评价工作。9.负责全区统计信息化建设规划；建设和管理全区经济社会发展综合统计数据库；负责建立统计数据库和网络的基本标准与运行规则，整理、核定、管理、提供、发布全区基本统计资料；发布全区国民经济和社会发展情况的统计信息；加强对全区统计信息发布的规范管理，组织建立统计信息共享制度和发布制度。10.协助镇（街）做好全区统计管理工作，开展统计人员的专业技术培训、统计职称考试等工作。11.承办区政府交办的其他事项。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（二）机构设置。</w:t>
      </w:r>
      <w:r>
        <w:rPr>
          <w:rFonts w:ascii="方正仿宋_GBK" w:eastAsia="方正仿宋_GBK" w:hint="eastAsia"/>
          <w:sz w:val="32"/>
          <w:szCs w:val="32"/>
        </w:rPr>
        <w:t>我局为行政机关，独立核算单位，内设综合统计调查科、工业能源统计科、建设贸易统计科和局办公室4个职能科室，下属江津区社会经济调查队是全额拨款事业单位，财务上与区统计局一并核算。</w:t>
      </w:r>
    </w:p>
    <w:p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二、部门决算情况说明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（一）收入支出决算总体情况说明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1.总体情况。</w:t>
      </w:r>
      <w:r>
        <w:rPr>
          <w:rFonts w:ascii="方正仿宋_GBK" w:eastAsia="方正仿宋_GBK" w:hint="eastAsia"/>
          <w:sz w:val="32"/>
          <w:szCs w:val="32"/>
        </w:rPr>
        <w:t>2021年度收入总计1,817.15万元，支出总计1,817.15万元。收支较上年决算数减少160.14万元、下降8.1%，主要原因是：第七次全国人口普查工作较上年减少，普查经费减少288.84万元。虽因人员增加，工资及公用经费等增加了56.70万元、人口抽样调查等专项统计经费增加了16.32万元、市级下拨的抽样调查网络经费增加了30.68万元、第四次全国经济普查课题研究经费增加了25.00万元，但全年总收入较上年仍减少160.14万元。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2.收入情况。</w:t>
      </w:r>
      <w:r>
        <w:rPr>
          <w:rFonts w:ascii="方正仿宋_GBK" w:eastAsia="方正仿宋_GBK" w:hint="eastAsia"/>
          <w:sz w:val="32"/>
          <w:szCs w:val="32"/>
        </w:rPr>
        <w:t>2021年度收入合计1,751.91万元，较上年决算数减少221.52万元，下降11.2%，主要原因是：第七次全国人口普查工作量减少，普查经费减少343.84万元（其中55.00万元是上年结转经费）。虽人员经费、人口抽样专项经费、抽样调查网络经费等增加，但总体收入较上年减少了221.52万元。其中：财政拨款收入1,751.91万元，占100%；年初结转和结余65.24万元。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3.支出情况。</w:t>
      </w:r>
      <w:r>
        <w:rPr>
          <w:rFonts w:ascii="方正仿宋_GBK" w:eastAsia="方正仿宋_GBK" w:hint="eastAsia"/>
          <w:sz w:val="32"/>
          <w:szCs w:val="32"/>
        </w:rPr>
        <w:t>2021年度支出合计1,817.15万元，较上年决算数减少94.90万元，下降5%，主要原因是：第七次全国人口普查工作量减少，普查经费减少。其中：基本支出717.76万元，占39.5%；项目支出1,099.40万元，占60.5%。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4.结转结余情况。</w:t>
      </w:r>
      <w:r>
        <w:rPr>
          <w:rFonts w:ascii="方正仿宋_GBK" w:eastAsia="方正仿宋_GBK" w:hint="eastAsia"/>
          <w:sz w:val="32"/>
          <w:szCs w:val="32"/>
        </w:rPr>
        <w:t>2021年度年末无结转和结余资金，较上年决算数减少65.24万元，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下降100%，主要原因是：2020年结转结余资金主要为市级下拨的第七次全国人口普查经费55.0万元和抽样调查网络经费10.24万元，2021年对市级下拨的经费全额支付，年终无结余。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（二）财政拨款收入支出决算总体情况说明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2021年度财政拨款收、支总计1,817.15万元。与2020年相比，财政拨款收、支总计各减少160.14万元，下降8.1%。主要原因是：我局为全额拨款单位，无额外收入来源。财政在下拨经费时都确定了具体用途，如无人员变动、政策变化或工作内容变化，经费支出与收入用途基本一致。本年支出较上年减少主要是第七次全国人口普查工作量减少，普查经费减少较多。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（三）一般公共预算财政拨款收入支出决算情况说明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1.收入情况。</w:t>
      </w:r>
      <w:r>
        <w:rPr>
          <w:rFonts w:ascii="方正仿宋_GBK" w:eastAsia="方正仿宋_GBK" w:hint="eastAsia"/>
          <w:sz w:val="32"/>
          <w:szCs w:val="32"/>
        </w:rPr>
        <w:t>2021年度一般公共预算财政拨款收入1,751.91万元，较上年决算数减少221.52万元，下降11.2%。主要原因是：我局收入全部为一般公共预算财政拨款收入，主要是第七次全国人口普查工作量减少，普查经费减少较多。较年初预算数减少116.21万元，下降6.2%。主要原因是：一是2021年贯彻减税降费政策要求，追减项目经费73.00万元；二是机关人员考核办法变化，追减了平时考核等人员费用43.21万元。此外，年初财政拨款结转和结余65.24万元。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 xml:space="preserve"> 2.支出情况。</w:t>
      </w:r>
      <w:r>
        <w:rPr>
          <w:rFonts w:ascii="方正仿宋_GBK" w:eastAsia="方正仿宋_GBK" w:hint="eastAsia"/>
          <w:sz w:val="32"/>
          <w:szCs w:val="32"/>
        </w:rPr>
        <w:t>2021年度一般公共预算财政拨款支出1,817.15万元，较上年决算数减少94.90万元，下降5%。主要原因是：第七次全国人口普查工作量减少，普查经费减少较多。较年初预算数减少50.97万元，下降2.7%。主要原因：一是2021年贯彻减税降费政策要求，追减项目经费73.00万元；二是机关人员考核办法变化，追减了平时考核等人员费用43.21万元，但支出中包括2020年结转结余和项目经费65.24万元。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3.结转结余情况。</w:t>
      </w:r>
      <w:r>
        <w:rPr>
          <w:rFonts w:ascii="方正仿宋_GBK" w:eastAsia="方正仿宋_GBK" w:hint="eastAsia"/>
          <w:sz w:val="32"/>
          <w:szCs w:val="32"/>
        </w:rPr>
        <w:t>2021年度年末无一般公共预算财政拨款结转和结余，较上年决算数减少65.24万元，下降100%，主要原因是2020年结转结余资金主要为市级下拨的第七次全国人口普查经费55万元和抽样调查网络经费10.24万元，2022年对市级下拨的经费全额支付，年终无结余。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4.比较情况。</w:t>
      </w:r>
      <w:r>
        <w:rPr>
          <w:rFonts w:ascii="方正仿宋_GBK" w:eastAsia="方正仿宋_GBK" w:hint="eastAsia"/>
          <w:sz w:val="32"/>
          <w:szCs w:val="32"/>
        </w:rPr>
        <w:t>本部门2021年度一般公共预算财政拨款支出主要用于以下几个方面：</w:t>
      </w:r>
    </w:p>
    <w:p>
      <w:pPr>
        <w:spacing w:line="560" w:lineRule="exact"/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1）一般公共服务支出1,659.55万元，占91.3%，较年初预算数减少59.18万元，下降3.4%，主要原因是：贯彻减税降费政策要求，追减项目经费73.00万元，扣除因机关人员变动而增加了人员经费外，较年初预算数还减少59.18万元。</w:t>
      </w:r>
    </w:p>
    <w:p>
      <w:pPr>
        <w:spacing w:line="560" w:lineRule="exact"/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（2）教育支出3.66万元，占0.2%，与年初预算数持平。</w:t>
      </w:r>
    </w:p>
    <w:p>
      <w:pPr>
        <w:spacing w:line="560" w:lineRule="exact"/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（3）社会保障与就业支出97.31万元，占5.4%，较年初预算数增加16.79万元，增长20.9%，主要原因是追加了职业年金利息部分，在职人员增加，增加了费用支出。</w:t>
      </w:r>
    </w:p>
    <w:p>
      <w:pPr>
        <w:spacing w:line="560" w:lineRule="exact"/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（4）卫生健康支出27.37万元，占1.5%，较年初预算数减少8.59万元，下降23.9%，主要原因是在职人员增加，增加了费用支出。</w:t>
      </w:r>
    </w:p>
    <w:p>
      <w:pPr>
        <w:spacing w:line="560" w:lineRule="exact"/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（5）住房保障支出29.26万元，占1.6%，与年初预算数持平。</w:t>
      </w:r>
    </w:p>
    <w:p>
      <w:pPr>
        <w:spacing w:line="560" w:lineRule="exact"/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（四）一般公共预算财政拨款基本支出决算情况说明</w:t>
      </w:r>
    </w:p>
    <w:p>
      <w:pPr>
        <w:spacing w:line="560" w:lineRule="exact"/>
        <w:ind w:firstLine="63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2021年度一般公共财政拨款基本支出717.76万元。其中：人员经费612.12万元，较上年决算数增加44.16万元，增长7.8%，主要原因是在职人员增加。人员经费用途主要包括基本工资、津贴补贴、奖金、社会保障缴费、其他工资福利支出、退休人员健康休养费、职工住房公积金等。公用经费105.64万元，较上年决算数增加12.86万元，增长13.9%，主要原因：一是在职人员增加；二是公用经费弥补年初预算人员经费不足部分。公用经费用途主要包括办公费、印刷费、邮电费、差旅费、会议费、培训费、公务接待费、工会经费、福利费、公务用车运行维护费等。</w:t>
      </w:r>
    </w:p>
    <w:p>
      <w:pPr>
        <w:spacing w:line="560" w:lineRule="exact"/>
        <w:ind w:firstLine="630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（五）政府性基金预算收支决算情况说明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我单位2021年无政府性基金预算财政拨款收支。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（六）国有资本经营预算财政拨款支出决算情况说明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我单位2021年度无国有资本经营预算财政拨款支出。</w:t>
      </w:r>
    </w:p>
    <w:p>
      <w:pPr>
        <w:spacing w:line="560" w:lineRule="exact"/>
        <w:ind w:firstLineChars="250" w:firstLine="80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三、“三公”经费情况说明</w:t>
      </w:r>
    </w:p>
    <w:p>
      <w:pPr>
        <w:spacing w:line="560" w:lineRule="exact"/>
        <w:ind w:firstLineChars="150" w:firstLine="480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（一）“三公”经费支出总体情况说明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2021年度“三公”经费支出共计3.38万元，较年初预算数减少10.62万元，下降75.9%，主要原因：一是认真贯彻落实中央八项规定精神和厉行节约要求，从严控制三公经费支出，全年实际支出较预算下降幅度较大；二是严格落实公车使用规定，公车运行维护成本比年初预算数减少；三是强化公务接待支出管理，严格遵守公务接待开支范围和开支标准，严格控制陪餐人数，对应由接待对象承担的费用一律由接待对象自行支付，对镇街、企业报表、联系工作等一律以机关食堂工作餐接待，使公务接待费比预算数大幅减少；四是进一步规范因公出国（境）活动，全年未安排单位人员出国（境）出访。较上年支出数减少5.47万元，下降61.8%，主要原因是：今年第七次全国人口普查工作量减少，使接待费和公务车运行费用减少。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（二）“三公”经费分项支出情况</w:t>
      </w:r>
    </w:p>
    <w:p>
      <w:pPr>
        <w:spacing w:line="56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2021年度本部门因公出国（境）费用0.00万元，费用支出较年初预算数增加0.00万元，增长0.0%，较上年支出数增加0.00万元，增长0.0%，主要原因是我局无因公出国（境）行为，年初无预算，全年也无该项费用支出。</w:t>
      </w:r>
    </w:p>
    <w:p>
      <w:pPr>
        <w:spacing w:line="56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公务车购置费0.00万元，费用支出较年初预算数增加0.00万元，增长0.0%，较上年支出数增加0.00万元，增长0.0%，主要原因是我局无公务车购置预算，全年也无公务车购置支出。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公务车运行维护费2.30万元，主要用于相关统计业务检查、人口普查用车、市内因公出行等工作所需车辆的燃料费、维修（护）费、过路过桥费、保险费等。费用支出较年初预算数减少2.70万元，下降54%，主要原因是严格落实公车使用规定，严禁公车私用，对城区58平方公里内的公车补贴范围办理公务严禁使用公车，使公车运行维护成本比年初预算下降。较上年支出数减少4.01万元，下降63.5%，主要原因是减少了第七次全国人口普查相关工作，使公务车运行量减少。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公务接待费1.09万元，主要用于接待国家、市统计局到江津检查指导工作，较年初预算数减少7.91万元，下降87.9%，主要原因：一是强化公务接待支出管理，严格遵守公务接待开支范围和开支标准，严格控制陪餐人数，对应由接待对象承担的费用一律由接待对象自行支付，对镇街、企业报表、联系工作等一律以机关食堂工作餐接待；二是2021年无国家统计局相关统计司到津开展调研，无外区县统计局班子和科室人员到津交流统计工作。较上年支出数减少1.45万元，下降57.1%，主要原因是减少了第七次全国人口普查工作检查接待费。</w:t>
      </w:r>
    </w:p>
    <w:p>
      <w:pPr>
        <w:spacing w:line="560" w:lineRule="exact"/>
        <w:ind w:firstLineChars="200" w:firstLine="640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（三）“三公”经费实物量情况</w:t>
      </w:r>
    </w:p>
    <w:p>
      <w:pPr>
        <w:spacing w:line="56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2021年度本部门因公出国（境）共计0个团组，0人；公务用车购置0辆，公务车保有量为1辆；国内公务接待12批次110人，其中：国内外事接待0批次，0人；国（境）外公务接待0批次，0人。2021年本部门人均接待费98.74元，车均购置费0.00万元，车均维护费2.30万元。</w:t>
      </w:r>
    </w:p>
    <w:p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四、其他需要说明的事项</w:t>
      </w:r>
    </w:p>
    <w:p>
      <w:pPr>
        <w:spacing w:line="560" w:lineRule="exact"/>
        <w:ind w:firstLineChars="150" w:firstLine="480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（一）一般公共预算财政拨款会议费和培训费情况说明</w:t>
      </w:r>
    </w:p>
    <w:p>
      <w:pPr>
        <w:spacing w:line="560" w:lineRule="exact"/>
        <w:ind w:firstLine="63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本年度会议费支出0.10万元，较上年决算数减少1.02万元，下降91.1%，本年度培训费支出33.19万元，较上年决算数减少13.29万元，下降28.6%，主要原因是减少了第七次全国人口普查相关工作，使会议费和培训费下降幅度较大。</w:t>
      </w:r>
    </w:p>
    <w:p>
      <w:pPr>
        <w:spacing w:line="520" w:lineRule="exact"/>
        <w:ind w:firstLine="630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（二）机关运行经费情况说明</w:t>
      </w:r>
    </w:p>
    <w:p>
      <w:pPr>
        <w:spacing w:line="520" w:lineRule="exact"/>
        <w:ind w:firstLine="630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2021年度本部门机关运行经费支出105.64万元，机关运行经费主要用于开支办公费、印刷费、邮电费、差旅费、会议费、培训费、公务接待费、工会经费、福利费、公务用车运行维护费等。机关运行经费较上年决算数增加12.86万元，增长13.9%，主要原因是人员增加。</w:t>
      </w:r>
    </w:p>
    <w:p>
      <w:pPr>
        <w:spacing w:line="520" w:lineRule="exact"/>
        <w:ind w:firstLineChars="200" w:firstLine="640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（三）国有资产占用情况说明</w:t>
      </w:r>
    </w:p>
    <w:p>
      <w:pPr>
        <w:spacing w:line="520" w:lineRule="exact"/>
        <w:ind w:firstLineChars="200" w:firstLine="640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截至2021年12月31日，本部门共有车辆1辆，是应急保障用车1辆，无单价50万元（含）以上通用设备和单价100万元（含）以上专用设备。</w:t>
      </w:r>
    </w:p>
    <w:p>
      <w:pPr>
        <w:spacing w:line="520" w:lineRule="exact"/>
        <w:ind w:firstLineChars="200" w:firstLine="640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（四）政府采购支出情况说明</w:t>
      </w:r>
    </w:p>
    <w:p>
      <w:pPr>
        <w:spacing w:line="520" w:lineRule="exact"/>
        <w:ind w:firstLineChars="200" w:firstLine="640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2021年度本部门政府采购支出总额25.99万元，全部是货物采购支出，全年无政府采购服务支出。其中，授予中小企业合同金额25.99万元，占政府采购支出总额的100%，其中：授予小微企业合同金额25.99万元，占政府采购支出总额的100%。主要用于采购普查用设备。</w:t>
      </w:r>
    </w:p>
    <w:p>
      <w:pPr>
        <w:spacing w:line="52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五、预算绩效管理情况说明</w:t>
      </w:r>
    </w:p>
    <w:p>
      <w:pPr>
        <w:spacing w:line="520" w:lineRule="exact"/>
        <w:ind w:firstLineChars="200" w:firstLine="640"/>
        <w:rPr>
          <w:rFonts w:ascii="黑体" w:eastAsia="黑体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（一）预算绩效管理工作开展情况</w:t>
      </w:r>
    </w:p>
    <w:p>
      <w:pPr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根据预算绩效管理要求，我局对所有项目开展了绩效评价，其中，以填报自评表形式开展自评1项，涉及资金876.01万元；无委托第三方出具报告的方式开展绩效项目。</w:t>
      </w:r>
    </w:p>
    <w:p>
      <w:pPr>
        <w:spacing w:line="520" w:lineRule="exact"/>
        <w:ind w:firstLineChars="200" w:firstLine="640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（二）绩效自评结果</w:t>
      </w:r>
    </w:p>
    <w:p>
      <w:pPr>
        <w:spacing w:line="520" w:lineRule="exact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int="eastAsia"/>
          <w:b/>
          <w:sz w:val="32"/>
          <w:szCs w:val="32"/>
        </w:rPr>
        <w:t xml:space="preserve">  1.绩效目标自评表。</w:t>
      </w:r>
    </w:p>
    <w:p>
      <w:pPr>
        <w:pStyle w:val="17"/>
        <w:tabs>
          <w:tab w:val="center" w:pos="4153"/>
          <w:tab w:val="left" w:pos="7275"/>
        </w:tabs>
        <w:spacing w:line="600" w:lineRule="exact"/>
        <w:ind w:firstLineChars="0" w:firstLine="0"/>
        <w:jc w:val="center"/>
        <w:rPr>
          <w:rFonts w:ascii="Times New Roman" w:eastAsia="方正小标宋_GBK" w:cs="宋体" w:hAnsi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_GBK" w:cs="宋体" w:hAnsi="Times New Roman" w:hint="eastAsia"/>
          <w:color w:val="000000"/>
          <w:kern w:val="0"/>
          <w:sz w:val="36"/>
          <w:szCs w:val="36"/>
        </w:rPr>
        <w:t>项目绩效自评表</w:t>
      </w:r>
    </w:p>
    <w:tbl>
      <w:tblPr>
        <w:jc w:val="center"/>
        <w:tblW w:w="10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807"/>
        <w:gridCol w:w="541"/>
        <w:gridCol w:w="167"/>
        <w:gridCol w:w="251"/>
        <w:gridCol w:w="458"/>
        <w:gridCol w:w="142"/>
        <w:gridCol w:w="224"/>
        <w:gridCol w:w="342"/>
        <w:gridCol w:w="704"/>
        <w:gridCol w:w="1011"/>
        <w:gridCol w:w="1099"/>
        <w:gridCol w:w="942"/>
        <w:gridCol w:w="156"/>
        <w:gridCol w:w="261"/>
        <w:gridCol w:w="993"/>
        <w:gridCol w:w="1238"/>
      </w:tblGrid>
      <w:tr>
        <w:trPr>
          <w:trHeight w:val="81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江津区第七次全国人口普查工作经费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自评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总分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（分）</w:t>
            </w:r>
          </w:p>
        </w:tc>
        <w:tc>
          <w:tcPr>
            <w:tcW w:w="4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98.5</w:t>
            </w:r>
          </w:p>
        </w:tc>
      </w:tr>
      <w:tr>
        <w:trPr>
          <w:trHeight w:val="7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主管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重庆市江津区统计局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财政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处室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何洪容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023--81220517</w:t>
            </w:r>
          </w:p>
        </w:tc>
      </w:tr>
      <w:tr>
        <w:trPr>
          <w:trHeight w:val="71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spacing w:line="200" w:lineRule="exact"/>
              <w:ind w:left="113" w:right="113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项目资金（万元）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年度</w:t>
            </w:r>
          </w:p>
          <w:p>
            <w:pPr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总金额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（调整）预算数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全年执行数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执行率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执行率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执行率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得分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（分）</w:t>
            </w:r>
          </w:p>
        </w:tc>
      </w:tr>
      <w:tr>
        <w:trPr>
          <w:trHeight w:val="469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/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878.61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916.01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916.01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kern w:val="0"/>
                <w:szCs w:val="21"/>
              </w:rPr>
              <w:t>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95</w:t>
            </w:r>
          </w:p>
        </w:tc>
      </w:tr>
      <w:tr>
        <w:trPr>
          <w:trHeight w:val="469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其中：</w:t>
            </w:r>
          </w:p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市级支出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5</w:t>
            </w:r>
          </w:p>
        </w:tc>
      </w:tr>
      <w:tr>
        <w:trPr>
          <w:trHeight w:val="469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补助区县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</w:p>
        </w:tc>
      </w:tr>
      <w:tr>
        <w:trPr>
          <w:trHeight w:val="469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当年绩效目标</w:t>
            </w:r>
          </w:p>
        </w:tc>
        <w:tc>
          <w:tcPr>
            <w:tcW w:w="25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年初绩效目标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全年（调整）绩效目标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全年目标实际完成情况</w:t>
            </w:r>
          </w:p>
        </w:tc>
      </w:tr>
      <w:tr>
        <w:trPr>
          <w:trHeight w:val="954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5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1、</w:t>
            </w: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完成普查数据审核、比对和查询</w:t>
            </w:r>
          </w:p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2、</w:t>
            </w: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全额兑现普查“两员”报酬。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1、</w:t>
            </w: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完成普查数据审核、比对和查询</w:t>
            </w: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，汇总人口普查数据，发布普查公告</w:t>
            </w:r>
          </w:p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2、结清人口</w:t>
            </w: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普查“两员”报酬。</w:t>
            </w:r>
          </w:p>
        </w:tc>
      </w:tr>
      <w:tr>
        <w:trPr>
          <w:trHeight w:val="813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计量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调整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得分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系数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权重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（分）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指标得分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（分）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是否核心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Cs w:val="21"/>
              </w:rPr>
              <w:t>指标</w:t>
            </w:r>
          </w:p>
        </w:tc>
      </w:tr>
      <w:tr>
        <w:trPr>
          <w:trHeight w:val="607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两员数量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≥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8266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8266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8266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否</w:t>
            </w:r>
          </w:p>
        </w:tc>
      </w:tr>
      <w:tr>
        <w:trPr>
          <w:trHeight w:val="7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两员报酬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≥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854.6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831.6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861.6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是</w:t>
            </w:r>
          </w:p>
        </w:tc>
      </w:tr>
      <w:tr>
        <w:trPr>
          <w:trHeight w:val="1027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汇总审核人口数量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万人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≥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否</w:t>
            </w:r>
          </w:p>
        </w:tc>
      </w:tr>
      <w:tr>
        <w:trPr>
          <w:trHeight w:val="7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数据发布率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≥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否</w:t>
            </w:r>
          </w:p>
        </w:tc>
      </w:tr>
      <w:tr>
        <w:trPr>
          <w:trHeight w:val="89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普查信息正确率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≥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9.5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否</w:t>
            </w:r>
          </w:p>
        </w:tc>
      </w:tr>
      <w:tr>
        <w:trPr>
          <w:trHeight w:val="89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数据利用及时率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≥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否</w:t>
            </w:r>
          </w:p>
        </w:tc>
      </w:tr>
      <w:tr>
        <w:trPr>
          <w:trHeight w:val="89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数据利用满意度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=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宋体" w:hAnsi="Times New Roman"/>
                <w:color w:val="000000"/>
                <w:kern w:val="0"/>
                <w:szCs w:val="21"/>
              </w:rPr>
              <w:t>是</w:t>
            </w:r>
          </w:p>
        </w:tc>
      </w:tr>
      <w:tr>
        <w:trPr>
          <w:trHeight w:val="58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eastAsia="方正仿宋_GBK" w:cs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Ansi="Times New Roman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93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eastAsia="方正仿宋_GBK" w:cs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15"/>
        <w:widowControl/>
        <w:spacing w:before="0" w:beforeAutospacing="0" w:after="0" w:afterAutospacing="0" w:line="520" w:lineRule="exact"/>
        <w:ind w:firstLineChars="200" w:firstLine="600"/>
        <w:rPr>
          <w:rFonts w:ascii="黑体" w:eastAsia="黑体" w:hint="eastAsia"/>
          <w:bCs/>
          <w:color w:val="000000"/>
          <w:sz w:val="30"/>
          <w:szCs w:val="30"/>
        </w:rPr>
      </w:pPr>
      <w:r>
        <w:rPr>
          <w:rFonts w:ascii="黑体" w:eastAsia="黑体" w:hint="eastAsia"/>
          <w:bCs/>
          <w:color w:val="000000"/>
          <w:sz w:val="30"/>
          <w:szCs w:val="30"/>
        </w:rPr>
        <w:t>六、专业名词解释</w:t>
      </w:r>
    </w:p>
    <w:p>
      <w:pPr>
        <w:ind w:firstLineChars="100" w:firstLine="320"/>
        <w:rPr>
          <w:rFonts w:ascii="方正仿宋_GBK" w:eastAsia="方正仿宋_GBK"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ascii="方正仿宋_GBK" w:eastAsia="方正仿宋_GBK" w:hint="eastAsia"/>
          <w:b/>
          <w:sz w:val="32"/>
          <w:szCs w:val="32"/>
        </w:rPr>
        <w:t>一）财政拨款收入：</w:t>
      </w:r>
      <w:r>
        <w:rPr>
          <w:rFonts w:ascii="方正仿宋_GBK" w:eastAsia="方正仿宋_GBK" w:hint="eastAsia"/>
          <w:sz w:val="32"/>
          <w:szCs w:val="32"/>
        </w:rPr>
        <w:t>指本年度从本级财政部门取得的财政拨款，包括一般公共预算财政拨款和政府性基金预算财政拨款。</w:t>
      </w:r>
    </w:p>
    <w:p>
      <w:pPr>
        <w:ind w:firstLineChars="100" w:firstLine="32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（二）基本支出：</w:t>
      </w:r>
      <w:r>
        <w:rPr>
          <w:rFonts w:ascii="方正仿宋_GBK" w:eastAsia="方正仿宋_GBK" w:hint="eastAsia"/>
          <w:sz w:val="32"/>
          <w:szCs w:val="32"/>
        </w:rPr>
        <w:t>指为保障机构正常运转、完成日常工作任务而发生的人员经费和公用经费。其中：人员经费指政府收支分类经济科目中的“工资福利支出”和“对个人和家庭的补助”；公用经费指政府收支分类经济科目中除“工资福利支出”和“对个人和家庭的补助”外的其他支出。</w:t>
      </w:r>
    </w:p>
    <w:p>
      <w:pPr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（三）项目支出：</w:t>
      </w:r>
      <w:r>
        <w:rPr>
          <w:rFonts w:ascii="方正仿宋_GBK" w:eastAsia="方正仿宋_GBK" w:hint="eastAsia"/>
          <w:sz w:val="32"/>
          <w:szCs w:val="32"/>
        </w:rPr>
        <w:t>指在基本支出之外为完成各种普查、专项统计调查等发生的支出。</w:t>
      </w:r>
    </w:p>
    <w:p>
      <w:pPr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（四）“三公”经费：</w:t>
      </w:r>
      <w:r>
        <w:rPr>
          <w:rFonts w:ascii="方正仿宋_GBK" w:eastAsia="方正仿宋_GBK" w:hint="eastAsia"/>
          <w:sz w:val="32"/>
          <w:szCs w:val="32"/>
        </w:rPr>
        <w:t>指用一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用车购置费反映单位公务用车购置支出（含车辆购置税）；公务用车运行维护费反映单位按规定保留的公务用车燃料费、维修费、过路过桥费、保险费、安全奖励费用等支出；公务接待费反映单位按规定开支的各类公务接待（含外宾接待）支出。</w:t>
      </w:r>
    </w:p>
    <w:p>
      <w:pPr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（五）机关运行经费：</w:t>
      </w:r>
      <w:r>
        <w:rPr>
          <w:rFonts w:ascii="方正仿宋_GBK" w:eastAsia="方正仿宋_GBK" w:hint="eastAsia"/>
          <w:sz w:val="32"/>
          <w:szCs w:val="32"/>
        </w:rPr>
        <w:t>为保障行政单位（含参照公务员法管理的事业单位）运行用于购买货物和服务等的各项公用经费，包括办公及印刷费、邮电费、差旅费、会议费、福利费、日常维护费、一般设备购置费、办公用房水电费、办公用房物业管理费、公务用车运行维护费以及其他费用。</w:t>
      </w:r>
    </w:p>
    <w:p>
      <w:pPr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（六）年末结转和结余：</w:t>
      </w:r>
      <w:r>
        <w:rPr>
          <w:rFonts w:ascii="方正仿宋_GBK" w:eastAsia="方正仿宋_GBK" w:hint="eastAsia"/>
          <w:sz w:val="32"/>
          <w:szCs w:val="32"/>
        </w:rPr>
        <w:t>指单位结转下年的基本支出结转、项目支出结转和结余。</w:t>
      </w:r>
    </w:p>
    <w:p>
      <w:pPr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（七）工资福利支出（支出经济分类科目类级）：</w:t>
      </w:r>
      <w:r>
        <w:rPr>
          <w:rFonts w:ascii="方正仿宋_GBK" w:eastAsia="方正仿宋_GBK" w:hint="eastAsia"/>
          <w:sz w:val="32"/>
          <w:szCs w:val="32"/>
        </w:rPr>
        <w:t>反映单位开支的在职职工和编制外长期聘用人员的各类劳动报酬，以及为上述人员缴纳的各项社会保险费等。</w:t>
      </w:r>
    </w:p>
    <w:p>
      <w:pPr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（八）商品和服务支出：</w:t>
      </w:r>
      <w:r>
        <w:rPr>
          <w:rFonts w:ascii="方正仿宋_GBK" w:eastAsia="方正仿宋_GBK" w:hint="eastAsia"/>
          <w:sz w:val="32"/>
          <w:szCs w:val="32"/>
        </w:rPr>
        <w:t>反映单位购买商品和服务的支出（不包括用于购置固定资产的支出）。</w:t>
      </w:r>
    </w:p>
    <w:p>
      <w:pPr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（九）对个人和家庭的补助：</w:t>
      </w:r>
      <w:r>
        <w:rPr>
          <w:rFonts w:ascii="方正仿宋_GBK" w:eastAsia="方正仿宋_GBK" w:hint="eastAsia"/>
          <w:sz w:val="32"/>
          <w:szCs w:val="32"/>
        </w:rPr>
        <w:t>反映用于对个人和家庭的补助支出</w:t>
      </w:r>
    </w:p>
    <w:p>
      <w:pPr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（十）其他资本性支出：</w:t>
      </w:r>
      <w:r>
        <w:rPr>
          <w:rFonts w:ascii="方正仿宋_GBK" w:eastAsia="方正仿宋_GBK" w:hint="eastAsia"/>
          <w:sz w:val="32"/>
          <w:szCs w:val="32"/>
        </w:rPr>
        <w:t>反映非各级发展与改革部门集中安排的用于购置固定资产、无形资产，以及构建基础设施、大型修缮等发生的支出。</w:t>
      </w:r>
    </w:p>
    <w:p>
      <w:pPr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七、决算公开联系方式及信息反馈渠道</w:t>
      </w:r>
    </w:p>
    <w:p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我局决算公开信息反馈和联系方式：023-81220517。 </w:t>
      </w:r>
    </w:p>
    <w:p/>
    <w:p>
      <w:r>
        <w:t xml:space="preserve">      </w:t>
      </w:r>
    </w:p>
    <w:p>
      <w:pPr>
        <w:pStyle w:val="15"/>
        <w:widowControl/>
        <w:spacing w:before="0" w:beforeAutospacing="0" w:after="0" w:afterAutospacing="0" w:line="520" w:lineRule="exact"/>
        <w:ind w:firstLineChars="200" w:firstLine="600"/>
        <w:rPr>
          <w:rFonts w:ascii="黑体" w:eastAsia="黑体" w:hint="eastAsia"/>
          <w:bCs/>
          <w:color w:val="000000"/>
          <w:sz w:val="30"/>
          <w:szCs w:val="30"/>
        </w:rPr>
      </w:pPr>
    </w:p>
    <w:p>
      <w:pPr>
        <w:pStyle w:val="15"/>
        <w:widowControl/>
        <w:spacing w:before="0" w:beforeAutospacing="0" w:after="0" w:afterAutospacing="0" w:line="520" w:lineRule="exact"/>
        <w:rPr>
          <w:rFonts w:ascii="黑体" w:eastAsia="黑体" w:hint="eastAsia"/>
          <w:bCs/>
          <w:color w:val="000000"/>
          <w:sz w:val="30"/>
          <w:szCs w:val="30"/>
        </w:rPr>
      </w:pPr>
    </w:p>
    <w:p>
      <w:pPr>
        <w:rPr>
          <w:rFonts w:hint="eastAsia"/>
        </w:rPr>
      </w:pPr>
    </w:p>
    <w:sectPr>
      <w:pgSz w:w="11906" w:h="16838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100" w:beforeAutospacing="1" w:after="100" w:afterAutospacing="1"/>
      <w:jc w:val="left"/>
    </w:pPr>
    <w:rPr>
      <w:rFonts w:ascii="Calibri" w:eastAsia="宋体" w:cs="Times New Roman" w:hAnsi="Calibri"/>
      <w:kern w:val="0"/>
      <w:sz w:val="24"/>
    </w:rPr>
  </w:style>
  <w:style w:type="character" w:styleId="16">
    <w:name w:val="Strong"/>
    <w:basedOn w:val="10"/>
    <w:rPr>
      <w:b/>
    </w:rPr>
  </w:style>
  <w:style w:type="paragraph" w:customStyle="1" w:styleId="17">
    <w:name w:val="List Paragraph"/>
    <w:next w:val="18"/>
    <w:pPr>
      <w:widowControl w:val="0"/>
      <w:ind w:firstLineChars="200" w:firstLine="20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8">
    <w:name w:val="index 9"/>
    <w:basedOn w:val="0"/>
    <w:autoRedefine/>
    <w:next w:val="0"/>
    <w:pPr>
      <w:ind w:leftChars="1600" w:left="16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29</TotalTime>
  <Application>Yozo_Office</Application>
  <Pages>12</Pages>
  <Words>5835</Words>
  <Characters>6550</Characters>
  <Lines>429</Lines>
  <Paragraphs>216</Paragraphs>
  <CharactersWithSpaces>6575</CharactersWithSpace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Hewlett-Packard Company</dc:creator>
  <cp:lastModifiedBy>Microsoft</cp:lastModifiedBy>
  <cp:revision>1</cp:revision>
  <dcterms:created xsi:type="dcterms:W3CDTF">2022-08-30T08:21:00Z</dcterms:created>
  <dcterms:modified xsi:type="dcterms:W3CDTF">2022-08-30T09:11:09Z</dcterms:modified>
</cp:coreProperties>
</file>