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0FDE2">
      <w:pPr>
        <w:spacing w:line="261" w:lineRule="auto"/>
        <w:rPr>
          <w:rFonts w:ascii="Arial"/>
          <w:sz w:val="21"/>
        </w:rPr>
      </w:pPr>
    </w:p>
    <w:p w14:paraId="4995A9F8">
      <w:pPr>
        <w:spacing w:line="261" w:lineRule="auto"/>
        <w:rPr>
          <w:rFonts w:ascii="Arial"/>
          <w:sz w:val="21"/>
        </w:rPr>
      </w:pPr>
    </w:p>
    <w:p w14:paraId="4A33A441">
      <w:pPr>
        <w:spacing w:line="261" w:lineRule="auto"/>
        <w:rPr>
          <w:rFonts w:ascii="Arial"/>
          <w:sz w:val="21"/>
        </w:rPr>
      </w:pPr>
    </w:p>
    <w:p w14:paraId="6F222FFE">
      <w:pPr>
        <w:spacing w:line="262" w:lineRule="auto"/>
        <w:rPr>
          <w:rFonts w:ascii="Arial"/>
          <w:sz w:val="21"/>
        </w:rPr>
      </w:pPr>
    </w:p>
    <w:p w14:paraId="29FA1C23">
      <w:pPr>
        <w:pStyle w:val="2"/>
        <w:spacing w:before="160" w:line="214" w:lineRule="auto"/>
        <w:ind w:left="9"/>
      </w:pPr>
      <w:r>
        <w:rPr>
          <w:spacing w:val="1"/>
        </w:rPr>
        <w:t>重</w:t>
      </w:r>
      <w:r>
        <w:rPr>
          <w:spacing w:val="28"/>
        </w:rPr>
        <w:t xml:space="preserve">   </w:t>
      </w:r>
      <w:r>
        <w:rPr>
          <w:spacing w:val="1"/>
        </w:rPr>
        <w:t>庆</w:t>
      </w:r>
      <w:r>
        <w:rPr>
          <w:spacing w:val="33"/>
        </w:rPr>
        <w:t xml:space="preserve">   </w:t>
      </w:r>
      <w:r>
        <w:rPr>
          <w:spacing w:val="1"/>
        </w:rPr>
        <w:t>市</w:t>
      </w:r>
      <w:r>
        <w:rPr>
          <w:spacing w:val="30"/>
        </w:rPr>
        <w:t xml:space="preserve">   </w:t>
      </w:r>
      <w:r>
        <w:rPr>
          <w:spacing w:val="1"/>
        </w:rPr>
        <w:t>江</w:t>
      </w:r>
      <w:r>
        <w:rPr>
          <w:spacing w:val="30"/>
        </w:rPr>
        <w:t xml:space="preserve">   </w:t>
      </w:r>
      <w:r>
        <w:rPr>
          <w:spacing w:val="1"/>
        </w:rPr>
        <w:t>津    区</w:t>
      </w:r>
      <w:r>
        <w:rPr>
          <w:spacing w:val="31"/>
        </w:rPr>
        <w:t xml:space="preserve">   </w:t>
      </w:r>
      <w:r>
        <w:rPr>
          <w:spacing w:val="1"/>
        </w:rPr>
        <w:t>生</w:t>
      </w:r>
      <w:r>
        <w:rPr>
          <w:spacing w:val="28"/>
        </w:rPr>
        <w:t xml:space="preserve">   </w:t>
      </w:r>
      <w:r>
        <w:rPr>
          <w:spacing w:val="1"/>
        </w:rPr>
        <w:t>态</w:t>
      </w:r>
      <w:r>
        <w:rPr>
          <w:spacing w:val="30"/>
        </w:rPr>
        <w:t xml:space="preserve">   </w:t>
      </w:r>
      <w:r>
        <w:rPr>
          <w:spacing w:val="1"/>
        </w:rPr>
        <w:t>环</w:t>
      </w:r>
      <w:r>
        <w:rPr>
          <w:spacing w:val="29"/>
        </w:rPr>
        <w:t xml:space="preserve">   </w:t>
      </w:r>
      <w:r>
        <w:rPr>
          <w:spacing w:val="1"/>
        </w:rPr>
        <w:t>境</w:t>
      </w:r>
      <w:r>
        <w:rPr>
          <w:spacing w:val="31"/>
        </w:rPr>
        <w:t xml:space="preserve">   </w:t>
      </w:r>
      <w:r>
        <w:rPr>
          <w:spacing w:val="1"/>
        </w:rPr>
        <w:t>局</w:t>
      </w:r>
    </w:p>
    <w:p w14:paraId="7E5E7F02">
      <w:pPr>
        <w:pStyle w:val="2"/>
        <w:spacing w:before="24" w:line="227" w:lineRule="auto"/>
        <w:ind w:left="9"/>
      </w:pPr>
      <w:r>
        <w:rPr>
          <w:spacing w:val="1"/>
        </w:rPr>
        <w:t>重</w:t>
      </w:r>
      <w:r>
        <w:rPr>
          <w:spacing w:val="105"/>
        </w:rPr>
        <w:t xml:space="preserve"> </w:t>
      </w:r>
      <w:r>
        <w:rPr>
          <w:spacing w:val="1"/>
        </w:rPr>
        <w:t>庆  市  江  津  区  发  展  和  改</w:t>
      </w:r>
      <w:r>
        <w:rPr>
          <w:spacing w:val="4"/>
        </w:rPr>
        <w:t xml:space="preserve">  </w:t>
      </w:r>
      <w:r>
        <w:rPr>
          <w:spacing w:val="1"/>
        </w:rPr>
        <w:t>革</w:t>
      </w:r>
      <w:r>
        <w:rPr>
          <w:spacing w:val="4"/>
        </w:rPr>
        <w:t xml:space="preserve">  </w:t>
      </w:r>
      <w:r>
        <w:rPr>
          <w:spacing w:val="1"/>
        </w:rPr>
        <w:t>委</w:t>
      </w:r>
      <w:r>
        <w:rPr>
          <w:spacing w:val="7"/>
        </w:rPr>
        <w:t xml:space="preserve">  </w:t>
      </w:r>
      <w:r>
        <w:rPr>
          <w:spacing w:val="1"/>
        </w:rPr>
        <w:t>员  会</w:t>
      </w:r>
    </w:p>
    <w:p w14:paraId="20AEE3FD">
      <w:pPr>
        <w:pStyle w:val="2"/>
        <w:spacing w:before="1" w:line="212" w:lineRule="auto"/>
        <w:ind w:left="9"/>
      </w:pPr>
      <w:r>
        <w:rPr>
          <w:spacing w:val="-1"/>
        </w:rPr>
        <w:t>重</w:t>
      </w:r>
      <w:r>
        <w:rPr>
          <w:spacing w:val="19"/>
        </w:rPr>
        <w:t xml:space="preserve">     </w:t>
      </w:r>
      <w:r>
        <w:rPr>
          <w:spacing w:val="-1"/>
        </w:rPr>
        <w:t>庆</w:t>
      </w:r>
      <w:r>
        <w:rPr>
          <w:spacing w:val="20"/>
        </w:rPr>
        <w:t xml:space="preserve">     </w:t>
      </w:r>
      <w:r>
        <w:rPr>
          <w:spacing w:val="-1"/>
        </w:rPr>
        <w:t>市</w:t>
      </w:r>
      <w:r>
        <w:rPr>
          <w:spacing w:val="17"/>
        </w:rPr>
        <w:t xml:space="preserve">     </w:t>
      </w:r>
      <w:r>
        <w:rPr>
          <w:spacing w:val="-1"/>
        </w:rPr>
        <w:t>江</w:t>
      </w:r>
      <w:r>
        <w:rPr>
          <w:spacing w:val="18"/>
        </w:rPr>
        <w:t xml:space="preserve">     </w:t>
      </w:r>
      <w:r>
        <w:rPr>
          <w:spacing w:val="-1"/>
        </w:rPr>
        <w:t>津      区</w:t>
      </w:r>
      <w:r>
        <w:rPr>
          <w:spacing w:val="18"/>
        </w:rPr>
        <w:t xml:space="preserve">     </w:t>
      </w:r>
      <w:r>
        <w:rPr>
          <w:spacing w:val="-1"/>
        </w:rPr>
        <w:t>财</w:t>
      </w:r>
      <w:r>
        <w:rPr>
          <w:spacing w:val="17"/>
        </w:rPr>
        <w:t xml:space="preserve">     </w:t>
      </w:r>
      <w:r>
        <w:rPr>
          <w:spacing w:val="-1"/>
        </w:rPr>
        <w:t>政</w:t>
      </w:r>
      <w:r>
        <w:rPr>
          <w:spacing w:val="19"/>
        </w:rPr>
        <w:t xml:space="preserve">     </w:t>
      </w:r>
      <w:r>
        <w:rPr>
          <w:spacing w:val="-1"/>
        </w:rPr>
        <w:t>局</w:t>
      </w:r>
    </w:p>
    <w:p w14:paraId="5C12B41F">
      <w:pPr>
        <w:pStyle w:val="2"/>
        <w:spacing w:before="23" w:line="224" w:lineRule="auto"/>
        <w:ind w:left="9"/>
      </w:pPr>
      <w:r>
        <w:rPr>
          <w:spacing w:val="2"/>
        </w:rPr>
        <w:t>重 庆</w:t>
      </w:r>
      <w:r>
        <w:rPr>
          <w:spacing w:val="39"/>
        </w:rPr>
        <w:t xml:space="preserve"> </w:t>
      </w:r>
      <w:r>
        <w:rPr>
          <w:spacing w:val="2"/>
        </w:rPr>
        <w:t>市 江 津</w:t>
      </w:r>
      <w:r>
        <w:rPr>
          <w:spacing w:val="39"/>
        </w:rPr>
        <w:t xml:space="preserve"> </w:t>
      </w:r>
      <w:r>
        <w:rPr>
          <w:spacing w:val="2"/>
        </w:rPr>
        <w:t>区</w:t>
      </w:r>
      <w:r>
        <w:rPr>
          <w:spacing w:val="24"/>
        </w:rPr>
        <w:t xml:space="preserve"> </w:t>
      </w:r>
      <w:r>
        <w:rPr>
          <w:spacing w:val="2"/>
        </w:rPr>
        <w:t>住</w:t>
      </w:r>
      <w:r>
        <w:rPr>
          <w:spacing w:val="19"/>
        </w:rPr>
        <w:t xml:space="preserve"> </w:t>
      </w:r>
      <w:r>
        <w:rPr>
          <w:spacing w:val="2"/>
        </w:rPr>
        <w:t>房</w:t>
      </w:r>
      <w:r>
        <w:rPr>
          <w:spacing w:val="24"/>
        </w:rPr>
        <w:t xml:space="preserve"> </w:t>
      </w:r>
      <w:r>
        <w:rPr>
          <w:spacing w:val="2"/>
        </w:rPr>
        <w:t>和</w:t>
      </w:r>
      <w:r>
        <w:rPr>
          <w:spacing w:val="20"/>
        </w:rPr>
        <w:t xml:space="preserve"> </w:t>
      </w:r>
      <w:r>
        <w:rPr>
          <w:spacing w:val="2"/>
        </w:rPr>
        <w:t>城</w:t>
      </w:r>
      <w:r>
        <w:rPr>
          <w:spacing w:val="39"/>
        </w:rPr>
        <w:t xml:space="preserve"> </w:t>
      </w:r>
      <w:r>
        <w:rPr>
          <w:spacing w:val="2"/>
        </w:rPr>
        <w:t>乡</w:t>
      </w:r>
      <w:r>
        <w:rPr>
          <w:spacing w:val="24"/>
        </w:rPr>
        <w:t xml:space="preserve"> </w:t>
      </w:r>
      <w:r>
        <w:rPr>
          <w:spacing w:val="2"/>
        </w:rPr>
        <w:t>建</w:t>
      </w:r>
      <w:r>
        <w:rPr>
          <w:spacing w:val="21"/>
        </w:rPr>
        <w:t xml:space="preserve"> </w:t>
      </w:r>
      <w:r>
        <w:rPr>
          <w:spacing w:val="2"/>
        </w:rPr>
        <w:t>设</w:t>
      </w:r>
      <w:r>
        <w:rPr>
          <w:spacing w:val="28"/>
        </w:rPr>
        <w:t xml:space="preserve"> </w:t>
      </w:r>
      <w:r>
        <w:rPr>
          <w:spacing w:val="2"/>
        </w:rPr>
        <w:t>委</w:t>
      </w:r>
      <w:r>
        <w:rPr>
          <w:spacing w:val="32"/>
        </w:rPr>
        <w:t xml:space="preserve"> </w:t>
      </w:r>
      <w:r>
        <w:rPr>
          <w:spacing w:val="2"/>
        </w:rPr>
        <w:t>员</w:t>
      </w:r>
      <w:r>
        <w:rPr>
          <w:spacing w:val="18"/>
        </w:rPr>
        <w:t xml:space="preserve"> </w:t>
      </w:r>
      <w:r>
        <w:rPr>
          <w:spacing w:val="2"/>
        </w:rPr>
        <w:t>会</w:t>
      </w:r>
    </w:p>
    <w:p w14:paraId="27F6B95B">
      <w:pPr>
        <w:pStyle w:val="2"/>
        <w:spacing w:before="1" w:line="224" w:lineRule="auto"/>
        <w:ind w:left="9"/>
      </w:pPr>
      <w:r>
        <w:t>重  庆   市</w:t>
      </w:r>
      <w:r>
        <w:rPr>
          <w:spacing w:val="32"/>
        </w:rPr>
        <w:t xml:space="preserve">  </w:t>
      </w:r>
      <w:r>
        <w:t>江</w:t>
      </w:r>
      <w:r>
        <w:rPr>
          <w:spacing w:val="27"/>
        </w:rPr>
        <w:t xml:space="preserve">  </w:t>
      </w:r>
      <w:r>
        <w:t>津</w:t>
      </w:r>
      <w:r>
        <w:rPr>
          <w:spacing w:val="37"/>
        </w:rPr>
        <w:t xml:space="preserve">  </w:t>
      </w:r>
      <w:r>
        <w:t>区</w:t>
      </w:r>
      <w:r>
        <w:rPr>
          <w:spacing w:val="28"/>
        </w:rPr>
        <w:t xml:space="preserve">  </w:t>
      </w:r>
      <w:r>
        <w:t>农</w:t>
      </w:r>
      <w:r>
        <w:rPr>
          <w:spacing w:val="27"/>
        </w:rPr>
        <w:t xml:space="preserve">  </w:t>
      </w:r>
      <w:r>
        <w:t>业</w:t>
      </w:r>
      <w:r>
        <w:rPr>
          <w:spacing w:val="28"/>
        </w:rPr>
        <w:t xml:space="preserve">  </w:t>
      </w:r>
      <w:r>
        <w:t>农</w:t>
      </w:r>
      <w:r>
        <w:rPr>
          <w:spacing w:val="29"/>
        </w:rPr>
        <w:t xml:space="preserve">  </w:t>
      </w:r>
      <w:r>
        <w:t>村</w:t>
      </w:r>
      <w:r>
        <w:rPr>
          <w:spacing w:val="30"/>
        </w:rPr>
        <w:t xml:space="preserve">  </w:t>
      </w:r>
      <w:r>
        <w:t>委</w:t>
      </w:r>
      <w:r>
        <w:rPr>
          <w:spacing w:val="33"/>
        </w:rPr>
        <w:t xml:space="preserve">  </w:t>
      </w:r>
      <w:r>
        <w:t>员</w:t>
      </w:r>
      <w:r>
        <w:rPr>
          <w:spacing w:val="27"/>
        </w:rPr>
        <w:t xml:space="preserve">  </w:t>
      </w:r>
      <w:r>
        <w:t>会</w:t>
      </w:r>
    </w:p>
    <w:p w14:paraId="471EAA9E">
      <w:pPr>
        <w:pStyle w:val="2"/>
        <w:spacing w:line="218" w:lineRule="auto"/>
        <w:ind w:left="9"/>
      </w:pPr>
      <w:r>
        <w:t>重</w:t>
      </w:r>
      <w:r>
        <w:rPr>
          <w:spacing w:val="118"/>
        </w:rPr>
        <w:t xml:space="preserve"> </w:t>
      </w:r>
      <w:r>
        <w:t>庆  市  江  津  区  畜  牧  兽</w:t>
      </w:r>
      <w:r>
        <w:rPr>
          <w:spacing w:val="8"/>
        </w:rPr>
        <w:t xml:space="preserve">  </w:t>
      </w:r>
      <w:r>
        <w:t>医  发</w:t>
      </w:r>
      <w:r>
        <w:rPr>
          <w:spacing w:val="6"/>
        </w:rPr>
        <w:t xml:space="preserve">  </w:t>
      </w:r>
      <w:r>
        <w:t>展</w:t>
      </w:r>
      <w:r>
        <w:rPr>
          <w:spacing w:val="9"/>
        </w:rPr>
        <w:t xml:space="preserve">  </w:t>
      </w:r>
      <w:r>
        <w:t>中</w:t>
      </w:r>
      <w:r>
        <w:rPr>
          <w:spacing w:val="1"/>
        </w:rPr>
        <w:t xml:space="preserve">  </w:t>
      </w:r>
      <w:r>
        <w:t>心</w:t>
      </w:r>
    </w:p>
    <w:p w14:paraId="5EC16910">
      <w:pPr>
        <w:pStyle w:val="2"/>
        <w:spacing w:before="3" w:line="215" w:lineRule="auto"/>
        <w:ind w:left="9"/>
      </w:pPr>
      <w:r>
        <w:rPr>
          <w:spacing w:val="-1"/>
        </w:rPr>
        <w:t>重</w:t>
      </w:r>
      <w:r>
        <w:rPr>
          <w:spacing w:val="104"/>
        </w:rPr>
        <w:t xml:space="preserve"> </w:t>
      </w:r>
      <w:r>
        <w:rPr>
          <w:spacing w:val="-1"/>
        </w:rPr>
        <w:t>庆  市  江  津  区  规  划  和   自  然  资  源  局</w:t>
      </w:r>
    </w:p>
    <w:p w14:paraId="21FA10D3">
      <w:pPr>
        <w:pStyle w:val="2"/>
        <w:spacing w:before="1" w:line="216" w:lineRule="auto"/>
        <w:ind w:left="26"/>
      </w:pPr>
      <w:r>
        <w:rPr>
          <w:spacing w:val="9"/>
        </w:rPr>
        <w:t>关于印发《江津区农村生活污水处理设施建设</w:t>
      </w:r>
    </w:p>
    <w:p w14:paraId="24D64EFA">
      <w:pPr>
        <w:pStyle w:val="2"/>
        <w:spacing w:before="2"/>
        <w:ind w:left="1020"/>
      </w:pPr>
      <w:r>
        <w:rPr>
          <w:spacing w:val="-5"/>
        </w:rPr>
        <w:t>运行维护管理办法（试行）》的通知</w:t>
      </w:r>
    </w:p>
    <w:p w14:paraId="5AAD029D">
      <w:pPr>
        <w:spacing w:line="246" w:lineRule="auto"/>
        <w:rPr>
          <w:rFonts w:ascii="Arial"/>
          <w:sz w:val="21"/>
        </w:rPr>
      </w:pPr>
    </w:p>
    <w:p w14:paraId="70F7F1CC">
      <w:pPr>
        <w:spacing w:line="247" w:lineRule="auto"/>
        <w:rPr>
          <w:rFonts w:ascii="Arial"/>
          <w:sz w:val="21"/>
        </w:rPr>
      </w:pPr>
    </w:p>
    <w:p w14:paraId="6325D555">
      <w:pPr>
        <w:spacing w:before="114" w:line="237" w:lineRule="auto"/>
        <w:ind w:left="297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津环发〔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号</w:t>
      </w:r>
    </w:p>
    <w:p w14:paraId="40D9323C">
      <w:pPr>
        <w:spacing w:line="305" w:lineRule="auto"/>
        <w:rPr>
          <w:rFonts w:ascii="Arial"/>
          <w:sz w:val="21"/>
        </w:rPr>
      </w:pPr>
    </w:p>
    <w:p w14:paraId="4F4240B8">
      <w:pPr>
        <w:spacing w:line="306" w:lineRule="auto"/>
        <w:rPr>
          <w:rFonts w:ascii="Arial"/>
          <w:sz w:val="21"/>
        </w:rPr>
      </w:pPr>
    </w:p>
    <w:p w14:paraId="58718E95">
      <w:pPr>
        <w:spacing w:before="101" w:line="335" w:lineRule="auto"/>
        <w:ind w:left="1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为规范和加强全区农村生活污水处理设施规划、建设、运行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维护和监督管理，确保农村生活污水处理设施有</w:t>
      </w:r>
      <w:r>
        <w:rPr>
          <w:rFonts w:ascii="仿宋" w:hAnsi="仿宋" w:eastAsia="仿宋" w:cs="仿宋"/>
          <w:spacing w:val="-3"/>
          <w:sz w:val="31"/>
          <w:szCs w:val="31"/>
        </w:rPr>
        <w:t>效运行，经研究，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现将《江津区农村生活污水处理设施建设运行维护管理办法（试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行）》印发你们，请认真贯彻落实。</w:t>
      </w:r>
    </w:p>
    <w:p w14:paraId="31642269">
      <w:pPr>
        <w:spacing w:before="66" w:line="332" w:lineRule="auto"/>
        <w:ind w:left="32" w:right="100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重庆市江津区生态环境局、重庆市江津区发展改革委等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仿宋" w:hAnsi="仿宋" w:eastAsia="仿宋" w:cs="仿宋"/>
          <w:spacing w:val="7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门《关于印发江津区农村生活污水处理设施建设运行维护管理办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法（试行）的通知》（津环发〔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2024</w:t>
      </w:r>
      <w:r>
        <w:rPr>
          <w:rFonts w:ascii="仿宋" w:hAnsi="仿宋" w:eastAsia="仿宋" w:cs="仿宋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24</w:t>
      </w:r>
      <w:r>
        <w:rPr>
          <w:rFonts w:ascii="仿宋" w:hAnsi="仿宋" w:eastAsia="仿宋" w:cs="仿宋"/>
          <w:spacing w:val="-1"/>
          <w:sz w:val="31"/>
          <w:szCs w:val="31"/>
        </w:rPr>
        <w:t>号）同时废止。</w:t>
      </w:r>
    </w:p>
    <w:p w14:paraId="55D15BE7">
      <w:pPr>
        <w:spacing w:before="32" w:line="184" w:lineRule="auto"/>
        <w:ind w:left="8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-</w:t>
      </w:r>
    </w:p>
    <w:p w14:paraId="4717885D">
      <w:pPr>
        <w:spacing w:before="147" w:line="38" w:lineRule="exact"/>
      </w:pPr>
      <w:r>
        <w:drawing>
          <wp:inline distT="0" distB="0" distL="0" distR="0">
            <wp:extent cx="5615940" cy="241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D989">
      <w:pPr>
        <w:spacing w:before="294" w:line="219" w:lineRule="auto"/>
        <w:ind w:left="4357" w:firstLine="55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005192"/>
          <w:spacing w:val="-3"/>
          <w:sz w:val="28"/>
          <w:szCs w:val="28"/>
        </w:rPr>
        <w:t>重庆市江津区</w:t>
      </w:r>
      <w:r>
        <w:rPr>
          <w:rFonts w:hint="eastAsia" w:ascii="宋体" w:hAnsi="宋体" w:eastAsia="宋体" w:cs="宋体"/>
          <w:b/>
          <w:bCs/>
          <w:color w:val="005192"/>
          <w:spacing w:val="-3"/>
          <w:sz w:val="28"/>
          <w:szCs w:val="28"/>
          <w:lang w:val="en-US" w:eastAsia="zh-CN"/>
        </w:rPr>
        <w:t>生态环境局</w:t>
      </w:r>
      <w:r>
        <w:rPr>
          <w:rFonts w:ascii="宋体" w:hAnsi="宋体" w:eastAsia="宋体" w:cs="宋体"/>
          <w:b/>
          <w:bCs/>
          <w:color w:val="005192"/>
          <w:spacing w:val="-3"/>
          <w:sz w:val="28"/>
          <w:szCs w:val="28"/>
        </w:rPr>
        <w:t>发布</w:t>
      </w:r>
    </w:p>
    <w:p w14:paraId="34D83130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6" w:h="16839"/>
          <w:pgMar w:top="1975" w:right="1375" w:bottom="0" w:left="1587" w:header="1329" w:footer="0" w:gutter="0"/>
          <w:cols w:space="720" w:num="1"/>
        </w:sectPr>
      </w:pPr>
    </w:p>
    <w:p w14:paraId="13C65791">
      <w:pPr>
        <w:spacing w:before="101" w:line="411" w:lineRule="exact"/>
        <w:ind w:firstLine="4890" w:firstLineChars="1500"/>
        <w:rPr>
          <w:rFonts w:ascii="仿宋" w:hAnsi="仿宋" w:eastAsia="仿宋" w:cs="仿宋"/>
          <w:spacing w:val="8"/>
          <w:position w:val="1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 xml:space="preserve">重庆市江津区生态环境局   </w:t>
      </w:r>
    </w:p>
    <w:p w14:paraId="249BF658">
      <w:pPr>
        <w:spacing w:before="101" w:line="411" w:lineRule="exact"/>
        <w:ind w:left="67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position w:val="1"/>
          <w:sz w:val="31"/>
          <w:szCs w:val="31"/>
          <w:lang w:val="en-US" w:eastAsia="zh-CN"/>
        </w:rPr>
        <w:t xml:space="preserve">                     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重庆市江津区发展</w:t>
      </w:r>
      <w:r>
        <w:rPr>
          <w:rFonts w:hint="eastAsia" w:ascii="仿宋" w:hAnsi="仿宋" w:eastAsia="仿宋" w:cs="仿宋"/>
          <w:spacing w:val="8"/>
          <w:position w:val="1"/>
          <w:sz w:val="31"/>
          <w:szCs w:val="31"/>
          <w:lang w:val="en-US" w:eastAsia="zh-CN"/>
        </w:rPr>
        <w:t>和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改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革</w:t>
      </w:r>
      <w:r>
        <w:rPr>
          <w:rFonts w:hint="eastAsia" w:ascii="仿宋" w:hAnsi="仿宋" w:eastAsia="仿宋" w:cs="仿宋"/>
          <w:spacing w:val="7"/>
          <w:position w:val="1"/>
          <w:sz w:val="31"/>
          <w:szCs w:val="31"/>
          <w:lang w:val="en-US" w:eastAsia="zh-CN"/>
        </w:rPr>
        <w:t>委员会</w:t>
      </w:r>
    </w:p>
    <w:p w14:paraId="70C3C150">
      <w:pPr>
        <w:spacing w:before="100" w:line="410" w:lineRule="exact"/>
        <w:ind w:firstLine="5184" w:firstLineChars="1600"/>
        <w:rPr>
          <w:rFonts w:ascii="仿宋" w:hAnsi="仿宋" w:eastAsia="仿宋" w:cs="仿宋"/>
          <w:spacing w:val="7"/>
          <w:position w:val="1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 xml:space="preserve">重庆市江津区财政局    </w:t>
      </w:r>
    </w:p>
    <w:p w14:paraId="512814E4">
      <w:pPr>
        <w:spacing w:before="100" w:line="410" w:lineRule="exact"/>
        <w:ind w:left="67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7"/>
          <w:position w:val="1"/>
          <w:sz w:val="31"/>
          <w:szCs w:val="31"/>
          <w:lang w:val="en-US" w:eastAsia="zh-CN"/>
        </w:rPr>
        <w:t xml:space="preserve">               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 xml:space="preserve"> 重庆市江津区住房</w:t>
      </w:r>
      <w:r>
        <w:rPr>
          <w:rFonts w:hint="eastAsia" w:ascii="仿宋" w:hAnsi="仿宋" w:eastAsia="仿宋" w:cs="仿宋"/>
          <w:spacing w:val="7"/>
          <w:position w:val="1"/>
          <w:sz w:val="31"/>
          <w:szCs w:val="31"/>
          <w:lang w:val="en-US" w:eastAsia="zh-CN"/>
        </w:rPr>
        <w:t>和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城乡</w:t>
      </w:r>
      <w:r>
        <w:rPr>
          <w:rFonts w:hint="eastAsia" w:ascii="仿宋" w:hAnsi="仿宋" w:eastAsia="仿宋" w:cs="仿宋"/>
          <w:spacing w:val="7"/>
          <w:position w:val="1"/>
          <w:sz w:val="31"/>
          <w:szCs w:val="31"/>
          <w:lang w:val="en-US" w:eastAsia="zh-CN"/>
        </w:rPr>
        <w:t>建设委员会</w:t>
      </w:r>
    </w:p>
    <w:p w14:paraId="1B6C3C30">
      <w:pPr>
        <w:spacing w:before="101" w:line="410" w:lineRule="exact"/>
        <w:ind w:right="53" w:firstLine="4564" w:firstLineChars="1400"/>
        <w:jc w:val="both"/>
        <w:rPr>
          <w:rFonts w:ascii="仿宋" w:hAnsi="仿宋" w:eastAsia="仿宋" w:cs="仿宋"/>
          <w:spacing w:val="8"/>
          <w:position w:val="1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重庆市江津区农业农村</w:t>
      </w:r>
      <w:r>
        <w:rPr>
          <w:rFonts w:hint="eastAsia" w:ascii="仿宋" w:hAnsi="仿宋" w:eastAsia="仿宋" w:cs="仿宋"/>
          <w:spacing w:val="8"/>
          <w:position w:val="1"/>
          <w:sz w:val="31"/>
          <w:szCs w:val="31"/>
          <w:lang w:val="en-US" w:eastAsia="zh-CN"/>
        </w:rPr>
        <w:t>委员会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 xml:space="preserve"> </w:t>
      </w:r>
    </w:p>
    <w:p w14:paraId="1E603727">
      <w:pPr>
        <w:spacing w:before="101" w:line="410" w:lineRule="exact"/>
        <w:ind w:right="53"/>
        <w:jc w:val="right"/>
        <w:rPr>
          <w:rFonts w:ascii="Arial"/>
          <w:sz w:val="2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重庆市江津区畜牧兽医发展中心</w:t>
      </w:r>
    </w:p>
    <w:p w14:paraId="6A5002E0">
      <w:pPr>
        <w:spacing w:before="100" w:line="326" w:lineRule="auto"/>
        <w:ind w:left="5459" w:leftChars="1995" w:right="211" w:hanging="1270" w:hangingChars="3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重庆市江津区规划和自然资源局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 w14:paraId="1BF1E233">
      <w:pPr>
        <w:spacing w:line="243" w:lineRule="auto"/>
        <w:rPr>
          <w:rFonts w:ascii="Arial"/>
          <w:sz w:val="21"/>
        </w:rPr>
      </w:pPr>
    </w:p>
    <w:p w14:paraId="5EC4A395">
      <w:pPr>
        <w:spacing w:line="243" w:lineRule="auto"/>
        <w:rPr>
          <w:rFonts w:ascii="Arial"/>
          <w:sz w:val="21"/>
        </w:rPr>
      </w:pPr>
    </w:p>
    <w:p w14:paraId="25D4EB31">
      <w:pPr>
        <w:spacing w:line="243" w:lineRule="auto"/>
        <w:rPr>
          <w:rFonts w:ascii="Arial"/>
          <w:sz w:val="21"/>
        </w:rPr>
      </w:pPr>
    </w:p>
    <w:p w14:paraId="6A858440">
      <w:pPr>
        <w:spacing w:line="243" w:lineRule="auto"/>
        <w:rPr>
          <w:rFonts w:ascii="Arial"/>
          <w:sz w:val="21"/>
        </w:rPr>
      </w:pPr>
    </w:p>
    <w:p w14:paraId="5A5239F5">
      <w:pPr>
        <w:spacing w:line="243" w:lineRule="auto"/>
        <w:rPr>
          <w:rFonts w:ascii="Arial"/>
          <w:sz w:val="21"/>
        </w:rPr>
      </w:pPr>
    </w:p>
    <w:p w14:paraId="710AB50F">
      <w:pPr>
        <w:spacing w:line="243" w:lineRule="auto"/>
        <w:rPr>
          <w:rFonts w:ascii="Arial"/>
          <w:sz w:val="21"/>
        </w:rPr>
      </w:pPr>
    </w:p>
    <w:p w14:paraId="6066C837">
      <w:pPr>
        <w:spacing w:line="243" w:lineRule="auto"/>
        <w:rPr>
          <w:rFonts w:ascii="Arial"/>
          <w:sz w:val="21"/>
        </w:rPr>
      </w:pPr>
    </w:p>
    <w:p w14:paraId="3C61C620">
      <w:pPr>
        <w:spacing w:line="244" w:lineRule="auto"/>
        <w:rPr>
          <w:rFonts w:ascii="Arial"/>
          <w:sz w:val="21"/>
        </w:rPr>
      </w:pPr>
    </w:p>
    <w:p w14:paraId="254430F8">
      <w:pPr>
        <w:spacing w:line="244" w:lineRule="auto"/>
        <w:rPr>
          <w:rFonts w:ascii="Arial"/>
          <w:sz w:val="21"/>
        </w:rPr>
      </w:pPr>
    </w:p>
    <w:p w14:paraId="5A04CA26">
      <w:pPr>
        <w:spacing w:line="244" w:lineRule="auto"/>
        <w:rPr>
          <w:rFonts w:ascii="Arial"/>
          <w:sz w:val="21"/>
        </w:rPr>
      </w:pPr>
    </w:p>
    <w:p w14:paraId="384003E0">
      <w:pPr>
        <w:spacing w:line="244" w:lineRule="auto"/>
        <w:rPr>
          <w:rFonts w:ascii="Arial"/>
          <w:sz w:val="21"/>
        </w:rPr>
      </w:pPr>
    </w:p>
    <w:p w14:paraId="5177F0BD">
      <w:pPr>
        <w:spacing w:line="244" w:lineRule="auto"/>
        <w:rPr>
          <w:rFonts w:ascii="Arial"/>
          <w:sz w:val="21"/>
        </w:rPr>
      </w:pPr>
    </w:p>
    <w:p w14:paraId="0306E97E">
      <w:pPr>
        <w:spacing w:line="244" w:lineRule="auto"/>
        <w:rPr>
          <w:rFonts w:ascii="Arial"/>
          <w:sz w:val="21"/>
        </w:rPr>
      </w:pPr>
    </w:p>
    <w:p w14:paraId="25A5C229">
      <w:pPr>
        <w:spacing w:line="244" w:lineRule="auto"/>
        <w:rPr>
          <w:rFonts w:ascii="Arial"/>
          <w:sz w:val="21"/>
        </w:rPr>
      </w:pPr>
    </w:p>
    <w:p w14:paraId="3F811774">
      <w:pPr>
        <w:spacing w:line="244" w:lineRule="auto"/>
        <w:rPr>
          <w:rFonts w:ascii="Arial"/>
          <w:sz w:val="21"/>
        </w:rPr>
      </w:pPr>
    </w:p>
    <w:p w14:paraId="25B3FBBA">
      <w:pPr>
        <w:spacing w:line="244" w:lineRule="auto"/>
        <w:rPr>
          <w:rFonts w:ascii="Arial"/>
          <w:sz w:val="21"/>
        </w:rPr>
      </w:pPr>
    </w:p>
    <w:p w14:paraId="58465398">
      <w:pPr>
        <w:spacing w:line="244" w:lineRule="auto"/>
        <w:rPr>
          <w:rFonts w:ascii="Arial"/>
          <w:sz w:val="21"/>
        </w:rPr>
      </w:pPr>
    </w:p>
    <w:p w14:paraId="0C4535AF">
      <w:pPr>
        <w:spacing w:line="244" w:lineRule="auto"/>
        <w:rPr>
          <w:rFonts w:ascii="Arial"/>
          <w:sz w:val="21"/>
        </w:rPr>
      </w:pPr>
    </w:p>
    <w:p w14:paraId="207800E2">
      <w:pPr>
        <w:spacing w:line="244" w:lineRule="auto"/>
        <w:rPr>
          <w:rFonts w:ascii="Arial"/>
          <w:sz w:val="21"/>
        </w:rPr>
      </w:pPr>
    </w:p>
    <w:p w14:paraId="394AC30C">
      <w:pPr>
        <w:spacing w:before="92" w:line="183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-</w:t>
      </w:r>
    </w:p>
    <w:p w14:paraId="7BB9A25E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6" w:type="default"/>
          <w:footerReference r:id="rId7" w:type="default"/>
          <w:pgSz w:w="11906" w:h="16839"/>
          <w:pgMar w:top="1975" w:right="1467" w:bottom="2050" w:left="1587" w:header="1329" w:footer="1385" w:gutter="0"/>
          <w:cols w:space="720" w:num="1"/>
        </w:sectPr>
      </w:pPr>
    </w:p>
    <w:p w14:paraId="176D1D86">
      <w:pPr>
        <w:pStyle w:val="2"/>
        <w:spacing w:before="69" w:line="216" w:lineRule="auto"/>
        <w:ind w:left="686"/>
      </w:pPr>
      <w:r>
        <w:rPr>
          <w:spacing w:val="9"/>
        </w:rPr>
        <w:t>江津区农村生活污水处理设施建设运行</w:t>
      </w:r>
    </w:p>
    <w:p w14:paraId="63DD8C4C">
      <w:pPr>
        <w:pStyle w:val="2"/>
        <w:spacing w:before="5" w:line="215" w:lineRule="auto"/>
        <w:ind w:left="3111"/>
        <w:outlineLvl w:val="0"/>
      </w:pPr>
      <w:r>
        <w:rPr>
          <w:spacing w:val="8"/>
        </w:rPr>
        <w:t>维护管理办法</w:t>
      </w:r>
    </w:p>
    <w:p w14:paraId="4E480F89">
      <w:pPr>
        <w:spacing w:before="105" w:line="474" w:lineRule="exact"/>
        <w:ind w:left="377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4"/>
          <w:position w:val="3"/>
          <w:sz w:val="31"/>
          <w:szCs w:val="31"/>
        </w:rPr>
        <w:t>（试行）</w:t>
      </w:r>
    </w:p>
    <w:p w14:paraId="6713C137"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 w14:paraId="0B188AD7">
      <w:pPr>
        <w:spacing w:line="287" w:lineRule="auto"/>
        <w:rPr>
          <w:rFonts w:ascii="Arial"/>
          <w:sz w:val="21"/>
        </w:rPr>
      </w:pPr>
    </w:p>
    <w:p w14:paraId="187B23A6">
      <w:pPr>
        <w:spacing w:before="115" w:line="211" w:lineRule="auto"/>
        <w:ind w:left="347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第一章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 xml:space="preserve">   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总则</w:t>
      </w:r>
    </w:p>
    <w:p w14:paraId="7D49960F">
      <w:pPr>
        <w:spacing w:before="152" w:line="299" w:lineRule="auto"/>
        <w:ind w:left="15" w:right="7" w:firstLine="65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第一条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为规范和加强全区农村生活污水处理设施规划、建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设、运行维护和监督管理，保障污水处理设施统一高效建设、正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常稳定运行，切实改善农村水环境，提升农村人居环境质量，根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据相关法律法规，结合本区实际，特制定本办法。</w:t>
      </w:r>
    </w:p>
    <w:p w14:paraId="0A3AE03B">
      <w:pPr>
        <w:spacing w:before="41" w:line="297" w:lineRule="auto"/>
        <w:ind w:left="19" w:right="5" w:firstLine="65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第二条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本办法所称农村生活污水，是指农村居民生活活动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产生的污水，主要包括冲厕、洗涤、洗浴和厨房等排水，不包括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工业企业废水和畜禽、水产养殖等农业生产废水。</w:t>
      </w:r>
    </w:p>
    <w:p w14:paraId="6A00C9B6">
      <w:pPr>
        <w:spacing w:before="41" w:line="300" w:lineRule="auto"/>
        <w:ind w:left="15" w:right="7" w:firstLine="6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本办法所称农村生活污水处理设施，是指农村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生活污水处理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设施构筑物（设备）以及接纳、输送污水的管网和辅助设施（泵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站等相关设施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不包括分户处理设施。</w:t>
      </w:r>
    </w:p>
    <w:p w14:paraId="384810F6">
      <w:pPr>
        <w:spacing w:before="37" w:line="297" w:lineRule="auto"/>
        <w:ind w:left="18" w:right="7" w:firstLine="6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农村生活污水分户处理设施，是指对单户或多户的污水进行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就地处理的设施，如化粪池、生化池等。</w:t>
      </w:r>
    </w:p>
    <w:p w14:paraId="4FF0D9AB">
      <w:pPr>
        <w:spacing w:before="34" w:line="296" w:lineRule="auto"/>
        <w:ind w:left="16" w:right="5" w:firstLine="65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第三条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农村生活污水处理设施规划、建设运行维护和监督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管理按照“统一规划、因地制宜、按需建设”的原则，保障污水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处理设施有效覆盖、正常运行，达标排放。</w:t>
      </w:r>
    </w:p>
    <w:p w14:paraId="70F3ECD5">
      <w:pPr>
        <w:spacing w:before="43" w:line="241" w:lineRule="auto"/>
        <w:jc w:val="righ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第四条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本办法适用于本行政区域内涉农社区、行政村、自</w:t>
      </w:r>
    </w:p>
    <w:p w14:paraId="44D1A718">
      <w:pPr>
        <w:spacing w:before="170" w:line="183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-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3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390C9867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975" w:right="1467" w:bottom="2050" w:left="1587" w:header="1329" w:footer="1385" w:gutter="0"/>
          <w:cols w:space="720" w:num="1"/>
        </w:sectPr>
      </w:pPr>
    </w:p>
    <w:p w14:paraId="2ABA1396">
      <w:pPr>
        <w:spacing w:before="168" w:line="298" w:lineRule="auto"/>
        <w:ind w:left="16" w:firstLine="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然村、农村村（社）、集中居民点生活污水收集处理设施的规划、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建设、改造、运行维护和监督管理。</w:t>
      </w:r>
    </w:p>
    <w:p w14:paraId="7CAF5309">
      <w:pPr>
        <w:spacing w:line="254" w:lineRule="auto"/>
        <w:rPr>
          <w:rFonts w:ascii="Arial"/>
          <w:sz w:val="21"/>
        </w:rPr>
      </w:pPr>
    </w:p>
    <w:p w14:paraId="0BEFD43B">
      <w:pPr>
        <w:spacing w:line="255" w:lineRule="auto"/>
        <w:rPr>
          <w:rFonts w:ascii="Arial"/>
          <w:sz w:val="21"/>
        </w:rPr>
      </w:pPr>
    </w:p>
    <w:p w14:paraId="20B16709">
      <w:pPr>
        <w:spacing w:before="116" w:line="211" w:lineRule="auto"/>
        <w:ind w:left="315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第二章    职责分工</w:t>
      </w:r>
    </w:p>
    <w:p w14:paraId="1059B525">
      <w:pPr>
        <w:spacing w:before="160" w:line="302" w:lineRule="auto"/>
        <w:ind w:left="15" w:right="122" w:firstLine="65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第五条    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区生态环境局负责农村生活污水处理设施统一监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督管理，具体负责农村集中式生活污水处理站及其配套管网等设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施设备建设、改造和运营维护的监督管理，出水水质的监督检查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和排污许可管理等。根据农村生活污水处理设施规划和实际收集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情况，督促指导镇（街）人民政府提高辖区内农村生活污水处理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设施覆盖率和处理率。负责申报农村生活污水治理相关项目争取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上级资金支持。</w:t>
      </w:r>
    </w:p>
    <w:p w14:paraId="6CDBF432">
      <w:pPr>
        <w:spacing w:before="35" w:line="295" w:lineRule="auto"/>
        <w:ind w:left="23" w:right="125" w:firstLine="647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第</w:t>
      </w:r>
      <w:r>
        <w:rPr>
          <w:rFonts w:ascii="方正楷体_GBK" w:hAnsi="方正楷体_GBK" w:eastAsia="方正楷体_GBK" w:cs="方正楷体_GBK"/>
          <w:spacing w:val="-4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 xml:space="preserve">六条   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区发展改革委负责协助农村生活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污水治理相关项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目</w:t>
      </w:r>
      <w:r>
        <w:rPr>
          <w:rFonts w:ascii="方正仿宋_GBK" w:hAnsi="方正仿宋_GBK" w:eastAsia="方正仿宋_GBK" w:cs="方正仿宋_GBK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申报上级资金支持；贯彻落实国家和重庆市在农村污水处理设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施用电价格等方面优惠政策。</w:t>
      </w:r>
    </w:p>
    <w:p w14:paraId="75689D1C">
      <w:pPr>
        <w:spacing w:before="48" w:line="288" w:lineRule="auto"/>
        <w:ind w:left="20" w:right="51" w:firstLine="64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第七条    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区财政局负责将农村污水治理设施建设和运维费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用纳入年度财政预算；监督资金使用情况，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确保设施长效运行。</w:t>
      </w:r>
    </w:p>
    <w:p w14:paraId="24A90B12">
      <w:pPr>
        <w:spacing w:before="56" w:line="299" w:lineRule="auto"/>
        <w:ind w:left="21" w:right="125" w:firstLine="64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第八条    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区住房城乡建委负责城镇排水与生活污水处理设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施的建设运行管理，监督执行城镇排水与生活污水处理设施政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策、标准、规划。协助推进城镇污水处理厂服务范围向农村区域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延伸，依法对符合排放要求的排水户核发排水许可。</w:t>
      </w:r>
    </w:p>
    <w:p w14:paraId="067438B2">
      <w:pPr>
        <w:spacing w:before="39" w:line="241" w:lineRule="auto"/>
        <w:ind w:left="670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第九条    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区农业农村委负责农户户用卫生厕所无害化改造</w:t>
      </w:r>
    </w:p>
    <w:p w14:paraId="10E8D7D5">
      <w:pPr>
        <w:spacing w:before="169" w:line="183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 w14:paraId="6798D9DD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8" w:type="default"/>
          <w:footerReference r:id="rId9" w:type="default"/>
          <w:pgSz w:w="11906" w:h="16839"/>
          <w:pgMar w:top="1975" w:right="1350" w:bottom="2050" w:left="1587" w:header="1329" w:footer="1385" w:gutter="0"/>
          <w:cols w:space="720" w:num="1"/>
        </w:sectPr>
      </w:pPr>
    </w:p>
    <w:p w14:paraId="5BC6395A">
      <w:pPr>
        <w:spacing w:before="170" w:line="299" w:lineRule="auto"/>
        <w:ind w:left="15" w:right="100" w:firstLine="38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以及农户粪便处理和资源化利用工作。统筹推进农村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厕所粪污处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理与农村生活污水治理有效衔接，鼓励因地制宜结合实际推动粪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污就地就农消纳、资源化利用。</w:t>
      </w:r>
    </w:p>
    <w:p w14:paraId="5FF30943">
      <w:pPr>
        <w:spacing w:before="38" w:line="296" w:lineRule="auto"/>
        <w:ind w:left="49" w:right="100" w:firstLine="62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第十条    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区畜牧兽医发展中心负责指导畜禽规模养殖污染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防治和资源化利用工作，规范畜禽养殖，建立畜禽规模养殖污染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防治长效机制，依法依规处理畜禽养殖污水。</w:t>
      </w:r>
    </w:p>
    <w:p w14:paraId="5DA091EC">
      <w:pPr>
        <w:spacing w:before="45" w:line="296" w:lineRule="auto"/>
        <w:ind w:left="21" w:right="100" w:firstLine="648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 xml:space="preserve">第十一条   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江津区规划自然资源局负责将主管部门编制的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专项规划纳入国土空间规划，指导镇（街）按需求落实用地；指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导农村生活污水处理站完善用地手续。</w:t>
      </w:r>
    </w:p>
    <w:p w14:paraId="25A4C3A8">
      <w:pPr>
        <w:spacing w:before="37" w:line="303" w:lineRule="auto"/>
        <w:ind w:left="13" w:firstLine="657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第十二条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各镇（街）人民政府是农村生活污水处理设施的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管理主体，负责污水处理设施（主要是污水收集管网和检查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井等，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主干管网等移交运维公司的除外）建设、维护管理和日常巡查，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保证农村生活污水覆盖率和完好率。履行属地责任，加强对农村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生活污水处理设施运行的监督管理，协助运维单位解决运行维护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相关问题。加强宣传教育，引导农户主动参与监督农村生活污水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处理设施运营管理。</w:t>
      </w:r>
    </w:p>
    <w:p w14:paraId="0B6E45CC">
      <w:pPr>
        <w:spacing w:before="35" w:line="300" w:lineRule="auto"/>
        <w:ind w:left="16" w:right="100" w:firstLine="64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村（居）民委员会应当协助属地人民政府做好农村生活污水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处理设施日常巡查，对影响设施正常运行和危及设施安全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的行为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予以劝阻，并及时向属地人民政府报告。</w:t>
      </w:r>
    </w:p>
    <w:p w14:paraId="70716C64">
      <w:pPr>
        <w:spacing w:line="256" w:lineRule="auto"/>
        <w:rPr>
          <w:rFonts w:ascii="Arial"/>
          <w:sz w:val="21"/>
        </w:rPr>
      </w:pPr>
    </w:p>
    <w:p w14:paraId="038A6ABE">
      <w:pPr>
        <w:spacing w:line="256" w:lineRule="auto"/>
        <w:rPr>
          <w:rFonts w:ascii="Arial"/>
          <w:sz w:val="21"/>
        </w:rPr>
      </w:pPr>
    </w:p>
    <w:p w14:paraId="1977FF03">
      <w:pPr>
        <w:spacing w:before="116" w:line="211" w:lineRule="auto"/>
        <w:ind w:left="3157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第三章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 xml:space="preserve">   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运维管理</w:t>
      </w:r>
    </w:p>
    <w:p w14:paraId="0BC07B6A">
      <w:pPr>
        <w:spacing w:before="217" w:line="182" w:lineRule="auto"/>
        <w:ind w:left="8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-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-</w:t>
      </w:r>
    </w:p>
    <w:p w14:paraId="3E9EFCA9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headerReference r:id="rId10" w:type="default"/>
          <w:footerReference r:id="rId11" w:type="default"/>
          <w:pgSz w:w="11906" w:h="16839"/>
          <w:pgMar w:top="1975" w:right="1375" w:bottom="2050" w:left="1587" w:header="1329" w:footer="1385" w:gutter="0"/>
          <w:cols w:space="720" w:num="1"/>
        </w:sectPr>
      </w:pPr>
    </w:p>
    <w:p w14:paraId="3DF5BACF">
      <w:pPr>
        <w:spacing w:before="166" w:line="294" w:lineRule="auto"/>
        <w:ind w:left="16" w:right="45" w:firstLine="65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第十三条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移交运维单位统一管理的，由区政府授权</w:t>
      </w:r>
      <w:r>
        <w:rPr>
          <w:rFonts w:ascii="宋体" w:hAnsi="宋体" w:eastAsia="宋体" w:cs="宋体"/>
          <w:spacing w:val="4"/>
          <w:sz w:val="31"/>
          <w:szCs w:val="31"/>
        </w:rPr>
        <w:t>单位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签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订运维合同。合同应明确双方权利义务，载明运维服务的范围、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内容、目标效果、费用和违约责任等。</w:t>
      </w:r>
    </w:p>
    <w:p w14:paraId="318BDF92">
      <w:pPr>
        <w:spacing w:before="57" w:line="297" w:lineRule="auto"/>
        <w:ind w:left="25" w:right="125" w:firstLine="63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统一运维单位负责已移交农村生活污水处理站（管网）的运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维管理，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同时负责移交设施设备的维修维护。</w:t>
      </w:r>
    </w:p>
    <w:p w14:paraId="7871F322">
      <w:pPr>
        <w:spacing w:before="35" w:line="303" w:lineRule="auto"/>
        <w:ind w:left="14" w:firstLine="65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第十四条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各镇（街）人民政府应严格限制农村生活污水处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理设施进水种类。学校、企事业单位、集贸市场等农村公共服务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 设施；农家乐、餐饮、汽修等经营活动，酿酒、卤菜等家庭小作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坊及其他可能对农村污水处理设施产生一定冲击的活动所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产生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的污水，必须经预处理达到相关要求，依法纳入排水许可管理的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需取得排水许可后，方可接入农村生活污水处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理设施。工业废水、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畜禽养殖废水和医疗机构废水等生产废水未经预处理达相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关要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求不得进入农村生活污水处理设施。</w:t>
      </w:r>
    </w:p>
    <w:p w14:paraId="14F5C358">
      <w:pPr>
        <w:spacing w:before="29" w:line="302" w:lineRule="auto"/>
        <w:ind w:left="14" w:right="45" w:firstLine="65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第十五条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运维单位应按有关规定配备专业的运维人员、设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备和专用工具。建立健全各项规章制度，将污水处理设施概况、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平面布置图、运营维护范围、排放标准、巡查时间等内容上墙明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示，接受社会监督。对每套农村生活污水处理设施建立运行维护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管理台账，包括农村生活污水处理设施信息、巡查巡检、维护维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修、出水水量水质监测、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电力药剂消耗等记录，并随时备查。</w:t>
      </w:r>
    </w:p>
    <w:p w14:paraId="57275478">
      <w:pPr>
        <w:spacing w:before="41" w:line="297" w:lineRule="auto"/>
        <w:ind w:left="8" w:right="122" w:firstLine="648"/>
        <w:rPr>
          <w:rFonts w:ascii="宋体" w:hAnsi="宋体" w:eastAsia="宋体" w:cs="宋体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运维单位应建立农村生活污水处理设施进出水水量和水质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的监测制度。集中处理设施，进出水水质的监测频次每半年不得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-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-</w:t>
      </w:r>
    </w:p>
    <w:p w14:paraId="206D5878">
      <w:pPr>
        <w:spacing w:line="297" w:lineRule="auto"/>
        <w:rPr>
          <w:rFonts w:ascii="宋体" w:hAnsi="宋体" w:eastAsia="宋体" w:cs="宋体"/>
          <w:sz w:val="28"/>
          <w:szCs w:val="28"/>
        </w:rPr>
        <w:sectPr>
          <w:headerReference r:id="rId12" w:type="default"/>
          <w:footerReference r:id="rId13" w:type="default"/>
          <w:pgSz w:w="11906" w:h="16839"/>
          <w:pgMar w:top="1975" w:right="1350" w:bottom="2050" w:left="1587" w:header="1329" w:footer="1385" w:gutter="0"/>
          <w:cols w:space="720" w:num="1"/>
        </w:sectPr>
      </w:pPr>
    </w:p>
    <w:p w14:paraId="55CC7D71">
      <w:pPr>
        <w:spacing w:before="166" w:line="301" w:lineRule="auto"/>
        <w:ind w:left="44" w:right="125" w:hanging="1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少于一次；分散处理设施，进出水水质的监测频次每年不得少于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一次。</w:t>
      </w:r>
    </w:p>
    <w:p w14:paraId="38CC317E">
      <w:pPr>
        <w:spacing w:before="18" w:line="300" w:lineRule="auto"/>
        <w:ind w:left="26" w:firstLine="653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 xml:space="preserve">第十六条   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运维单位应对农村生活污水处理中产生的污泥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 定期清掏、规范处置，并建立污泥产生、转运、处置等台账。鼓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励对污泥进行资源化利用。任何单位和个人不得擅自倾倒、堆放、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丢弃、遗撒污泥。</w:t>
      </w:r>
    </w:p>
    <w:p w14:paraId="31AB2155">
      <w:pPr>
        <w:spacing w:before="31" w:line="301" w:lineRule="auto"/>
        <w:ind w:left="25" w:firstLine="65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 xml:space="preserve">第十七条  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运维单位不得擅自停运农村生活污水处理设施，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如因设备检修、维护等确需停运的，运维单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位应提前将停运原因、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停运时间和应急措施等向区生态环境局报告（镇级以上污水处理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设施除外</w:t>
      </w:r>
      <w:r>
        <w:rPr>
          <w:rFonts w:ascii="方正仿宋_GBK" w:hAnsi="方正仿宋_GBK" w:eastAsia="方正仿宋_GBK" w:cs="方正仿宋_GBK"/>
          <w:spacing w:val="-69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并抄告属地镇（街）。同时应采取临时措施收集或处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理污水，不得外溢影响生态环境。</w:t>
      </w:r>
    </w:p>
    <w:p w14:paraId="33A349F7">
      <w:pPr>
        <w:spacing w:before="37" w:line="301" w:lineRule="auto"/>
        <w:ind w:right="122" w:firstLine="679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5"/>
          <w:sz w:val="31"/>
          <w:szCs w:val="31"/>
        </w:rPr>
        <w:t xml:space="preserve">第十八条   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农村生活污水处理设施因存在故障或不可抗力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导致设施无法正常运行的，运维单位应启动应急预案，并及时上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报主管部门，并抄告属地镇（街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限期完成抢修、整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改等。对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存在进水水量、水质异常等问题的，应向相关主管部门及属地镇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（街）报告并留存证据，配合有关部门开展溯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源排查。</w:t>
      </w:r>
    </w:p>
    <w:p w14:paraId="7CD02BC5">
      <w:pPr>
        <w:spacing w:line="258" w:lineRule="auto"/>
        <w:rPr>
          <w:rFonts w:ascii="Arial"/>
          <w:sz w:val="21"/>
        </w:rPr>
      </w:pPr>
    </w:p>
    <w:p w14:paraId="16E05540">
      <w:pPr>
        <w:spacing w:line="258" w:lineRule="auto"/>
        <w:rPr>
          <w:rFonts w:ascii="Arial"/>
          <w:sz w:val="21"/>
        </w:rPr>
      </w:pPr>
    </w:p>
    <w:p w14:paraId="67DC53AB">
      <w:pPr>
        <w:spacing w:before="115" w:line="211" w:lineRule="auto"/>
        <w:ind w:left="316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第四章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 xml:space="preserve">   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监督考核</w:t>
      </w:r>
    </w:p>
    <w:p w14:paraId="2B55B266">
      <w:pPr>
        <w:spacing w:before="154" w:line="294" w:lineRule="auto"/>
        <w:ind w:left="26" w:right="66" w:firstLine="653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 xml:space="preserve">第十九条   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属地镇（街）人民政府应每月巡查不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少于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次；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区生态环境局应结合工作实际开展检查，并适时将农村生活污水 处理设施运营管理情况纳入相关督查，检查、督查结果纳入对镇</w:t>
      </w:r>
    </w:p>
    <w:p w14:paraId="51AFF70E">
      <w:pPr>
        <w:spacing w:before="116" w:line="182" w:lineRule="auto"/>
        <w:ind w:left="81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-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-</w:t>
      </w:r>
    </w:p>
    <w:p w14:paraId="7A87A433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headerReference r:id="rId14" w:type="default"/>
          <w:footerReference r:id="rId15" w:type="default"/>
          <w:pgSz w:w="11906" w:h="16839"/>
          <w:pgMar w:top="1975" w:right="1350" w:bottom="2050" w:left="1577" w:header="1329" w:footer="1385" w:gutter="0"/>
          <w:cols w:space="720" w:num="1"/>
        </w:sectPr>
      </w:pPr>
    </w:p>
    <w:p w14:paraId="084D632E">
      <w:pPr>
        <w:spacing w:before="167" w:line="235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（街）的年度生态环境质量考核内容之一。</w:t>
      </w:r>
    </w:p>
    <w:p w14:paraId="1A8C96AF">
      <w:pPr>
        <w:spacing w:before="134" w:line="303" w:lineRule="auto"/>
        <w:ind w:left="25" w:right="71" w:firstLine="68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区生态环境局会同区财政局建立运维绩效考核评估机制，每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年组织对运维单位开展考核评估；定期或不定期对农村生活污水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处理设施出水水质进行监督性监测，考核结果和监测结果作为拨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付运行维护经费的重要依据。</w:t>
      </w:r>
    </w:p>
    <w:p w14:paraId="2DAB35C1">
      <w:pPr>
        <w:spacing w:before="27" w:line="287" w:lineRule="auto"/>
        <w:ind w:left="28" w:firstLine="65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 xml:space="preserve">第二十条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运营单位有下列行为之一的，农村生活污水处理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行政主管部门报经区政府批准同意后，可以终止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相关运营协议。</w:t>
      </w:r>
    </w:p>
    <w:p w14:paraId="3A488AF4">
      <w:pPr>
        <w:spacing w:before="59" w:line="302" w:lineRule="auto"/>
        <w:ind w:left="29" w:right="70" w:firstLine="63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存在重大安全隐患且在规定的期限内不予整改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的；因管理不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善，发生重大水污染事故、生产安全事故的；擅自停运，严重影 响社会公共利益和环境安全的；上级法律、法规规定可以终止特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许经营协议的其他情形。</w:t>
      </w:r>
    </w:p>
    <w:p w14:paraId="41D7930B">
      <w:pPr>
        <w:spacing w:line="254" w:lineRule="auto"/>
        <w:rPr>
          <w:rFonts w:ascii="Arial"/>
          <w:sz w:val="21"/>
        </w:rPr>
      </w:pPr>
    </w:p>
    <w:p w14:paraId="5EF12F43">
      <w:pPr>
        <w:spacing w:line="254" w:lineRule="auto"/>
        <w:rPr>
          <w:rFonts w:ascii="Arial"/>
          <w:sz w:val="21"/>
        </w:rPr>
      </w:pPr>
    </w:p>
    <w:p w14:paraId="254B8400">
      <w:pPr>
        <w:spacing w:before="116" w:line="211" w:lineRule="auto"/>
        <w:ind w:left="348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第五章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 xml:space="preserve">   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附则</w:t>
      </w:r>
    </w:p>
    <w:p w14:paraId="15D8E1C6">
      <w:pPr>
        <w:spacing w:before="155" w:line="473" w:lineRule="exact"/>
        <w:ind w:left="67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7"/>
          <w:position w:val="3"/>
          <w:sz w:val="31"/>
          <w:szCs w:val="31"/>
        </w:rPr>
        <w:t xml:space="preserve">第二十一条    </w:t>
      </w:r>
      <w:r>
        <w:rPr>
          <w:rFonts w:ascii="方正仿宋_GBK" w:hAnsi="方正仿宋_GBK" w:eastAsia="方正仿宋_GBK" w:cs="方正仿宋_GBK"/>
          <w:spacing w:val="7"/>
          <w:position w:val="3"/>
          <w:sz w:val="31"/>
          <w:szCs w:val="31"/>
        </w:rPr>
        <w:t>本办法由区生态环境局负责解释。</w:t>
      </w:r>
    </w:p>
    <w:p w14:paraId="2DE57E97">
      <w:pPr>
        <w:spacing w:before="104" w:line="290" w:lineRule="auto"/>
        <w:ind w:left="25" w:right="18" w:firstLine="65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 xml:space="preserve">第二十二条  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本办法如与法律、法规和规章制度不一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致的，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按法律、法规和规章制度的有关规定执行。</w:t>
      </w:r>
    </w:p>
    <w:p w14:paraId="424878B3">
      <w:pPr>
        <w:spacing w:before="48" w:line="241" w:lineRule="auto"/>
        <w:ind w:left="679"/>
        <w:outlineLvl w:val="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 xml:space="preserve">第二十三条  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本办法自印发之日起施行。</w:t>
      </w:r>
    </w:p>
    <w:p w14:paraId="60D375C5">
      <w:pPr>
        <w:spacing w:line="264" w:lineRule="auto"/>
        <w:rPr>
          <w:rFonts w:ascii="Arial"/>
          <w:sz w:val="21"/>
        </w:rPr>
      </w:pPr>
    </w:p>
    <w:p w14:paraId="203BF2DC">
      <w:pPr>
        <w:spacing w:line="264" w:lineRule="auto"/>
        <w:rPr>
          <w:rFonts w:ascii="Arial"/>
          <w:sz w:val="21"/>
        </w:rPr>
      </w:pPr>
    </w:p>
    <w:p w14:paraId="5B6B5F81">
      <w:pPr>
        <w:spacing w:line="264" w:lineRule="auto"/>
        <w:rPr>
          <w:rFonts w:ascii="Arial"/>
          <w:sz w:val="21"/>
        </w:rPr>
      </w:pPr>
    </w:p>
    <w:p w14:paraId="1E526D5B">
      <w:pPr>
        <w:spacing w:line="264" w:lineRule="auto"/>
        <w:rPr>
          <w:rFonts w:ascii="Arial"/>
          <w:sz w:val="21"/>
        </w:rPr>
      </w:pPr>
    </w:p>
    <w:p w14:paraId="46D4F9BB">
      <w:pPr>
        <w:spacing w:line="264" w:lineRule="auto"/>
        <w:rPr>
          <w:rFonts w:ascii="Arial"/>
          <w:sz w:val="21"/>
        </w:rPr>
      </w:pPr>
    </w:p>
    <w:p w14:paraId="334521B3">
      <w:pPr>
        <w:spacing w:line="265" w:lineRule="auto"/>
        <w:rPr>
          <w:rFonts w:ascii="Arial"/>
          <w:sz w:val="21"/>
        </w:rPr>
      </w:pPr>
    </w:p>
    <w:p w14:paraId="72F2815D">
      <w:pPr>
        <w:spacing w:line="265" w:lineRule="auto"/>
        <w:rPr>
          <w:rFonts w:ascii="Arial"/>
          <w:sz w:val="21"/>
        </w:rPr>
      </w:pPr>
    </w:p>
    <w:p w14:paraId="003978DC">
      <w:pPr>
        <w:spacing w:line="265" w:lineRule="auto"/>
        <w:rPr>
          <w:rFonts w:ascii="Arial"/>
          <w:sz w:val="21"/>
        </w:rPr>
      </w:pPr>
    </w:p>
    <w:p w14:paraId="2934AE60">
      <w:pPr>
        <w:spacing w:line="265" w:lineRule="auto"/>
        <w:rPr>
          <w:rFonts w:ascii="Arial"/>
          <w:sz w:val="21"/>
        </w:rPr>
      </w:pPr>
    </w:p>
    <w:p w14:paraId="29553D37">
      <w:pPr>
        <w:spacing w:before="92" w:line="183" w:lineRule="auto"/>
        <w:ind w:left="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-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-</w:t>
      </w:r>
    </w:p>
    <w:sectPr>
      <w:headerReference r:id="rId16" w:type="default"/>
      <w:footerReference r:id="rId17" w:type="default"/>
      <w:pgSz w:w="11906" w:h="16839"/>
      <w:pgMar w:top="1975" w:right="1402" w:bottom="2050" w:left="1577" w:header="1329" w:footer="13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C39D">
    <w:pPr>
      <w:spacing w:line="38" w:lineRule="exact"/>
    </w:pPr>
    <w:r>
      <w:drawing>
        <wp:inline distT="0" distB="0" distL="0" distR="0">
          <wp:extent cx="5615940" cy="2413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D43FD">
    <w:pPr>
      <w:spacing w:line="292" w:lineRule="auto"/>
      <w:rPr>
        <w:rFonts w:ascii="Arial"/>
        <w:sz w:val="21"/>
      </w:rPr>
    </w:pPr>
  </w:p>
  <w:p w14:paraId="23F2D780">
    <w:pPr>
      <w:spacing w:before="1" w:line="212" w:lineRule="auto"/>
      <w:ind w:firstLine="4952" w:firstLineChars="18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-3"/>
        <w:sz w:val="28"/>
        <w:szCs w:val="28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DCCB">
    <w:pPr>
      <w:spacing w:line="38" w:lineRule="exact"/>
    </w:pPr>
    <w:r>
      <w:drawing>
        <wp:inline distT="0" distB="0" distL="0" distR="0">
          <wp:extent cx="5615940" cy="24130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31ABB">
    <w:pPr>
      <w:spacing w:line="292" w:lineRule="auto"/>
      <w:rPr>
        <w:rFonts w:ascii="Arial"/>
        <w:sz w:val="21"/>
      </w:rPr>
    </w:pPr>
  </w:p>
  <w:p w14:paraId="378A76CF">
    <w:pPr>
      <w:spacing w:before="1" w:line="212" w:lineRule="auto"/>
      <w:ind w:left="4357" w:firstLine="550" w:firstLineChars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-3"/>
        <w:sz w:val="28"/>
        <w:szCs w:val="28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发布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8FCE">
    <w:pPr>
      <w:spacing w:line="38" w:lineRule="exact"/>
    </w:pPr>
    <w:r>
      <w:drawing>
        <wp:inline distT="0" distB="0" distL="0" distR="0">
          <wp:extent cx="5615940" cy="24130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36A2E">
    <w:pPr>
      <w:spacing w:line="292" w:lineRule="auto"/>
      <w:rPr>
        <w:rFonts w:ascii="Arial"/>
        <w:sz w:val="21"/>
      </w:rPr>
    </w:pPr>
  </w:p>
  <w:p w14:paraId="02458A0E">
    <w:pPr>
      <w:spacing w:before="1" w:line="212" w:lineRule="auto"/>
      <w:ind w:firstLine="4952" w:firstLineChars="18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-3"/>
        <w:sz w:val="28"/>
        <w:szCs w:val="28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发布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13998">
    <w:pPr>
      <w:spacing w:line="38" w:lineRule="exact"/>
    </w:pPr>
    <w:r>
      <w:drawing>
        <wp:inline distT="0" distB="0" distL="0" distR="0">
          <wp:extent cx="5615940" cy="24130"/>
          <wp:effectExtent l="0" t="0" r="0" b="0"/>
          <wp:docPr id="9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E5AFD">
    <w:pPr>
      <w:spacing w:line="292" w:lineRule="auto"/>
      <w:rPr>
        <w:rFonts w:ascii="Arial"/>
        <w:sz w:val="21"/>
      </w:rPr>
    </w:pPr>
  </w:p>
  <w:p w14:paraId="358588DE">
    <w:pPr>
      <w:spacing w:before="1" w:line="212" w:lineRule="auto"/>
      <w:ind w:left="4357" w:firstLine="550" w:firstLineChars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-3"/>
        <w:sz w:val="28"/>
        <w:szCs w:val="28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发布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AB4CE">
    <w:pPr>
      <w:spacing w:line="38" w:lineRule="exact"/>
      <w:ind w:firstLine="9"/>
    </w:pPr>
    <w:r>
      <w:drawing>
        <wp:inline distT="0" distB="0" distL="0" distR="0">
          <wp:extent cx="5615940" cy="24130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F64FE">
    <w:pPr>
      <w:spacing w:line="292" w:lineRule="auto"/>
      <w:rPr>
        <w:rFonts w:ascii="Arial"/>
        <w:sz w:val="21"/>
      </w:rPr>
    </w:pPr>
  </w:p>
  <w:p w14:paraId="360C21CF">
    <w:pPr>
      <w:spacing w:before="1" w:line="212" w:lineRule="auto"/>
      <w:ind w:left="4367" w:firstLine="550" w:firstLineChars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-3"/>
        <w:sz w:val="28"/>
        <w:szCs w:val="28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发布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A3A7B">
    <w:pPr>
      <w:spacing w:line="38" w:lineRule="exact"/>
      <w:ind w:firstLine="9"/>
    </w:pPr>
    <w:r>
      <w:drawing>
        <wp:inline distT="0" distB="0" distL="0" distR="0">
          <wp:extent cx="5615940" cy="24130"/>
          <wp:effectExtent l="0" t="0" r="0" b="0"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1A1E8">
    <w:pPr>
      <w:spacing w:line="292" w:lineRule="auto"/>
      <w:rPr>
        <w:rFonts w:ascii="Arial"/>
        <w:sz w:val="21"/>
      </w:rPr>
    </w:pPr>
  </w:p>
  <w:p w14:paraId="1722076C">
    <w:pPr>
      <w:spacing w:before="1" w:line="212" w:lineRule="auto"/>
      <w:ind w:left="4367" w:firstLine="550" w:firstLineChars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-3"/>
        <w:sz w:val="28"/>
        <w:szCs w:val="28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-3"/>
        <w:sz w:val="28"/>
        <w:szCs w:val="28"/>
      </w:rPr>
      <w:t>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4C5BE">
    <w:pPr>
      <w:spacing w:before="93" w:line="224" w:lineRule="auto"/>
      <w:ind w:left="50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72A8AF85">
    <w:pPr>
      <w:spacing w:before="140" w:line="25" w:lineRule="exact"/>
    </w:pPr>
    <w:r>
      <w:drawing>
        <wp:inline distT="0" distB="0" distL="0" distR="0">
          <wp:extent cx="5620385" cy="158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74E73">
    <w:pPr>
      <w:spacing w:before="93" w:line="224" w:lineRule="auto"/>
      <w:ind w:left="50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14605" b="1905"/>
          <wp:wrapNone/>
          <wp:docPr id="1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4E172C66">
    <w:pPr>
      <w:spacing w:before="140" w:line="25" w:lineRule="exact"/>
    </w:pPr>
    <w:r>
      <w:drawing>
        <wp:inline distT="0" distB="0" distL="0" distR="0">
          <wp:extent cx="5620385" cy="25400"/>
          <wp:effectExtent l="0" t="0" r="3175" b="508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69CBE">
    <w:pPr>
      <w:spacing w:before="93" w:line="224" w:lineRule="auto"/>
      <w:ind w:left="50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07E753A0">
    <w:pPr>
      <w:spacing w:before="140" w:line="25" w:lineRule="exact"/>
    </w:pPr>
    <w:r>
      <w:drawing>
        <wp:inline distT="0" distB="0" distL="0" distR="0">
          <wp:extent cx="5620385" cy="25400"/>
          <wp:effectExtent l="0" t="0" r="3175" b="508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2B005">
    <w:pPr>
      <w:spacing w:before="93" w:line="224" w:lineRule="auto"/>
      <w:ind w:left="50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0" b="0"/>
          <wp:wrapNone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492D7C70">
    <w:pPr>
      <w:spacing w:before="140" w:line="25" w:lineRule="exact"/>
    </w:pPr>
    <w:r>
      <w:drawing>
        <wp:inline distT="0" distB="0" distL="0" distR="0">
          <wp:extent cx="5620385" cy="15875"/>
          <wp:effectExtent l="0" t="0" r="0" b="0"/>
          <wp:docPr id="3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B3DD4">
    <w:pPr>
      <w:spacing w:before="93" w:line="224" w:lineRule="auto"/>
      <w:ind w:left="50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0" b="0"/>
          <wp:wrapNone/>
          <wp:docPr id="5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54AFB4A5">
    <w:pPr>
      <w:spacing w:before="140" w:line="25" w:lineRule="exact"/>
    </w:pPr>
    <w:r>
      <w:drawing>
        <wp:inline distT="0" distB="0" distL="0" distR="0">
          <wp:extent cx="5620385" cy="25400"/>
          <wp:effectExtent l="0" t="0" r="3175" b="5080"/>
          <wp:docPr id="7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6800">
    <w:pPr>
      <w:spacing w:before="93" w:line="224" w:lineRule="auto"/>
      <w:ind w:left="51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7E04D02B">
    <w:pPr>
      <w:spacing w:before="140" w:line="25" w:lineRule="exact"/>
      <w:ind w:firstLine="9"/>
    </w:pPr>
    <w:r>
      <w:drawing>
        <wp:inline distT="0" distB="0" distL="0" distR="0">
          <wp:extent cx="5620385" cy="15875"/>
          <wp:effectExtent l="0" t="0" r="0" b="0"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F023E">
    <w:pPr>
      <w:spacing w:before="93" w:line="224" w:lineRule="auto"/>
      <w:ind w:left="51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1031875</wp:posOffset>
          </wp:positionH>
          <wp:positionV relativeFrom="page">
            <wp:posOffset>862330</wp:posOffset>
          </wp:positionV>
          <wp:extent cx="259715" cy="272415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重庆市江津区</w:t>
    </w:r>
    <w:r>
      <w:rPr>
        <w:rFonts w:hint="eastAsia" w:ascii="宋体" w:hAnsi="宋体" w:eastAsia="宋体" w:cs="宋体"/>
        <w:b/>
        <w:bCs/>
        <w:color w:val="005192"/>
        <w:spacing w:val="6"/>
        <w:sz w:val="31"/>
        <w:szCs w:val="31"/>
        <w:lang w:val="en-US" w:eastAsia="zh-CN"/>
      </w:rPr>
      <w:t>生态环境局</w:t>
    </w:r>
    <w:r>
      <w:rPr>
        <w:rFonts w:ascii="宋体" w:hAnsi="宋体" w:eastAsia="宋体" w:cs="宋体"/>
        <w:b/>
        <w:bCs/>
        <w:color w:val="005192"/>
        <w:spacing w:val="6"/>
        <w:sz w:val="31"/>
        <w:szCs w:val="31"/>
      </w:rPr>
      <w:t>行政规范性文件</w:t>
    </w:r>
  </w:p>
  <w:p w14:paraId="7E8362CB">
    <w:pPr>
      <w:spacing w:before="140" w:line="25" w:lineRule="exact"/>
      <w:ind w:firstLine="9"/>
    </w:pPr>
    <w:r>
      <w:drawing>
        <wp:inline distT="0" distB="0" distL="0" distR="0">
          <wp:extent cx="5620385" cy="15875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5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86329A"/>
    <w:rsid w:val="2CC8238F"/>
    <w:rsid w:val="2DBD7B2F"/>
    <w:rsid w:val="3C1C31C8"/>
    <w:rsid w:val="46220097"/>
    <w:rsid w:val="6E212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43"/>
      <w:szCs w:val="4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theme" Target="theme/theme1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3156</Words>
  <Characters>3168</Characters>
  <TotalTime>7</TotalTime>
  <ScaleCrop>false</ScaleCrop>
  <LinksUpToDate>false</LinksUpToDate>
  <CharactersWithSpaces>3641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2025-05-19T15:26:00Z</dcterms:created>
  <dc:creator>t</dc:creator>
  <cp:lastModifiedBy>郑伦敏</cp:lastModifiedBy>
  <dcterms:modified xsi:type="dcterms:W3CDTF">2025-07-21T07:06:09Z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2025-05-23T10:54:09Z</vt:filetime>
  </property>
  <property fmtid="{D5CDD505-2E9C-101B-9397-08002B2CF9AE}" pid="4" name="KSOTemplateDocerSaveRecord">
    <vt:lpwstr>eyJoZGlkIjoiNmYxODkyMzkzMzk5MGJjMzczYmVlZWJjZGMxNjllMzIiLCJ1c2VySWQiOiIxNjc5OTI1NDU2In0=</vt:lpwstr>
  </property>
  <property fmtid="{D5CDD505-2E9C-101B-9397-08002B2CF9AE}" pid="5" name="KSOProductBuildVer">
    <vt:lpwstr>2052-12.1.0.21915</vt:lpwstr>
  </property>
  <property fmtid="{D5CDD505-2E9C-101B-9397-08002B2CF9AE}" pid="6" name="ICV">
    <vt:lpwstr>77B9F3CF99A344E49D1BE13AD4AD4515_12</vt:lpwstr>
  </property>
</Properties>
</file>