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关于《江津区高污染燃料禁燃区巩固和扩大工作实施方案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（2021-2025年）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》的起草说明</w:t>
      </w:r>
    </w:p>
    <w:p>
      <w:pPr>
        <w:spacing w:line="560" w:lineRule="exact"/>
        <w:ind w:firstLine="640" w:firstLineChars="200"/>
        <w:jc w:val="center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一、起草基本情况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方正楷体_GBK" w:eastAsia="方正楷体_GBK"/>
          <w:sz w:val="32"/>
          <w:szCs w:val="32"/>
        </w:rPr>
        <w:t>（一）起草背景。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《江津区高污染燃料禁燃区巩固和扩大工作实施方案（</w:t>
      </w:r>
      <w:r>
        <w:rPr>
          <w:rFonts w:ascii="Times New Roman" w:hAnsi="Times New Roman" w:eastAsia="方正仿宋_GBK" w:cs="Times New Roman"/>
          <w:sz w:val="32"/>
          <w:szCs w:val="24"/>
        </w:rPr>
        <w:t>2018－2020年）》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实施，有力推动了江津区空气环境质量改善，助力江津中心城区空气质量优良天数由2017年245天上升至2020年311天，“江津蓝”逐渐成为常态。成绩得来殊为不易，为持续推动空气质量向优发展，助推碳达峰碳中和工作，江津区按照《重庆市生态环境局关于印发深入打好大气污染攻坚战2021年重点工作目标任务函》《重庆市生态环境局关于进一步巩固和扩大高污染燃料禁燃区的通知》等文件要求，开展高污染燃料禁燃区巩固和扩大工作，编制完成新一轮《江津区高污染燃料禁燃区巩固和扩大工作实施方案（</w:t>
      </w:r>
      <w:r>
        <w:rPr>
          <w:rFonts w:ascii="Times New Roman" w:hAnsi="Times New Roman" w:eastAsia="方正仿宋_GBK" w:cs="Times New Roman"/>
          <w:sz w:val="32"/>
          <w:szCs w:val="24"/>
        </w:rPr>
        <w:t>2021-2025）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》（下称《方案》）。通过推进《方案》实施，落实常态化管控措施，持续减少区域高污染燃料燃烧带来的污染，可以推动空气环境质量持续改善，助力“江津蓝”常驻。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方正楷体_GBK" w:eastAsia="方正楷体_GBK"/>
          <w:sz w:val="32"/>
          <w:szCs w:val="32"/>
        </w:rPr>
        <w:t>（二）起草经过。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江津区生态环境局高度重视高污染燃料禁燃区巩固和扩大工作，目前已完成两个阶段工作：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4"/>
        </w:rPr>
        <w:t>一是调研论证阶段（2021年12月）。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经过资料收集、初步分析、重点区域调研，形成划定思路。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4"/>
        </w:rPr>
        <w:t>二是衔接完善阶段（2022年1月-4月）。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1月上旬完成文本初稿编制，2月在局内部沟通完善后形成征求意见稿。3月9日召开意见征求会，现场对接几江、鼎山、圣泉、德感、双福等街道以及德感工业园发展中心、双福工业园中心意见建议，修改后形成本稿。</w:t>
      </w:r>
    </w:p>
    <w:p>
      <w:pPr>
        <w:spacing w:line="560" w:lineRule="exact"/>
        <w:ind w:firstLine="640" w:firstLineChars="200"/>
        <w:jc w:val="left"/>
        <w:outlineLvl w:val="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二、基本思路、框架、内容和目标</w:t>
      </w:r>
    </w:p>
    <w:p>
      <w:pPr>
        <w:spacing w:line="560" w:lineRule="exact"/>
        <w:ind w:firstLine="640" w:firstLineChars="200"/>
        <w:outlineLvl w:val="1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（一）工作思路、框架和工作目标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1.工作思路。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《方案》编制以“可实施、可落地”为基本思路，遵循以下三点。一是贯彻落实国家、重庆市关于禁燃区相关工作要求，二是科学划定禁燃区范围，确保扩大禁燃区符合空气环境质量改善要求，三是结合江津实际，广泛征求相关街道意见，确保禁燃区巩固扩大工作落地见效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2.基本框架。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《方案》框架包含</w:t>
      </w:r>
      <w:r>
        <w:rPr>
          <w:rFonts w:ascii="Times New Roman" w:hAnsi="Times New Roman" w:eastAsia="方正仿宋_GBK" w:cs="Times New Roman"/>
          <w:sz w:val="32"/>
          <w:szCs w:val="24"/>
        </w:rPr>
        <w:t>7个章节，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以及</w:t>
      </w:r>
      <w:r>
        <w:rPr>
          <w:rFonts w:ascii="Times New Roman" w:hAnsi="Times New Roman" w:eastAsia="方正仿宋_GBK" w:cs="Times New Roman"/>
          <w:sz w:val="32"/>
          <w:szCs w:val="24"/>
        </w:rPr>
        <w:t>附表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、</w:t>
      </w:r>
      <w:r>
        <w:rPr>
          <w:rFonts w:ascii="Times New Roman" w:hAnsi="Times New Roman" w:eastAsia="方正仿宋_GBK" w:cs="Times New Roman"/>
          <w:sz w:val="32"/>
          <w:szCs w:val="24"/>
        </w:rPr>
        <w:t>附图。其中，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第一章为总论，主要阐述本方案制定的背景和项目由来。第二章阐述区域基础概况（包括高污染燃料禁燃区工作成效等）。第三章梳理与高污染燃料禁燃区划分相关的政策导向。第四章分析禁燃区划分的基本技术路径及方法。第五章根据技术方法选择符合江津区实际的禁燃区扩大区域</w:t>
      </w:r>
      <w:r>
        <w:rPr>
          <w:rFonts w:ascii="Times New Roman" w:hAnsi="Times New Roman" w:eastAsia="方正仿宋_GBK" w:cs="Times New Roman"/>
          <w:sz w:val="32"/>
          <w:szCs w:val="24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第六章禁燃区巩固扩大工作任务和措施。第七章为保障措施</w:t>
      </w:r>
      <w:r>
        <w:rPr>
          <w:rFonts w:ascii="Times New Roman" w:hAnsi="Times New Roman" w:eastAsia="方正仿宋_GBK" w:cs="Times New Roman"/>
          <w:sz w:val="32"/>
          <w:szCs w:val="24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3.工作目标。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2</w:t>
      </w:r>
      <w:r>
        <w:rPr>
          <w:rFonts w:ascii="Times New Roman" w:hAnsi="Times New Roman" w:eastAsia="方正仿宋_GBK" w:cs="Times New Roman"/>
          <w:sz w:val="32"/>
          <w:szCs w:val="24"/>
        </w:rPr>
        <w:t>021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年到</w:t>
      </w:r>
      <w:r>
        <w:rPr>
          <w:rFonts w:ascii="Times New Roman" w:hAnsi="Times New Roman" w:eastAsia="方正仿宋_GBK" w:cs="Times New Roman"/>
          <w:sz w:val="32"/>
          <w:szCs w:val="24"/>
        </w:rPr>
        <w:t>2025年，在巩固现有46.81平方公里高污染燃料禁燃区创建成果的基础上，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扩大9.</w:t>
      </w:r>
      <w:r>
        <w:rPr>
          <w:rFonts w:ascii="Times New Roman" w:hAnsi="Times New Roman" w:eastAsia="方正仿宋_GBK" w:cs="Times New Roman"/>
          <w:sz w:val="32"/>
          <w:szCs w:val="24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5</w:t>
      </w:r>
      <w:r>
        <w:rPr>
          <w:rFonts w:ascii="Times New Roman" w:hAnsi="Times New Roman" w:eastAsia="方正仿宋_GBK" w:cs="Times New Roman"/>
          <w:sz w:val="32"/>
          <w:szCs w:val="24"/>
        </w:rPr>
        <w:t>平方公里以上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的</w:t>
      </w:r>
      <w:r>
        <w:rPr>
          <w:rFonts w:ascii="Times New Roman" w:hAnsi="Times New Roman" w:eastAsia="方正仿宋_GBK" w:cs="Times New Roman"/>
          <w:sz w:val="32"/>
          <w:szCs w:val="24"/>
        </w:rPr>
        <w:t>禁燃区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范围</w:t>
      </w:r>
      <w:r>
        <w:rPr>
          <w:rFonts w:ascii="Times New Roman" w:hAnsi="Times New Roman" w:eastAsia="方正仿宋_GBK" w:cs="Times New Roman"/>
          <w:sz w:val="32"/>
          <w:szCs w:val="24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（二）工作举措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巩固和扩大禁燃区工作主要从3个方面推进，一是高污染燃料禁燃区的建成来之不易，在确保完成重庆市下达工作目标任务前提下，持续巩固现有成绩。二是合理划定扩大范围，重点从城区建成区、环境空气质量监测站代表区域、“三线一单”大气环境重点管控区中的工业园区、规划重点开发区域等区域中确定扩大禁燃区范围。三是禁燃区范围内严格落实</w:t>
      </w:r>
      <w:r>
        <w:rPr>
          <w:rFonts w:ascii="Times New Roman" w:hAnsi="Times New Roman" w:eastAsia="方正仿宋_GBK" w:cs="Times New Roman"/>
          <w:sz w:val="32"/>
          <w:szCs w:val="24"/>
        </w:rPr>
        <w:t>《中华人民共和国大气污染防治法》《重庆市大气污染防治条例》《高污染燃料目录》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等法律法规要求。</w:t>
      </w:r>
    </w:p>
    <w:p>
      <w:pPr>
        <w:spacing w:line="560" w:lineRule="exact"/>
        <w:ind w:firstLine="640" w:firstLineChars="200"/>
        <w:outlineLvl w:val="1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（三）范围变化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目前，几江半岛、德感城区大部分已成功建成禁燃区。对标对表创建工作要求，在权衡区域污染对中心城区空气环境质量影响强弱、大小的基础上，本次划定扩大区域主要集中在圣泉街道、德感工业园，其中，德感工业园全域（全域已无燃煤企业）纳入扩大禁燃区范围。</w:t>
      </w:r>
    </w:p>
    <w:p>
      <w:pPr>
        <w:spacing w:line="560" w:lineRule="exact"/>
        <w:ind w:firstLine="640" w:firstLineChars="200"/>
        <w:jc w:val="left"/>
        <w:outlineLvl w:val="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三、存在的问题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目前禁燃区管控责任落实仍然存在不足，需进一步强化落实。一是属地生态环境保护管理责任需进一步强化；二是行业生态环境保护监管责任需进一步强化；三是企业生态环境保护主体责任需进一步强化。</w:t>
      </w:r>
    </w:p>
    <w:p>
      <w:pPr>
        <w:spacing w:line="560" w:lineRule="exact"/>
        <w:ind w:firstLine="640" w:firstLineChars="200"/>
        <w:jc w:val="left"/>
        <w:outlineLvl w:val="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四、其它需要说明的事项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（一）禁燃区执行标准。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《高污染燃料目录》规定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高污染燃料禁燃区分I类（一般）、I</w:t>
      </w:r>
      <w:r>
        <w:rPr>
          <w:rFonts w:ascii="Times New Roman" w:hAnsi="Times New Roman" w:eastAsia="方正仿宋_GBK" w:cs="Times New Roman"/>
          <w:sz w:val="32"/>
          <w:szCs w:val="24"/>
        </w:rPr>
        <w:t>I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类（较严）、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I</w:t>
      </w:r>
      <w:r>
        <w:rPr>
          <w:rFonts w:ascii="方正仿宋_GBK" w:hAnsi="方正仿宋_GBK" w:eastAsia="方正仿宋_GBK" w:cs="方正仿宋_GBK"/>
          <w:sz w:val="32"/>
          <w:szCs w:val="32"/>
        </w:rPr>
        <w:t>II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类（严格）标准。我区执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行严格的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I</w:t>
      </w:r>
      <w:r>
        <w:rPr>
          <w:rFonts w:ascii="方正仿宋_GBK" w:hAnsi="方正仿宋_GBK" w:eastAsia="方正仿宋_GBK" w:cs="方正仿宋_GBK"/>
          <w:sz w:val="32"/>
          <w:szCs w:val="32"/>
        </w:rPr>
        <w:t>II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类标准，既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禁燃区内禁止使用高污染燃料（煤炭及其制品、石油焦、油页岩、原油、重油、渣油、煤焦油等），生物质成型燃料必须在配置高效除尘设施的专用锅炉中燃烧。</w:t>
      </w:r>
    </w:p>
    <w:p>
      <w:pPr>
        <w:ind w:firstLine="63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（二）严控创建节点。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2021年圣泉街道创建1.79km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（已创建完成）；2022年圣泉街道创建1.89km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、鼎山街道创建0.25 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2023年圣泉街道创建1.65km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；2024年德感街道创建2.13km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（德感工业园：2.13km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）；2025年德感街道创建2.24km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。（鼎山街道0.25，圣泉街道5.33，德感街道4.379.95平方千米）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943742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E5"/>
    <w:rsid w:val="00016F06"/>
    <w:rsid w:val="00083CBE"/>
    <w:rsid w:val="0009688E"/>
    <w:rsid w:val="000A3590"/>
    <w:rsid w:val="000A3642"/>
    <w:rsid w:val="000B3EB9"/>
    <w:rsid w:val="00153E96"/>
    <w:rsid w:val="001822E5"/>
    <w:rsid w:val="00183F8A"/>
    <w:rsid w:val="00243248"/>
    <w:rsid w:val="002A0725"/>
    <w:rsid w:val="002A1EC0"/>
    <w:rsid w:val="002A3D1A"/>
    <w:rsid w:val="002F6F28"/>
    <w:rsid w:val="003450CB"/>
    <w:rsid w:val="003754FF"/>
    <w:rsid w:val="00380646"/>
    <w:rsid w:val="003E4B2F"/>
    <w:rsid w:val="004041CC"/>
    <w:rsid w:val="004B11CA"/>
    <w:rsid w:val="004D138D"/>
    <w:rsid w:val="004D471D"/>
    <w:rsid w:val="004E05B5"/>
    <w:rsid w:val="00531750"/>
    <w:rsid w:val="00535956"/>
    <w:rsid w:val="00597149"/>
    <w:rsid w:val="005C1F02"/>
    <w:rsid w:val="00681A26"/>
    <w:rsid w:val="00713425"/>
    <w:rsid w:val="00764DDD"/>
    <w:rsid w:val="007940B2"/>
    <w:rsid w:val="007C402B"/>
    <w:rsid w:val="007E57D5"/>
    <w:rsid w:val="007E6DB3"/>
    <w:rsid w:val="008806A3"/>
    <w:rsid w:val="0092546D"/>
    <w:rsid w:val="00947437"/>
    <w:rsid w:val="009530DD"/>
    <w:rsid w:val="00973149"/>
    <w:rsid w:val="009E57B4"/>
    <w:rsid w:val="00AC0608"/>
    <w:rsid w:val="00AE1715"/>
    <w:rsid w:val="00B52F7C"/>
    <w:rsid w:val="00BA6FFC"/>
    <w:rsid w:val="00BC6751"/>
    <w:rsid w:val="00C11EF5"/>
    <w:rsid w:val="00C64A21"/>
    <w:rsid w:val="00CA559B"/>
    <w:rsid w:val="00CD63B5"/>
    <w:rsid w:val="00D12C5C"/>
    <w:rsid w:val="00D13D14"/>
    <w:rsid w:val="00E7178A"/>
    <w:rsid w:val="00EF6A00"/>
    <w:rsid w:val="00F52C4A"/>
    <w:rsid w:val="00FC566E"/>
    <w:rsid w:val="00FE29DE"/>
    <w:rsid w:val="117536A4"/>
    <w:rsid w:val="2059740B"/>
    <w:rsid w:val="20A20D5B"/>
    <w:rsid w:val="2A036AA7"/>
    <w:rsid w:val="35797614"/>
    <w:rsid w:val="3CED15B7"/>
    <w:rsid w:val="448C6378"/>
    <w:rsid w:val="450839C8"/>
    <w:rsid w:val="45E30FD1"/>
    <w:rsid w:val="47D1224F"/>
    <w:rsid w:val="495F4414"/>
    <w:rsid w:val="53AF7E46"/>
    <w:rsid w:val="59EE1B76"/>
    <w:rsid w:val="627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outlineLvl w:val="1"/>
    </w:pPr>
    <w:rPr>
      <w:rFonts w:ascii="楷体_GB2312" w:hAnsi="仿宋" w:eastAsia="楷体_GB2312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="楷体_GB2312" w:hAnsi="仿宋" w:eastAsia="楷体_GB2312" w:cs="Times New Roman"/>
      <w:b/>
      <w:kern w:val="0"/>
      <w:sz w:val="32"/>
      <w:szCs w:val="20"/>
    </w:rPr>
  </w:style>
  <w:style w:type="character" w:customStyle="1" w:styleId="11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</Words>
  <Characters>1551</Characters>
  <Lines>12</Lines>
  <Paragraphs>3</Paragraphs>
  <TotalTime>5</TotalTime>
  <ScaleCrop>false</ScaleCrop>
  <LinksUpToDate>false</LinksUpToDate>
  <CharactersWithSpaces>1820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2022-03-17T08:22:00Z</dcterms:created>
  <dc:creator>Administrator</dc:creator>
  <cp:lastModifiedBy>Administrator</cp:lastModifiedBy>
  <dcterms:modified xsi:type="dcterms:W3CDTF">2022-03-18T01:00:10Z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BFA5D032124F4130BA504AE00F59B940</vt:lpwstr>
  </property>
</Properties>
</file>