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1112"/>
        <w:gridCol w:w="2300"/>
        <w:gridCol w:w="4038"/>
        <w:gridCol w:w="1537"/>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6" w:type="dxa"/>
            <w:gridSpan w:val="6"/>
            <w:tcBorders>
              <w:top w:val="nil"/>
              <w:left w:val="nil"/>
              <w:bottom w:val="nil"/>
              <w:right w:val="nil"/>
            </w:tcBorders>
          </w:tcPr>
          <w:p>
            <w:pPr>
              <w:spacing w:line="0" w:lineRule="atLeast"/>
              <w:jc w:val="center"/>
              <w:rPr>
                <w:color w:val="333333"/>
                <w:shd w:val="clear" w:color="auto" w:fill="FFFFFF"/>
              </w:rPr>
            </w:pPr>
            <w:r>
              <w:rPr>
                <w:rFonts w:hint="eastAsia" w:ascii="微软雅黑" w:hAnsi="微软雅黑" w:eastAsia="微软雅黑"/>
                <w:color w:val="333333"/>
                <w:sz w:val="45"/>
                <w:szCs w:val="45"/>
                <w:shd w:val="clear" w:color="auto" w:fill="FFFFFF"/>
              </w:rPr>
              <w:t>重庆市生态环境保护督察</w:t>
            </w:r>
            <w:r>
              <w:rPr>
                <w:rFonts w:hint="eastAsia" w:ascii="微软雅黑" w:hAnsi="微软雅黑" w:eastAsia="微软雅黑"/>
                <w:color w:val="333333"/>
                <w:sz w:val="45"/>
                <w:szCs w:val="45"/>
                <w:shd w:val="clear" w:color="auto" w:fill="FFFFFF"/>
                <w:lang w:eastAsia="zh-CN"/>
              </w:rPr>
              <w:t>反馈交办问题</w:t>
            </w:r>
            <w:r>
              <w:rPr>
                <w:rFonts w:hint="eastAsia" w:ascii="微软雅黑" w:hAnsi="微软雅黑" w:eastAsia="微软雅黑"/>
                <w:color w:val="333333"/>
                <w:sz w:val="45"/>
                <w:szCs w:val="45"/>
                <w:shd w:val="clear" w:color="auto" w:fill="FFFFFF"/>
              </w:rPr>
              <w:t>整改销号公示表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2794" w:type="dxa"/>
            <w:vAlign w:val="center"/>
          </w:tcPr>
          <w:p>
            <w:pPr>
              <w:spacing w:line="0" w:lineRule="atLeast"/>
              <w:jc w:val="center"/>
              <w:rPr>
                <w:sz w:val="24"/>
                <w:szCs w:val="24"/>
              </w:rPr>
            </w:pPr>
            <w:r>
              <w:rPr>
                <w:rFonts w:hint="eastAsia"/>
                <w:color w:val="333333"/>
                <w:sz w:val="24"/>
                <w:szCs w:val="24"/>
                <w:shd w:val="clear" w:color="auto" w:fill="FFFFFF"/>
              </w:rPr>
              <w:t>整改任务概述</w:t>
            </w:r>
          </w:p>
        </w:tc>
        <w:tc>
          <w:tcPr>
            <w:tcW w:w="1112" w:type="dxa"/>
            <w:vAlign w:val="center"/>
          </w:tcPr>
          <w:p>
            <w:pPr>
              <w:spacing w:line="0" w:lineRule="atLeast"/>
              <w:jc w:val="center"/>
              <w:rPr>
                <w:sz w:val="24"/>
                <w:szCs w:val="24"/>
              </w:rPr>
            </w:pPr>
            <w:r>
              <w:rPr>
                <w:rFonts w:hint="eastAsia"/>
                <w:color w:val="333333"/>
                <w:sz w:val="24"/>
                <w:szCs w:val="24"/>
                <w:shd w:val="clear" w:color="auto" w:fill="FFFFFF"/>
              </w:rPr>
              <w:t>整改责任单位</w:t>
            </w:r>
          </w:p>
        </w:tc>
        <w:tc>
          <w:tcPr>
            <w:tcW w:w="2300" w:type="dxa"/>
            <w:vAlign w:val="center"/>
          </w:tcPr>
          <w:p>
            <w:pPr>
              <w:spacing w:line="0" w:lineRule="atLeast"/>
              <w:jc w:val="center"/>
              <w:rPr>
                <w:sz w:val="24"/>
                <w:szCs w:val="24"/>
              </w:rPr>
            </w:pPr>
            <w:r>
              <w:rPr>
                <w:rFonts w:hint="eastAsia"/>
                <w:color w:val="333333"/>
                <w:sz w:val="24"/>
                <w:szCs w:val="24"/>
                <w:shd w:val="clear" w:color="auto" w:fill="FFFFFF"/>
              </w:rPr>
              <w:t>整改目标</w:t>
            </w:r>
          </w:p>
        </w:tc>
        <w:tc>
          <w:tcPr>
            <w:tcW w:w="4038" w:type="dxa"/>
            <w:tcBorders>
              <w:top w:val="single" w:color="auto" w:sz="4" w:space="0"/>
              <w:bottom w:val="single" w:color="auto" w:sz="4" w:space="0"/>
              <w:right w:val="single" w:color="auto" w:sz="4" w:space="0"/>
            </w:tcBorders>
            <w:vAlign w:val="center"/>
          </w:tcPr>
          <w:p>
            <w:pPr>
              <w:spacing w:line="0" w:lineRule="atLeast"/>
              <w:jc w:val="center"/>
              <w:rPr>
                <w:sz w:val="24"/>
                <w:szCs w:val="24"/>
              </w:rPr>
            </w:pPr>
            <w:r>
              <w:rPr>
                <w:rFonts w:hint="eastAsia"/>
                <w:color w:val="333333"/>
                <w:sz w:val="24"/>
                <w:szCs w:val="24"/>
                <w:shd w:val="clear" w:color="auto" w:fill="FFFFFF"/>
              </w:rPr>
              <w:t>整改措施及成效</w:t>
            </w:r>
          </w:p>
        </w:tc>
        <w:tc>
          <w:tcPr>
            <w:tcW w:w="153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333333"/>
                <w:sz w:val="24"/>
                <w:szCs w:val="24"/>
                <w:shd w:val="clear" w:color="auto" w:fill="FFFFFF"/>
              </w:rPr>
            </w:pPr>
            <w:r>
              <w:rPr>
                <w:rFonts w:hint="eastAsia"/>
                <w:color w:val="333333"/>
                <w:sz w:val="24"/>
                <w:szCs w:val="24"/>
                <w:shd w:val="clear" w:color="auto" w:fill="FFFFFF"/>
              </w:rPr>
              <w:t>整改时间</w:t>
            </w:r>
          </w:p>
        </w:tc>
        <w:tc>
          <w:tcPr>
            <w:tcW w:w="1155" w:type="dxa"/>
            <w:tcBorders>
              <w:top w:val="single" w:color="auto" w:sz="4" w:space="0"/>
              <w:left w:val="single" w:color="auto" w:sz="4" w:space="0"/>
              <w:bottom w:val="single" w:color="auto" w:sz="4" w:space="0"/>
            </w:tcBorders>
            <w:vAlign w:val="center"/>
          </w:tcPr>
          <w:p>
            <w:pPr>
              <w:spacing w:line="0" w:lineRule="atLeast"/>
              <w:jc w:val="center"/>
              <w:rPr>
                <w:color w:val="333333"/>
                <w:sz w:val="24"/>
                <w:szCs w:val="24"/>
                <w:shd w:val="clear" w:color="auto" w:fill="FFFFFF"/>
              </w:rPr>
            </w:pPr>
            <w:r>
              <w:rPr>
                <w:rFonts w:hint="eastAsia"/>
                <w:color w:val="333333"/>
                <w:sz w:val="24"/>
                <w:szCs w:val="24"/>
                <w:shd w:val="clear" w:color="auto" w:fill="FFFFFF"/>
              </w:rPr>
              <w:t>社会监督联系人及电话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2794" w:type="dxa"/>
            <w:tcBorders>
              <w:top w:val="single" w:color="auto" w:sz="4" w:space="0"/>
              <w:bottom w:val="single" w:color="auto" w:sz="4" w:space="0"/>
            </w:tcBorders>
            <w:vAlign w:val="center"/>
          </w:tcPr>
          <w:p>
            <w:pPr>
              <w:spacing w:line="320" w:lineRule="exact"/>
              <w:jc w:val="left"/>
              <w:rPr>
                <w:rFonts w:ascii="方正仿宋_GBK" w:eastAsia="方正仿宋_GBK"/>
              </w:rPr>
            </w:pPr>
            <w:r>
              <w:rPr>
                <w:rFonts w:hint="eastAsia" w:ascii="方正仿宋_GBK" w:eastAsia="方正仿宋_GBK"/>
              </w:rPr>
              <w:t>有些河长不知道自己是哪条河的河长，有些河长甚至把河流污染严重的原因归结于大气污染物氮氧化物超标。部分区县巡河责任不落实，巡河不查河的现象突出。</w:t>
            </w:r>
          </w:p>
          <w:p>
            <w:pPr>
              <w:spacing w:line="320" w:lineRule="exact"/>
              <w:jc w:val="left"/>
              <w:rPr>
                <w:rFonts w:hint="eastAsia" w:ascii="方正仿宋_GBK" w:eastAsia="方正仿宋_GBK"/>
                <w:szCs w:val="21"/>
              </w:rPr>
            </w:pPr>
            <w:r>
              <w:rPr>
                <w:rFonts w:hint="eastAsia" w:ascii="方正仿宋_GBK" w:eastAsia="方正仿宋_GBK"/>
              </w:rPr>
              <w:t>区县“一河一策”普遍存在目标不科学、措施不具体、任务不明确的问题，缺乏操作性和指导性，检查中发现重庆市有些河流“一河一策”实施方案不严不实，与实际情况明显不符。</w:t>
            </w:r>
          </w:p>
        </w:tc>
        <w:tc>
          <w:tcPr>
            <w:tcW w:w="1112" w:type="dxa"/>
            <w:tcBorders>
              <w:top w:val="single" w:color="auto" w:sz="4" w:space="0"/>
              <w:bottom w:val="single" w:color="auto" w:sz="4" w:space="0"/>
            </w:tcBorders>
            <w:vAlign w:val="center"/>
          </w:tcPr>
          <w:p>
            <w:pPr>
              <w:spacing w:line="0" w:lineRule="atLeast"/>
              <w:jc w:val="both"/>
              <w:rPr>
                <w:rFonts w:hint="eastAsia" w:ascii="方正仿宋_GBK" w:eastAsia="方正仿宋_GBK"/>
                <w:szCs w:val="21"/>
              </w:rPr>
            </w:pPr>
            <w:r>
              <w:rPr>
                <w:rFonts w:hint="eastAsia" w:ascii="方正仿宋_GBK" w:eastAsia="方正仿宋_GBK"/>
                <w:szCs w:val="21"/>
              </w:rPr>
              <w:t>江津区</w:t>
            </w:r>
          </w:p>
        </w:tc>
        <w:tc>
          <w:tcPr>
            <w:tcW w:w="2300" w:type="dxa"/>
            <w:tcBorders>
              <w:top w:val="single" w:color="auto" w:sz="4" w:space="0"/>
              <w:bottom w:val="single" w:color="auto" w:sz="4" w:space="0"/>
            </w:tcBorders>
            <w:vAlign w:val="center"/>
          </w:tcPr>
          <w:p>
            <w:pPr>
              <w:spacing w:line="0" w:lineRule="atLeast"/>
              <w:jc w:val="both"/>
              <w:rPr>
                <w:rFonts w:hint="eastAsia" w:ascii="方正仿宋_GBK" w:eastAsia="方正仿宋_GBK"/>
                <w:szCs w:val="21"/>
              </w:rPr>
            </w:pPr>
          </w:p>
          <w:p>
            <w:pPr>
              <w:spacing w:line="240" w:lineRule="auto"/>
              <w:ind w:firstLine="420" w:firstLineChars="200"/>
              <w:rPr>
                <w:rFonts w:eastAsia="方正仿宋_GBK" w:cs="方正仿宋_GBK"/>
                <w:szCs w:val="32"/>
              </w:rPr>
            </w:pPr>
            <w:r>
              <w:rPr>
                <w:rFonts w:hint="eastAsia" w:ascii="方正仿宋_GBK" w:eastAsia="方正仿宋_GBK"/>
                <w:szCs w:val="21"/>
              </w:rPr>
              <w:t>加大河长制工作督促指导力度，采取切实有力措施推动河长制落实落地。压紧压实全区各级河长责任，做到河长职责更加明确、履职能力有力提升。强化全区各级河长巡河工作，推动巡河更加务实。科学合理制定“一河一策”方案的目标、措施、任务，检查中发现的“一河一策”实施方案不严不实问题得到有效整改</w:t>
            </w:r>
            <w:r>
              <w:rPr>
                <w:rFonts w:eastAsia="方正仿宋_GBK" w:cs="方正仿宋_GBK"/>
                <w:spacing w:val="-8"/>
                <w:szCs w:val="32"/>
              </w:rPr>
              <w:t>。</w:t>
            </w:r>
          </w:p>
          <w:p>
            <w:pPr>
              <w:spacing w:line="0" w:lineRule="atLeast"/>
              <w:jc w:val="both"/>
              <w:rPr>
                <w:rFonts w:hint="eastAsia" w:ascii="方正仿宋_GBK" w:eastAsia="方正仿宋_GBK"/>
                <w:szCs w:val="21"/>
              </w:rPr>
            </w:pPr>
          </w:p>
        </w:tc>
        <w:tc>
          <w:tcPr>
            <w:tcW w:w="4038" w:type="dxa"/>
            <w:tcBorders>
              <w:top w:val="single" w:color="auto" w:sz="4" w:space="0"/>
              <w:bottom w:val="single" w:color="auto" w:sz="4" w:space="0"/>
            </w:tcBorders>
            <w:vAlign w:val="center"/>
          </w:tcPr>
          <w:p>
            <w:pPr>
              <w:numPr>
                <w:ilvl w:val="0"/>
                <w:numId w:val="1"/>
              </w:numPr>
              <w:spacing w:line="240" w:lineRule="auto"/>
              <w:ind w:firstLine="420" w:firstLineChars="200"/>
              <w:rPr>
                <w:rFonts w:hint="eastAsia" w:ascii="方正仿宋_GBK" w:eastAsia="方正仿宋_GBK"/>
                <w:szCs w:val="21"/>
              </w:rPr>
            </w:pPr>
            <w:r>
              <w:rPr>
                <w:rFonts w:hint="eastAsia" w:ascii="方正仿宋_GBK" w:eastAsia="方正仿宋_GBK"/>
                <w:szCs w:val="21"/>
              </w:rPr>
              <w:t>深化思想认识。深学笃用习近平生态文明思想，深入学习党中央、国务院关于全面推行河长制决策部署和市委、市政府全面落实河长制有关要求，切实增强做好河长制相关问题整改工作的自觉性、主动性。坚持以点带面、举一反三，注重细节，做好自查，明晰制定整改目标、措施、任务，做到及时研究、适时调度，全力确保整改实效</w:t>
            </w:r>
            <w:bookmarkStart w:id="0" w:name="_GoBack"/>
            <w:bookmarkEnd w:id="0"/>
            <w:r>
              <w:rPr>
                <w:rFonts w:hint="eastAsia" w:ascii="方正仿宋_GBK" w:eastAsia="方正仿宋_GBK"/>
                <w:szCs w:val="21"/>
              </w:rPr>
              <w:t>。</w:t>
            </w:r>
          </w:p>
          <w:p>
            <w:pPr>
              <w:numPr>
                <w:ilvl w:val="0"/>
                <w:numId w:val="1"/>
              </w:numPr>
              <w:spacing w:line="240" w:lineRule="auto"/>
              <w:ind w:left="0" w:leftChars="0" w:firstLine="420" w:firstLineChars="200"/>
              <w:rPr>
                <w:rFonts w:hint="eastAsia" w:ascii="方正仿宋_GBK" w:eastAsia="方正仿宋_GBK"/>
                <w:szCs w:val="21"/>
              </w:rPr>
            </w:pPr>
            <w:r>
              <w:rPr>
                <w:rFonts w:hint="eastAsia" w:ascii="方正仿宋_GBK" w:eastAsia="方正仿宋_GBK"/>
                <w:szCs w:val="21"/>
              </w:rPr>
              <w:t>做好指导督促。强化落实以党政领导负责制为主要内容的河长制责任体系，全面推动落实区、镇（街道）两级“双总河长制”和区、镇（街道）、村（社区）三级河长体系；完善区级河流河长制工作协调机制，推动区级河流牵头责任单位切实发挥牵头作用；开展各级河长巡河台账和APP记录的核实抽查，定期通报河长巡河情况；对巡河发现的问题，建立工作台账，运用督办单、交办单等形式定向移交责任单位推进整改，推动河长交办督办机制落实，加大河长制落实情况督促指导。</w:t>
            </w:r>
          </w:p>
          <w:p>
            <w:pPr>
              <w:numPr>
                <w:ilvl w:val="0"/>
                <w:numId w:val="1"/>
              </w:numPr>
              <w:spacing w:line="240" w:lineRule="auto"/>
              <w:ind w:left="0" w:leftChars="0" w:firstLine="420" w:firstLineChars="200"/>
              <w:rPr>
                <w:rFonts w:hint="eastAsia" w:ascii="方正仿宋_GBK" w:eastAsia="方正仿宋_GBK"/>
                <w:szCs w:val="21"/>
              </w:rPr>
            </w:pPr>
            <w:r>
              <w:rPr>
                <w:rFonts w:hint="eastAsia" w:ascii="方正仿宋_GBK" w:eastAsia="方正仿宋_GBK"/>
                <w:szCs w:val="21"/>
              </w:rPr>
              <w:t>细化实化职责。严格对照市河长办印发的《关于进一步强化河长履职尽责的实施意见》，结合我区实际制定印发实施细则，做好各级河长职责任务的分层级细化、实化。</w:t>
            </w:r>
          </w:p>
          <w:p>
            <w:pPr>
              <w:numPr>
                <w:ilvl w:val="0"/>
                <w:numId w:val="1"/>
              </w:numPr>
              <w:spacing w:line="240" w:lineRule="auto"/>
              <w:ind w:left="0" w:leftChars="0" w:firstLine="420" w:firstLineChars="200"/>
              <w:rPr>
                <w:rFonts w:hint="eastAsia" w:ascii="方正仿宋_GBK" w:eastAsia="方正仿宋_GBK"/>
                <w:szCs w:val="21"/>
              </w:rPr>
            </w:pPr>
            <w:r>
              <w:rPr>
                <w:rFonts w:hint="eastAsia" w:ascii="方正仿宋_GBK" w:eastAsia="方正仿宋_GBK"/>
                <w:szCs w:val="21"/>
              </w:rPr>
              <w:t>加强业务培训。编印发放《河长制工作实用手册》，组织开展业务培训；建立和落实河长交接制度，及时更新河长公示牌，加强社会监督；运用大数据智能化等技术手段，辅助河长巡河查河。</w:t>
            </w:r>
          </w:p>
          <w:p>
            <w:pPr>
              <w:spacing w:line="240" w:lineRule="auto"/>
              <w:ind w:firstLine="420" w:firstLineChars="200"/>
              <w:rPr>
                <w:rFonts w:hint="eastAsia" w:ascii="方正仿宋_GBK" w:eastAsia="方正仿宋_GBK"/>
                <w:szCs w:val="21"/>
              </w:rPr>
            </w:pPr>
            <w:r>
              <w:rPr>
                <w:rFonts w:hint="eastAsia" w:ascii="方正仿宋_GBK" w:eastAsia="方正仿宋_GBK"/>
                <w:szCs w:val="21"/>
              </w:rPr>
              <w:t>（五）完善“一河一策”。开展“一河一策”方案实施情况评估，总结经验、查找问题，结合我区实际启动新一轮“一河一策”方案编制工作，加强指导、严控质量，提高方案针对性和可操作性，推动解决督察反馈的“一河一策”方案针对性方面存在的问题。</w:t>
            </w:r>
          </w:p>
          <w:p>
            <w:pPr>
              <w:spacing w:line="240" w:lineRule="auto"/>
              <w:ind w:firstLine="420" w:firstLineChars="200"/>
              <w:rPr>
                <w:rFonts w:hint="eastAsia" w:ascii="方正仿宋_GBK" w:eastAsia="方正仿宋_GBK"/>
                <w:szCs w:val="21"/>
              </w:rPr>
            </w:pPr>
          </w:p>
          <w:p>
            <w:pPr>
              <w:spacing w:line="240" w:lineRule="auto"/>
              <w:ind w:firstLine="420" w:firstLineChars="200"/>
              <w:rPr>
                <w:rFonts w:hint="eastAsia" w:ascii="方正仿宋_GBK" w:eastAsia="方正仿宋_GBK"/>
                <w:szCs w:val="21"/>
              </w:rPr>
            </w:pPr>
          </w:p>
          <w:p>
            <w:pPr>
              <w:spacing w:line="0" w:lineRule="atLeast"/>
              <w:jc w:val="both"/>
              <w:rPr>
                <w:rFonts w:hint="eastAsia" w:ascii="方正仿宋_GBK" w:eastAsia="方正仿宋_GBK"/>
                <w:szCs w:val="21"/>
              </w:rPr>
            </w:pPr>
          </w:p>
        </w:tc>
        <w:tc>
          <w:tcPr>
            <w:tcW w:w="1537" w:type="dxa"/>
            <w:tcBorders>
              <w:top w:val="single" w:color="auto" w:sz="4" w:space="0"/>
              <w:bottom w:val="single" w:color="auto" w:sz="4" w:space="0"/>
            </w:tcBorders>
            <w:vAlign w:val="center"/>
          </w:tcPr>
          <w:p>
            <w:pPr>
              <w:spacing w:line="0" w:lineRule="atLeast"/>
              <w:jc w:val="both"/>
              <w:rPr>
                <w:rFonts w:hint="eastAsia" w:ascii="方正仿宋_GBK" w:eastAsia="方正仿宋_GBK"/>
                <w:szCs w:val="21"/>
              </w:rPr>
            </w:pPr>
            <w:r>
              <w:rPr>
                <w:rFonts w:hint="eastAsia" w:ascii="方正仿宋_GBK" w:eastAsia="方正仿宋_GBK"/>
                <w:szCs w:val="21"/>
                <w:lang w:val="en-US" w:eastAsia="zh-CN"/>
              </w:rPr>
              <w:t>2021</w:t>
            </w:r>
            <w:r>
              <w:rPr>
                <w:rFonts w:hint="eastAsia" w:ascii="方正仿宋_GBK" w:eastAsia="方正仿宋_GBK"/>
                <w:szCs w:val="21"/>
              </w:rPr>
              <w:t>年</w:t>
            </w:r>
            <w:r>
              <w:rPr>
                <w:rFonts w:hint="eastAsia" w:ascii="方正仿宋_GBK" w:eastAsia="方正仿宋_GBK"/>
                <w:szCs w:val="21"/>
                <w:lang w:val="en-US" w:eastAsia="zh-CN"/>
              </w:rPr>
              <w:t>11</w:t>
            </w:r>
            <w:r>
              <w:rPr>
                <w:rFonts w:hint="eastAsia" w:ascii="方正仿宋_GBK" w:eastAsia="方正仿宋_GBK"/>
                <w:szCs w:val="21"/>
              </w:rPr>
              <w:t>月</w:t>
            </w:r>
          </w:p>
        </w:tc>
        <w:tc>
          <w:tcPr>
            <w:tcW w:w="1155" w:type="dxa"/>
            <w:tcBorders>
              <w:top w:val="single" w:color="auto" w:sz="4" w:space="0"/>
              <w:bottom w:val="single" w:color="auto" w:sz="4" w:space="0"/>
            </w:tcBorders>
            <w:vAlign w:val="center"/>
          </w:tcPr>
          <w:p>
            <w:pPr>
              <w:spacing w:line="0" w:lineRule="atLeast"/>
              <w:jc w:val="both"/>
              <w:rPr>
                <w:rFonts w:hint="eastAsia" w:ascii="方正仿宋_GBK" w:eastAsia="方正仿宋_GBK"/>
                <w:szCs w:val="21"/>
              </w:rPr>
            </w:pPr>
          </w:p>
          <w:p>
            <w:pPr>
              <w:spacing w:line="0" w:lineRule="atLeast"/>
              <w:jc w:val="both"/>
              <w:rPr>
                <w:rFonts w:hint="eastAsia" w:ascii="方正仿宋_GBK" w:eastAsia="方正仿宋_GBK"/>
                <w:szCs w:val="21"/>
              </w:rPr>
            </w:pPr>
          </w:p>
          <w:p>
            <w:pPr>
              <w:spacing w:line="0" w:lineRule="atLeast"/>
              <w:jc w:val="both"/>
              <w:rPr>
                <w:rFonts w:hint="default" w:ascii="方正仿宋_GBK" w:eastAsia="方正仿宋_GBK"/>
                <w:szCs w:val="21"/>
                <w:lang w:val="en-US" w:eastAsia="zh-CN"/>
              </w:rPr>
            </w:pPr>
            <w:r>
              <w:rPr>
                <w:rFonts w:hint="eastAsia" w:ascii="方正仿宋_GBK" w:eastAsia="方正仿宋_GBK"/>
                <w:szCs w:val="21"/>
              </w:rPr>
              <w:t>钟老师：</w:t>
            </w:r>
            <w:r>
              <w:rPr>
                <w:rFonts w:hint="eastAsia" w:ascii="方正仿宋_GBK" w:eastAsia="方正仿宋_GBK"/>
                <w:szCs w:val="21"/>
                <w:lang w:val="en-US" w:eastAsia="zh-CN"/>
              </w:rPr>
              <w:t>47567503</w:t>
            </w:r>
          </w:p>
          <w:p>
            <w:pPr>
              <w:spacing w:line="0" w:lineRule="atLeast"/>
              <w:jc w:val="both"/>
              <w:rPr>
                <w:rFonts w:hint="eastAsia" w:ascii="方正仿宋_GBK" w:eastAsia="方正仿宋_GBK"/>
                <w:szCs w:val="21"/>
              </w:rPr>
            </w:pPr>
          </w:p>
          <w:p>
            <w:pPr>
              <w:spacing w:line="0" w:lineRule="atLeast"/>
              <w:jc w:val="both"/>
              <w:rPr>
                <w:rFonts w:hint="eastAsia" w:ascii="方正仿宋_GBK" w:eastAsia="方正仿宋_GBK"/>
                <w:szCs w:val="21"/>
              </w:rPr>
            </w:pPr>
          </w:p>
        </w:tc>
      </w:tr>
    </w:tbl>
    <w:p>
      <w:pPr>
        <w:spacing w:line="0" w:lineRule="atLeast"/>
        <w:rPr>
          <w:rFonts w:ascii="方正仿宋_GBK" w:eastAsia="方正仿宋_GBK"/>
          <w:szCs w:val="21"/>
        </w:rPr>
      </w:pPr>
    </w:p>
    <w:sectPr>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A7CEA"/>
    <w:multiLevelType w:val="singleLevel"/>
    <w:tmpl w:val="918A7C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B7"/>
    <w:rsid w:val="00021941"/>
    <w:rsid w:val="00087648"/>
    <w:rsid w:val="00366A90"/>
    <w:rsid w:val="004D54A9"/>
    <w:rsid w:val="004F10C1"/>
    <w:rsid w:val="006E0D26"/>
    <w:rsid w:val="00744B06"/>
    <w:rsid w:val="008E0D6A"/>
    <w:rsid w:val="00912C9C"/>
    <w:rsid w:val="00A14F99"/>
    <w:rsid w:val="00A20953"/>
    <w:rsid w:val="00A5017B"/>
    <w:rsid w:val="00AB45A6"/>
    <w:rsid w:val="00C162C6"/>
    <w:rsid w:val="00C20CB8"/>
    <w:rsid w:val="00C307B7"/>
    <w:rsid w:val="00C54530"/>
    <w:rsid w:val="00CE2B05"/>
    <w:rsid w:val="00D67DB9"/>
    <w:rsid w:val="00DF7CBA"/>
    <w:rsid w:val="00EB34F8"/>
    <w:rsid w:val="00EC78DC"/>
    <w:rsid w:val="00F572B3"/>
    <w:rsid w:val="00FE0BA5"/>
    <w:rsid w:val="00FE430D"/>
    <w:rsid w:val="03C746BD"/>
    <w:rsid w:val="05426E11"/>
    <w:rsid w:val="075D75D4"/>
    <w:rsid w:val="07F505AF"/>
    <w:rsid w:val="0B9C1B1C"/>
    <w:rsid w:val="0DF41B3D"/>
    <w:rsid w:val="106E20AE"/>
    <w:rsid w:val="108B30D9"/>
    <w:rsid w:val="115442A5"/>
    <w:rsid w:val="11B83555"/>
    <w:rsid w:val="127114AA"/>
    <w:rsid w:val="12F2525F"/>
    <w:rsid w:val="12F9761D"/>
    <w:rsid w:val="1D9E30AD"/>
    <w:rsid w:val="1F012A1B"/>
    <w:rsid w:val="1F274744"/>
    <w:rsid w:val="205B4650"/>
    <w:rsid w:val="287779A8"/>
    <w:rsid w:val="2C497996"/>
    <w:rsid w:val="2FDB2BDC"/>
    <w:rsid w:val="30116F04"/>
    <w:rsid w:val="32A42B27"/>
    <w:rsid w:val="360D1444"/>
    <w:rsid w:val="36CE1D17"/>
    <w:rsid w:val="37CF6BB1"/>
    <w:rsid w:val="37D8173F"/>
    <w:rsid w:val="37DA28A2"/>
    <w:rsid w:val="38811CDC"/>
    <w:rsid w:val="398F3DE0"/>
    <w:rsid w:val="3B1A6727"/>
    <w:rsid w:val="3B3A0A8F"/>
    <w:rsid w:val="3CDF4288"/>
    <w:rsid w:val="3E143D8E"/>
    <w:rsid w:val="3E824185"/>
    <w:rsid w:val="406A2879"/>
    <w:rsid w:val="40913A70"/>
    <w:rsid w:val="419975FF"/>
    <w:rsid w:val="42070CE0"/>
    <w:rsid w:val="421849F4"/>
    <w:rsid w:val="423C4E10"/>
    <w:rsid w:val="424E0AB1"/>
    <w:rsid w:val="426A7ECF"/>
    <w:rsid w:val="43D23CD5"/>
    <w:rsid w:val="44DA7785"/>
    <w:rsid w:val="4EBE57D5"/>
    <w:rsid w:val="4F3A71ED"/>
    <w:rsid w:val="4F7A4ACB"/>
    <w:rsid w:val="509F2976"/>
    <w:rsid w:val="513879B0"/>
    <w:rsid w:val="51400EB0"/>
    <w:rsid w:val="517A13F8"/>
    <w:rsid w:val="53F03100"/>
    <w:rsid w:val="54BA4EB9"/>
    <w:rsid w:val="5863652D"/>
    <w:rsid w:val="59316758"/>
    <w:rsid w:val="59CE73BF"/>
    <w:rsid w:val="59E512B3"/>
    <w:rsid w:val="5A37413F"/>
    <w:rsid w:val="5B135956"/>
    <w:rsid w:val="5D7B6E7E"/>
    <w:rsid w:val="5F794089"/>
    <w:rsid w:val="5F903698"/>
    <w:rsid w:val="62384BCD"/>
    <w:rsid w:val="63343D4C"/>
    <w:rsid w:val="633727E9"/>
    <w:rsid w:val="641934A5"/>
    <w:rsid w:val="6447674E"/>
    <w:rsid w:val="64D97249"/>
    <w:rsid w:val="66A2022C"/>
    <w:rsid w:val="68642B4C"/>
    <w:rsid w:val="6914445A"/>
    <w:rsid w:val="6C7E63DA"/>
    <w:rsid w:val="6DE939E0"/>
    <w:rsid w:val="6FBE4376"/>
    <w:rsid w:val="703E4061"/>
    <w:rsid w:val="72031129"/>
    <w:rsid w:val="73CD3059"/>
    <w:rsid w:val="73EE420B"/>
    <w:rsid w:val="7407698E"/>
    <w:rsid w:val="7481457C"/>
    <w:rsid w:val="75B17BE7"/>
    <w:rsid w:val="765B3875"/>
    <w:rsid w:val="77213157"/>
    <w:rsid w:val="78613437"/>
    <w:rsid w:val="790778AE"/>
    <w:rsid w:val="7A285100"/>
    <w:rsid w:val="7C8F0071"/>
    <w:rsid w:val="7C9C6F9D"/>
    <w:rsid w:val="7DC01B37"/>
    <w:rsid w:val="7E660377"/>
    <w:rsid w:val="7EA139E2"/>
    <w:rsid w:val="7EAC6950"/>
    <w:rsid w:val="7F46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11p1"/>
    <w:qFormat/>
    <w:uiPriority w:val="0"/>
    <w:rPr>
      <w:sz w:val="23"/>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82</Words>
  <Characters>469</Characters>
  <Lines>3</Lines>
  <Paragraphs>1</Paragraphs>
  <TotalTime>4</TotalTime>
  <ScaleCrop>false</ScaleCrop>
  <LinksUpToDate>false</LinksUpToDate>
  <CharactersWithSpaces>550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2021-02-05T02:40:00Z</dcterms:created>
  <dc:creator>Administrator</dc:creator>
  <cp:lastModifiedBy>Acer</cp:lastModifiedBy>
  <cp:lastPrinted>2021-12-02T07:39:00Z</cp:lastPrinted>
  <dcterms:modified xsi:type="dcterms:W3CDTF">2021-12-13T01:04:47Z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0_btnclosed</vt:lpwstr>
  </property>
  <property fmtid="{D5CDD505-2E9C-101B-9397-08002B2CF9AE}" pid="4" name="ICV">
    <vt:lpwstr>02D11DE209044512A73ECEB58E416ADB</vt:lpwstr>
  </property>
</Properties>
</file>