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before="204" w:after="204" w:line="579" w:lineRule="exact"/>
        <w:ind w:firstLineChars="0" w:firstLine="0"/>
        <w:jc w:val="center"/>
        <w:rPr>
          <w:rFonts w:ascii="FZHei-B01" w:eastAsia="FZHei-B01" w:cs="FZXiaoBiaoSong-B05" w:hAnsi="FZHei-B01"/>
          <w:sz w:val="44"/>
          <w:szCs w:val="44"/>
        </w:rPr>
      </w:pPr>
    </w:p>
    <w:p>
      <w:pPr>
        <w:spacing w:before="204" w:after="204" w:line="579" w:lineRule="exact"/>
        <w:ind w:firstLineChars="0" w:firstLine="0"/>
        <w:jc w:val="center"/>
        <w:rPr>
          <w:rFonts w:ascii="FZXiaoBiaoSong-B05" w:eastAsia="FZXiaoBiaoSong-B05" w:cs="FZXiaoBiaoSong-B05" w:hAnsi="FZXiaoBiaoSong-B05" w:hint="eastAsia"/>
          <w:sz w:val="44"/>
          <w:szCs w:val="44"/>
        </w:rPr>
      </w:pPr>
      <w:r>
        <w:rPr>
          <w:rFonts w:ascii="FZXiaoBiaoSong-B05" w:eastAsia="FZXiaoBiaoSong-B05" w:cs="FZXiaoBiaoSong-B05" w:hAnsi="FZXiaoBiaoSong-B05" w:hint="eastAsia"/>
          <w:sz w:val="44"/>
          <w:szCs w:val="44"/>
        </w:rPr>
        <w:t>重庆市江津区工业固体废物污染环境</w:t>
      </w:r>
    </w:p>
    <w:p>
      <w:pPr>
        <w:spacing w:before="204" w:after="204" w:line="579" w:lineRule="exact"/>
        <w:ind w:firstLineChars="0" w:firstLine="0"/>
        <w:jc w:val="center"/>
        <w:rPr>
          <w:rFonts w:ascii="FZXiaoBiaoSong-B05" w:eastAsia="FZXiaoBiaoSong-B05" w:cs="FZXiaoBiaoSong-B05" w:hAnsi="FZXiaoBiaoSong-B05" w:hint="eastAsia"/>
          <w:sz w:val="44"/>
          <w:szCs w:val="44"/>
        </w:rPr>
      </w:pPr>
      <w:r>
        <w:rPr>
          <w:rFonts w:ascii="FZXiaoBiaoSong-B05" w:eastAsia="FZXiaoBiaoSong-B05" w:cs="FZXiaoBiaoSong-B05" w:hAnsi="FZXiaoBiaoSong-B05" w:hint="eastAsia"/>
          <w:sz w:val="44"/>
          <w:szCs w:val="44"/>
        </w:rPr>
        <w:t>防治“十四五”规划</w:t>
      </w:r>
    </w:p>
    <w:p>
      <w:pPr>
        <w:spacing w:before="204" w:after="204" w:line="579" w:lineRule="exact"/>
        <w:ind w:firstLineChars="0" w:firstLine="0"/>
        <w:jc w:val="center"/>
        <w:rPr>
          <w:rFonts w:ascii="FZXiaoBiaoSong-B05" w:eastAsia="FZXiaoBiaoSong-B05" w:cs="FZXiaoBiaoSong-B05" w:hAnsi="FZXiaoBiaoSong-B05"/>
          <w:sz w:val="44"/>
          <w:szCs w:val="44"/>
        </w:rPr>
      </w:pPr>
    </w:p>
    <w:p>
      <w:pPr>
        <w:spacing w:before="204" w:after="204" w:line="579" w:lineRule="exact"/>
        <w:ind w:firstLineChars="0" w:firstLine="0"/>
        <w:jc w:val="center"/>
        <w:rPr>
          <w:rFonts w:ascii="FZXiaoBiaoSong-B05" w:eastAsia="FZXiaoBiaoSong-B05" w:hAnsi="FZXiaoBiaoSong-B05"/>
        </w:rPr>
      </w:pPr>
    </w:p>
    <w:p>
      <w:pPr>
        <w:spacing w:before="204" w:after="204"/>
        <w:ind w:firstLineChars="0" w:firstLine="0"/>
        <w:jc w:val="center"/>
        <w:rPr>
          <w:rFonts w:ascii="FZXiaoBiaoSong-B05" w:eastAsia="FZXiaoBiaoSong-B05" w:hAnsi="FZXiaoBiaoSong-B05"/>
        </w:rPr>
      </w:pPr>
    </w:p>
    <w:p>
      <w:pPr>
        <w:spacing w:before="204" w:after="204"/>
        <w:ind w:firstLineChars="0" w:firstLine="0"/>
        <w:jc w:val="center"/>
        <w:rPr>
          <w:rFonts w:ascii="FZXiaoBiaoSong-B05" w:eastAsia="FZXiaoBiaoSong-B05" w:hAnsi="FZXiaoBiaoSong-B05"/>
        </w:rPr>
      </w:pPr>
    </w:p>
    <w:p>
      <w:pPr>
        <w:spacing w:before="204" w:after="204"/>
        <w:ind w:firstLineChars="0" w:firstLine="0"/>
        <w:jc w:val="center"/>
        <w:rPr>
          <w:rFonts w:ascii="FZXiaoBiaoSong-B05" w:eastAsia="FZXiaoBiaoSong-B05" w:hAnsi="FZXiaoBiaoSong-B05"/>
        </w:rPr>
      </w:pPr>
    </w:p>
    <w:p>
      <w:pPr>
        <w:spacing w:before="204" w:after="204"/>
        <w:ind w:firstLineChars="0" w:firstLine="0"/>
        <w:jc w:val="center"/>
        <w:rPr>
          <w:rFonts w:ascii="FZXiaoBiaoSong-B05" w:eastAsia="FZXiaoBiaoSong-B05" w:hAnsi="FZXiaoBiaoSong-B05"/>
        </w:rPr>
      </w:pPr>
    </w:p>
    <w:p>
      <w:pPr>
        <w:spacing w:before="204" w:after="204"/>
        <w:ind w:firstLineChars="0" w:firstLine="0"/>
        <w:jc w:val="center"/>
        <w:rPr>
          <w:rFonts w:ascii="FZXiaoBiaoSong-B05" w:eastAsia="FZXiaoBiaoSong-B05" w:hAnsi="FZXiaoBiaoSong-B05"/>
        </w:rPr>
      </w:pPr>
    </w:p>
    <w:p>
      <w:pPr>
        <w:spacing w:before="204" w:after="204"/>
        <w:ind w:firstLineChars="0" w:firstLine="0"/>
        <w:jc w:val="center"/>
        <w:rPr>
          <w:rFonts w:ascii="FZXiaoBiaoSong-B05" w:eastAsia="FZXiaoBiaoSong-B05" w:hAnsi="FZXiaoBiaoSong-B05"/>
        </w:rPr>
      </w:pPr>
    </w:p>
    <w:p>
      <w:pPr>
        <w:spacing w:before="204" w:after="204"/>
        <w:ind w:firstLineChars="0" w:firstLine="0"/>
        <w:jc w:val="center"/>
        <w:rPr>
          <w:rFonts w:ascii="FZXiaoBiaoSong-B05" w:eastAsia="FZXiaoBiaoSong-B05" w:hAnsi="FZXiaoBiaoSong-B05"/>
        </w:rPr>
      </w:pPr>
    </w:p>
    <w:p>
      <w:pPr>
        <w:spacing w:before="204" w:after="204"/>
        <w:ind w:firstLineChars="0" w:firstLine="0"/>
        <w:jc w:val="center"/>
        <w:rPr>
          <w:rFonts w:ascii="FZXiaoBiaoSong-B05" w:eastAsia="FZXiaoBiaoSong-B05" w:hAnsi="FZXiaoBiaoSong-B05"/>
          <w:sz w:val="36"/>
          <w:szCs w:val="36"/>
        </w:rPr>
      </w:pPr>
    </w:p>
    <w:p>
      <w:pPr>
        <w:ind w:firstLineChars="0" w:firstLine="0"/>
        <w:jc w:val="center"/>
        <w:rPr>
          <w:rFonts w:ascii="FZFangSong-Z02" w:hAnsi="FZFangSong-Z02"/>
          <w:sz w:val="36"/>
          <w:szCs w:val="36"/>
        </w:rPr>
      </w:pPr>
      <w:r>
        <w:rPr>
          <w:rFonts w:ascii="FZFangSong-Z02" w:hAnsi="FZFangSong-Z02" w:hint="eastAsia"/>
          <w:sz w:val="36"/>
          <w:szCs w:val="36"/>
        </w:rPr>
        <w:t>重庆市江津区生态环境局</w:t>
      </w:r>
    </w:p>
    <w:p>
      <w:pPr>
        <w:ind w:firstLineChars="0" w:firstLine="0"/>
        <w:jc w:val="center"/>
        <w:rPr>
          <w:rFonts w:ascii="FZFangSong-Z02" w:hAnsi="FZFangSong-Z02"/>
          <w:sz w:val="36"/>
          <w:szCs w:val="36"/>
        </w:rPr>
      </w:pPr>
      <w:r>
        <w:rPr>
          <w:rFonts w:ascii="FZFangSong-Z02" w:cs="Times New Roman" w:hAnsi="FZFangSong-Z02" w:hint="eastAsia"/>
          <w:sz w:val="36"/>
          <w:szCs w:val="36"/>
        </w:rPr>
        <w:t>二〇二二年十月</w:t>
      </w:r>
    </w:p>
    <w:p>
      <w:pPr>
        <w:widowControl/>
        <w:spacing w:before="204" w:after="204"/>
        <w:jc w:val="center"/>
        <w:rPr>
          <w:rFonts w:ascii="FZXiaoBiaoSong-B05" w:eastAsia="FZXiaoBiaoSong-B05" w:hAnsi="FZXiaoBiaoSong-B05"/>
          <w:szCs w:val="30"/>
        </w:rPr>
        <w:sectPr>
          <w:headerReference w:type="default" r:id="rId2"/>
          <w:headerReference w:type="even" r:id="rId3"/>
          <w:headerReference w:type="first" r:id="rId4"/>
          <w:footerReference w:type="default" r:id="rId5"/>
          <w:footerReference w:type="even" r:id="rId6"/>
          <w:footerReference w:type="first" r:id="rId7"/>
          <w:pgSz w:w="11906" w:h="16838"/>
          <w:pgMar w:top="2154" w:right="1417" w:bottom="2041" w:left="1531" w:header="851" w:footer="992" w:gutter="0"/>
          <w:pgNumType w:fmt="upperRoman"/>
          <w:titlePg/>
          <w:docGrid w:type="lines" w:linePitch="408" w:charSpace="0"/>
        </w:sectPr>
      </w:pPr>
      <w:r>
        <w:rPr>
          <w:rFonts w:ascii="FZXiaoBiaoSong-B05" w:eastAsia="FZXiaoBiaoSong-B05" w:hAnsi="FZXiaoBiaoSong-B05"/>
        </w:rPr>
        <w:br w:type="page"/>
      </w:r>
    </w:p>
    <w:p>
      <w:pPr>
        <w:spacing w:before="204" w:after="204" w:line="240" w:lineRule="auto"/>
        <w:ind w:firstLineChars="0" w:firstLine="0"/>
        <w:jc w:val="center"/>
        <w:rPr>
          <w:rFonts w:ascii="FZHei-B01" w:eastAsia="FZHei-B01" w:cs="FZHei-B01" w:hAnsi="FZHei-B01"/>
          <w:sz w:val="32"/>
          <w:szCs w:val="32"/>
        </w:rPr>
      </w:pPr>
      <w:r>
        <w:rPr>
          <w:rFonts w:ascii="FZHei-B01" w:eastAsia="FZHei-B01" w:cs="FZHei-B01" w:hAnsi="FZHei-B01" w:hint="eastAsia"/>
          <w:sz w:val="32"/>
          <w:szCs w:val="32"/>
        </w:rPr>
        <w:t>目  录</w:t>
      </w:r>
    </w:p>
    <w:p>
      <w:pPr>
        <w:pStyle w:val="22"/>
        <w:tabs>
          <w:tab w:val="right" w:leader="dot" w:pos="8296"/>
        </w:tabs>
        <w:spacing w:line="240" w:lineRule="auto"/>
        <w:rPr>
          <w:rFonts w:eastAsia="FZFangSong-Z02"/>
          <w:sz w:val="32"/>
          <w:szCs w:val="32"/>
        </w:rPr>
      </w:pPr>
      <w:r>
        <w:rPr>
          <w:rFonts w:eastAsia="FangSong"/>
          <w:sz w:val="32"/>
          <w:szCs w:val="32"/>
        </w:rPr>
        <w:fldChar w:fldCharType="begin"/>
      </w:r>
      <w:r>
        <w:rPr>
          <w:rFonts w:eastAsia="FangSong"/>
          <w:sz w:val="32"/>
          <w:szCs w:val="32"/>
        </w:rPr>
        <w:instrText xml:space="preserve"> TOC \o "1-2" \h \z \u </w:instrText>
      </w:r>
      <w:r>
        <w:rPr>
          <w:rFonts w:eastAsia="FangSong"/>
          <w:sz w:val="32"/>
          <w:szCs w:val="32"/>
        </w:rPr>
        <w:fldChar w:fldCharType="separate"/>
      </w:r>
      <w:r>
        <w:fldChar w:fldCharType="begin"/>
      </w:r>
      <w:r>
        <w:instrText xml:space="preserve"> HYPERLINK \l "_Toc109310857" </w:instrText>
      </w:r>
      <w:r>
        <w:fldChar w:fldCharType="separate"/>
      </w:r>
      <w:r>
        <w:rPr>
          <w:rFonts w:eastAsia="FZFangSong-Z02" w:hint="eastAsia"/>
          <w:sz w:val="32"/>
          <w:szCs w:val="32"/>
        </w:rPr>
        <w:t>前  言</w:t>
        <w:tab/>
        <w:tab/>
      </w:r>
      <w:r>
        <w:rPr>
          <w:rFonts w:eastAsia="FZFangSong-Z02" w:hint="eastAsia"/>
          <w:sz w:val="32"/>
          <w:szCs w:val="32"/>
        </w:rPr>
        <w:fldChar w:fldCharType="begin"/>
      </w:r>
      <w:r>
        <w:rPr>
          <w:rFonts w:eastAsia="FZFangSong-Z02" w:hint="eastAsia"/>
          <w:sz w:val="32"/>
          <w:szCs w:val="32"/>
        </w:rPr>
        <w:instrText xml:space="preserve"> PAGEREF _Toc109310857 \h </w:instrText>
      </w:r>
      <w:r>
        <w:rPr>
          <w:rFonts w:eastAsia="FZFangSong-Z02" w:hint="eastAsia"/>
          <w:sz w:val="32"/>
          <w:szCs w:val="32"/>
        </w:rPr>
        <w:fldChar w:fldCharType="separate"/>
      </w:r>
      <w:r>
        <w:rPr>
          <w:rFonts w:eastAsia="FZFangSong-Z02"/>
          <w:sz w:val="32"/>
          <w:szCs w:val="32"/>
        </w:rPr>
        <w:t>1</w:t>
      </w:r>
      <w:r>
        <w:rPr>
          <w:rFonts w:eastAsia="FZFangSong-Z02" w:hint="eastAsia"/>
          <w:sz w:val="32"/>
          <w:szCs w:val="32"/>
        </w:rPr>
        <w:fldChar w:fldCharType="end"/>
      </w:r>
      <w:r>
        <w:rPr>
          <w:rFonts w:eastAsia="FZFangSong-Z02" w:hint="eastAsia"/>
          <w:sz w:val="32"/>
          <w:szCs w:val="32"/>
        </w:rPr>
        <w:fldChar w:fldCharType="end"/>
      </w:r>
    </w:p>
    <w:p>
      <w:pPr>
        <w:pStyle w:val="22"/>
        <w:tabs>
          <w:tab w:val="right" w:leader="dot" w:pos="8296"/>
        </w:tabs>
        <w:spacing w:line="240" w:lineRule="auto"/>
        <w:rPr>
          <w:rFonts w:eastAsia="FZFangSong-Z02"/>
          <w:sz w:val="32"/>
          <w:szCs w:val="32"/>
        </w:rPr>
      </w:pPr>
      <w:r>
        <w:fldChar w:fldCharType="begin"/>
      </w:r>
      <w:r>
        <w:instrText xml:space="preserve"> HYPERLINK \l "_Toc109310858" </w:instrText>
      </w:r>
      <w:r>
        <w:fldChar w:fldCharType="separate"/>
      </w:r>
      <w:r>
        <w:rPr>
          <w:rFonts w:eastAsia="FZHei-B01" w:cs="FZHei-B01" w:hint="eastAsia"/>
          <w:sz w:val="32"/>
          <w:szCs w:val="32"/>
        </w:rPr>
        <w:t>一、工业固体废物污染防治形势</w:t>
      </w:r>
      <w:r>
        <w:rPr>
          <w:rFonts w:eastAsia="FZFangSong-Z02" w:hint="eastAsia"/>
          <w:sz w:val="32"/>
          <w:szCs w:val="32"/>
        </w:rPr>
        <w:tab/>
        <w:tab/>
      </w:r>
      <w:r>
        <w:rPr>
          <w:rFonts w:eastAsia="FZFangSong-Z02" w:hint="eastAsia"/>
          <w:sz w:val="32"/>
          <w:szCs w:val="32"/>
        </w:rPr>
        <w:fldChar w:fldCharType="begin"/>
      </w:r>
      <w:r>
        <w:rPr>
          <w:rFonts w:eastAsia="FZFangSong-Z02" w:hint="eastAsia"/>
          <w:sz w:val="32"/>
          <w:szCs w:val="32"/>
        </w:rPr>
        <w:instrText xml:space="preserve"> PAGEREF _Toc109310858 \h </w:instrText>
      </w:r>
      <w:r>
        <w:rPr>
          <w:rFonts w:eastAsia="FZFangSong-Z02" w:hint="eastAsia"/>
          <w:sz w:val="32"/>
          <w:szCs w:val="32"/>
        </w:rPr>
        <w:fldChar w:fldCharType="separate"/>
      </w:r>
      <w:r>
        <w:rPr>
          <w:rFonts w:eastAsia="FZFangSong-Z02"/>
          <w:sz w:val="32"/>
          <w:szCs w:val="32"/>
        </w:rPr>
        <w:t>3</w:t>
      </w:r>
      <w:r>
        <w:rPr>
          <w:rFonts w:eastAsia="FZFangSong-Z02" w:hint="eastAsia"/>
          <w:sz w:val="32"/>
          <w:szCs w:val="32"/>
        </w:rPr>
        <w:fldChar w:fldCharType="end"/>
      </w:r>
      <w:r>
        <w:rPr>
          <w:rFonts w:eastAsia="FZFangSong-Z02" w:hint="eastAsia"/>
          <w:sz w:val="32"/>
          <w:szCs w:val="32"/>
        </w:rPr>
        <w:fldChar w:fldCharType="end"/>
      </w:r>
    </w:p>
    <w:p>
      <w:pPr>
        <w:pStyle w:val="24"/>
        <w:tabs>
          <w:tab w:val="right" w:leader="dot" w:pos="8296"/>
        </w:tabs>
        <w:spacing w:line="240" w:lineRule="auto"/>
        <w:rPr>
          <w:rFonts w:eastAsia="FZFangSong-Z02"/>
          <w:sz w:val="32"/>
          <w:szCs w:val="32"/>
        </w:rPr>
      </w:pPr>
      <w:r>
        <w:fldChar w:fldCharType="begin"/>
      </w:r>
      <w:r>
        <w:instrText xml:space="preserve"> HYPERLINK \l "_Toc109310859" </w:instrText>
      </w:r>
      <w:r>
        <w:fldChar w:fldCharType="separate"/>
      </w:r>
      <w:r>
        <w:rPr>
          <w:rFonts w:cs="FZKai-Z03" w:hint="eastAsia"/>
          <w:sz w:val="32"/>
          <w:szCs w:val="32"/>
        </w:rPr>
        <w:t>（一）国民经济及工业发展概况</w:t>
      </w:r>
      <w:r>
        <w:rPr>
          <w:rFonts w:eastAsia="FZFangSong-Z02" w:hint="eastAsia"/>
          <w:sz w:val="32"/>
          <w:szCs w:val="32"/>
        </w:rPr>
        <w:tab/>
        <w:tab/>
      </w:r>
      <w:r>
        <w:rPr>
          <w:rFonts w:eastAsia="FZFangSong-Z02" w:hint="eastAsia"/>
          <w:sz w:val="32"/>
          <w:szCs w:val="32"/>
        </w:rPr>
        <w:fldChar w:fldCharType="begin"/>
      </w:r>
      <w:r>
        <w:rPr>
          <w:rFonts w:eastAsia="FZFangSong-Z02" w:hint="eastAsia"/>
          <w:sz w:val="32"/>
          <w:szCs w:val="32"/>
        </w:rPr>
        <w:instrText xml:space="preserve"> PAGEREF _Toc109310859 \h </w:instrText>
      </w:r>
      <w:r>
        <w:rPr>
          <w:rFonts w:eastAsia="FZFangSong-Z02" w:hint="eastAsia"/>
          <w:sz w:val="32"/>
          <w:szCs w:val="32"/>
        </w:rPr>
        <w:fldChar w:fldCharType="separate"/>
      </w:r>
      <w:r>
        <w:rPr>
          <w:rFonts w:eastAsia="FZFangSong-Z02"/>
          <w:sz w:val="32"/>
          <w:szCs w:val="32"/>
        </w:rPr>
        <w:t>3</w:t>
      </w:r>
      <w:r>
        <w:rPr>
          <w:rFonts w:eastAsia="FZFangSong-Z02" w:hint="eastAsia"/>
          <w:sz w:val="32"/>
          <w:szCs w:val="32"/>
        </w:rPr>
        <w:fldChar w:fldCharType="end"/>
      </w:r>
      <w:r>
        <w:rPr>
          <w:rFonts w:eastAsia="FZFangSong-Z02" w:hint="eastAsia"/>
          <w:sz w:val="32"/>
          <w:szCs w:val="32"/>
        </w:rPr>
        <w:fldChar w:fldCharType="end"/>
      </w:r>
    </w:p>
    <w:p>
      <w:pPr>
        <w:pStyle w:val="24"/>
        <w:tabs>
          <w:tab w:val="right" w:leader="dot" w:pos="8296"/>
        </w:tabs>
        <w:spacing w:line="240" w:lineRule="auto"/>
        <w:rPr>
          <w:rFonts w:eastAsia="FZFangSong-Z02"/>
          <w:sz w:val="32"/>
          <w:szCs w:val="32"/>
        </w:rPr>
      </w:pPr>
      <w:r>
        <w:fldChar w:fldCharType="begin"/>
      </w:r>
      <w:r>
        <w:instrText xml:space="preserve"> HYPERLINK \l "_Toc109310860" </w:instrText>
      </w:r>
      <w:r>
        <w:fldChar w:fldCharType="separate"/>
      </w:r>
      <w:r>
        <w:rPr>
          <w:rFonts w:cs="FZKai-Z03" w:hint="eastAsia"/>
          <w:sz w:val="32"/>
          <w:szCs w:val="32"/>
        </w:rPr>
        <w:t>（二）“十三五”时期工业固体废物污染防治工作成效</w:t>
        <w:tab/>
      </w:r>
      <w:r>
        <w:rPr>
          <w:rFonts w:eastAsia="FZFangSong-Z02" w:hint="eastAsia"/>
          <w:sz w:val="32"/>
          <w:szCs w:val="32"/>
        </w:rPr>
        <w:tab/>
      </w:r>
      <w:r>
        <w:rPr>
          <w:rFonts w:eastAsia="FZFangSong-Z02" w:hint="eastAsia"/>
          <w:sz w:val="32"/>
          <w:szCs w:val="32"/>
        </w:rPr>
        <w:fldChar w:fldCharType="begin"/>
      </w:r>
      <w:r>
        <w:rPr>
          <w:rFonts w:eastAsia="FZFangSong-Z02" w:hint="eastAsia"/>
          <w:sz w:val="32"/>
          <w:szCs w:val="32"/>
        </w:rPr>
        <w:instrText xml:space="preserve"> PAGEREF _Toc109310860 \h </w:instrText>
      </w:r>
      <w:r>
        <w:rPr>
          <w:rFonts w:eastAsia="FZFangSong-Z02" w:hint="eastAsia"/>
          <w:sz w:val="32"/>
          <w:szCs w:val="32"/>
        </w:rPr>
        <w:fldChar w:fldCharType="separate"/>
      </w:r>
      <w:r>
        <w:rPr>
          <w:rFonts w:eastAsia="FZFangSong-Z02"/>
          <w:sz w:val="32"/>
          <w:szCs w:val="32"/>
        </w:rPr>
        <w:t>4</w:t>
      </w:r>
      <w:r>
        <w:rPr>
          <w:rFonts w:eastAsia="FZFangSong-Z02" w:hint="eastAsia"/>
          <w:sz w:val="32"/>
          <w:szCs w:val="32"/>
        </w:rPr>
        <w:fldChar w:fldCharType="end"/>
      </w:r>
      <w:r>
        <w:rPr>
          <w:rFonts w:eastAsia="FZFangSong-Z02" w:hint="eastAsia"/>
          <w:sz w:val="32"/>
          <w:szCs w:val="32"/>
        </w:rPr>
        <w:fldChar w:fldCharType="end"/>
      </w:r>
    </w:p>
    <w:p>
      <w:pPr>
        <w:pStyle w:val="24"/>
        <w:tabs>
          <w:tab w:val="right" w:leader="dot" w:pos="8296"/>
        </w:tabs>
        <w:spacing w:line="240" w:lineRule="auto"/>
        <w:rPr>
          <w:rFonts w:eastAsia="FZFangSong-Z02"/>
          <w:sz w:val="32"/>
          <w:szCs w:val="32"/>
        </w:rPr>
      </w:pPr>
      <w:r>
        <w:fldChar w:fldCharType="begin"/>
      </w:r>
      <w:r>
        <w:instrText xml:space="preserve"> HYPERLINK \l "_Toc109310861" </w:instrText>
      </w:r>
      <w:r>
        <w:fldChar w:fldCharType="separate"/>
      </w:r>
      <w:r>
        <w:rPr>
          <w:rFonts w:cs="FZKai-Z03" w:hint="eastAsia"/>
          <w:sz w:val="32"/>
          <w:szCs w:val="32"/>
        </w:rPr>
        <w:t>（三）工业固体废物污染防治工作面临的问题和压力</w:t>
        <w:tab/>
      </w:r>
      <w:r>
        <w:rPr>
          <w:rFonts w:eastAsia="FZFangSong-Z02" w:hint="eastAsia"/>
          <w:sz w:val="32"/>
          <w:szCs w:val="32"/>
        </w:rPr>
        <w:tab/>
      </w:r>
      <w:r>
        <w:rPr>
          <w:rFonts w:eastAsia="FZFangSong-Z02" w:hint="eastAsia"/>
          <w:sz w:val="32"/>
          <w:szCs w:val="32"/>
        </w:rPr>
        <w:fldChar w:fldCharType="begin"/>
      </w:r>
      <w:r>
        <w:rPr>
          <w:rFonts w:eastAsia="FZFangSong-Z02" w:hint="eastAsia"/>
          <w:sz w:val="32"/>
          <w:szCs w:val="32"/>
        </w:rPr>
        <w:instrText xml:space="preserve"> PAGEREF _Toc109310861 \h </w:instrText>
      </w:r>
      <w:r>
        <w:rPr>
          <w:rFonts w:eastAsia="FZFangSong-Z02" w:hint="eastAsia"/>
          <w:sz w:val="32"/>
          <w:szCs w:val="32"/>
        </w:rPr>
        <w:fldChar w:fldCharType="separate"/>
      </w:r>
      <w:r>
        <w:rPr>
          <w:rFonts w:eastAsia="FZFangSong-Z02"/>
          <w:sz w:val="32"/>
          <w:szCs w:val="32"/>
        </w:rPr>
        <w:t>9</w:t>
      </w:r>
      <w:r>
        <w:rPr>
          <w:rFonts w:eastAsia="FZFangSong-Z02" w:hint="eastAsia"/>
          <w:sz w:val="32"/>
          <w:szCs w:val="32"/>
        </w:rPr>
        <w:fldChar w:fldCharType="end"/>
      </w:r>
      <w:r>
        <w:rPr>
          <w:rFonts w:eastAsia="FZFangSong-Z02" w:hint="eastAsia"/>
          <w:sz w:val="32"/>
          <w:szCs w:val="32"/>
        </w:rPr>
        <w:fldChar w:fldCharType="end"/>
      </w:r>
    </w:p>
    <w:p>
      <w:pPr>
        <w:pStyle w:val="24"/>
        <w:tabs>
          <w:tab w:val="right" w:leader="dot" w:pos="8296"/>
        </w:tabs>
        <w:spacing w:line="240" w:lineRule="auto"/>
        <w:rPr>
          <w:rFonts w:eastAsia="FZFangSong-Z02"/>
          <w:sz w:val="32"/>
          <w:szCs w:val="32"/>
        </w:rPr>
      </w:pPr>
      <w:r>
        <w:fldChar w:fldCharType="begin"/>
      </w:r>
      <w:r>
        <w:instrText xml:space="preserve"> HYPERLINK \l "_Toc109310862" </w:instrText>
      </w:r>
      <w:r>
        <w:fldChar w:fldCharType="separate"/>
      </w:r>
      <w:r>
        <w:rPr>
          <w:rFonts w:cs="FZKai-Z03" w:hint="eastAsia"/>
          <w:sz w:val="32"/>
          <w:szCs w:val="32"/>
        </w:rPr>
        <w:t>（四）工业固废污染防治工作迎来重要机遇</w:t>
      </w:r>
      <w:r>
        <w:rPr>
          <w:rFonts w:eastAsia="FZFangSong-Z02" w:hint="eastAsia"/>
          <w:sz w:val="32"/>
          <w:szCs w:val="32"/>
        </w:rPr>
        <w:tab/>
        <w:tab/>
      </w:r>
      <w:r>
        <w:rPr>
          <w:rFonts w:eastAsia="FZFangSong-Z02" w:hint="eastAsia"/>
          <w:sz w:val="32"/>
          <w:szCs w:val="32"/>
        </w:rPr>
        <w:fldChar w:fldCharType="begin"/>
      </w:r>
      <w:r>
        <w:rPr>
          <w:rFonts w:eastAsia="FZFangSong-Z02" w:hint="eastAsia"/>
          <w:sz w:val="32"/>
          <w:szCs w:val="32"/>
        </w:rPr>
        <w:instrText xml:space="preserve"> PAGEREF _Toc109310862 \h </w:instrText>
      </w:r>
      <w:r>
        <w:rPr>
          <w:rFonts w:eastAsia="FZFangSong-Z02" w:hint="eastAsia"/>
          <w:sz w:val="32"/>
          <w:szCs w:val="32"/>
        </w:rPr>
        <w:fldChar w:fldCharType="separate"/>
      </w:r>
      <w:r>
        <w:rPr>
          <w:rFonts w:eastAsia="FZFangSong-Z02"/>
          <w:sz w:val="32"/>
          <w:szCs w:val="32"/>
        </w:rPr>
        <w:t>10</w:t>
      </w:r>
      <w:r>
        <w:rPr>
          <w:rFonts w:eastAsia="FZFangSong-Z02" w:hint="eastAsia"/>
          <w:sz w:val="32"/>
          <w:szCs w:val="32"/>
        </w:rPr>
        <w:fldChar w:fldCharType="end"/>
      </w:r>
      <w:r>
        <w:rPr>
          <w:rFonts w:eastAsia="FZFangSong-Z02" w:hint="eastAsia"/>
          <w:sz w:val="32"/>
          <w:szCs w:val="32"/>
        </w:rPr>
        <w:fldChar w:fldCharType="end"/>
      </w:r>
    </w:p>
    <w:p>
      <w:pPr>
        <w:pStyle w:val="22"/>
        <w:tabs>
          <w:tab w:val="right" w:leader="dot" w:pos="8296"/>
        </w:tabs>
        <w:spacing w:line="240" w:lineRule="auto"/>
        <w:rPr>
          <w:rFonts w:eastAsia="FZFangSong-Z02"/>
          <w:sz w:val="32"/>
          <w:szCs w:val="32"/>
        </w:rPr>
      </w:pPr>
      <w:r>
        <w:fldChar w:fldCharType="begin"/>
      </w:r>
      <w:r>
        <w:instrText xml:space="preserve"> HYPERLINK \l "_Toc109310863" </w:instrText>
      </w:r>
      <w:r>
        <w:fldChar w:fldCharType="separate"/>
      </w:r>
      <w:r>
        <w:rPr>
          <w:rFonts w:eastAsia="FZHei-B01" w:cs="FZHei-B01" w:hint="eastAsia"/>
          <w:sz w:val="32"/>
          <w:szCs w:val="32"/>
        </w:rPr>
        <w:t>二、指导思想、基本原则和规划目标</w:t>
      </w:r>
      <w:r>
        <w:rPr>
          <w:rFonts w:eastAsia="FZFangSong-Z02" w:hint="eastAsia"/>
          <w:sz w:val="32"/>
          <w:szCs w:val="32"/>
        </w:rPr>
        <w:tab/>
        <w:tab/>
      </w:r>
      <w:r>
        <w:rPr>
          <w:rFonts w:eastAsia="FZFangSong-Z02" w:hint="eastAsia"/>
          <w:sz w:val="32"/>
          <w:szCs w:val="32"/>
        </w:rPr>
        <w:fldChar w:fldCharType="begin"/>
      </w:r>
      <w:r>
        <w:rPr>
          <w:rFonts w:eastAsia="FZFangSong-Z02" w:hint="eastAsia"/>
          <w:sz w:val="32"/>
          <w:szCs w:val="32"/>
        </w:rPr>
        <w:instrText xml:space="preserve"> PAGEREF _Toc109310863 \h </w:instrText>
      </w:r>
      <w:r>
        <w:rPr>
          <w:rFonts w:eastAsia="FZFangSong-Z02" w:hint="eastAsia"/>
          <w:sz w:val="32"/>
          <w:szCs w:val="32"/>
        </w:rPr>
        <w:fldChar w:fldCharType="separate"/>
      </w:r>
      <w:r>
        <w:rPr>
          <w:rFonts w:eastAsia="FZFangSong-Z02"/>
          <w:sz w:val="32"/>
          <w:szCs w:val="32"/>
        </w:rPr>
        <w:t>12</w:t>
      </w:r>
      <w:r>
        <w:rPr>
          <w:rFonts w:eastAsia="FZFangSong-Z02" w:hint="eastAsia"/>
          <w:sz w:val="32"/>
          <w:szCs w:val="32"/>
        </w:rPr>
        <w:fldChar w:fldCharType="end"/>
      </w:r>
      <w:r>
        <w:rPr>
          <w:rFonts w:eastAsia="FZFangSong-Z02" w:hint="eastAsia"/>
          <w:sz w:val="32"/>
          <w:szCs w:val="32"/>
        </w:rPr>
        <w:fldChar w:fldCharType="end"/>
      </w:r>
    </w:p>
    <w:p>
      <w:pPr>
        <w:pStyle w:val="22"/>
        <w:tabs>
          <w:tab w:val="right" w:leader="dot" w:pos="8296"/>
        </w:tabs>
        <w:spacing w:line="240" w:lineRule="auto"/>
        <w:ind w:firstLineChars="200" w:firstLine="480"/>
        <w:rPr>
          <w:rFonts w:eastAsia="FZFangSong-Z02"/>
          <w:sz w:val="32"/>
          <w:szCs w:val="32"/>
        </w:rPr>
      </w:pPr>
      <w:r>
        <w:fldChar w:fldCharType="begin"/>
      </w:r>
      <w:r>
        <w:instrText xml:space="preserve"> HYPERLINK \l "_Toc109310864" </w:instrText>
      </w:r>
      <w:r>
        <w:fldChar w:fldCharType="separate"/>
      </w:r>
      <w:r>
        <w:rPr>
          <w:rFonts w:eastAsia="FZKai-Z03" w:cs="FZKai-Z03" w:hint="eastAsia"/>
          <w:sz w:val="32"/>
          <w:szCs w:val="32"/>
        </w:rPr>
        <w:t>（一）指导思想</w:t>
      </w:r>
      <w:r>
        <w:rPr>
          <w:rFonts w:eastAsia="FZFangSong-Z02" w:hint="eastAsia"/>
          <w:sz w:val="32"/>
          <w:szCs w:val="32"/>
        </w:rPr>
        <w:tab/>
        <w:tab/>
      </w:r>
      <w:r>
        <w:rPr>
          <w:rFonts w:eastAsia="FZFangSong-Z02" w:hint="eastAsia"/>
          <w:sz w:val="32"/>
          <w:szCs w:val="32"/>
        </w:rPr>
        <w:fldChar w:fldCharType="begin"/>
      </w:r>
      <w:r>
        <w:rPr>
          <w:rFonts w:eastAsia="FZFangSong-Z02" w:hint="eastAsia"/>
          <w:sz w:val="32"/>
          <w:szCs w:val="32"/>
        </w:rPr>
        <w:instrText xml:space="preserve"> PAGEREF _Toc109310864 \h </w:instrText>
      </w:r>
      <w:r>
        <w:rPr>
          <w:rFonts w:eastAsia="FZFangSong-Z02" w:hint="eastAsia"/>
          <w:sz w:val="32"/>
          <w:szCs w:val="32"/>
        </w:rPr>
        <w:fldChar w:fldCharType="separate"/>
      </w:r>
      <w:r>
        <w:rPr>
          <w:rFonts w:eastAsia="FZFangSong-Z02"/>
          <w:sz w:val="32"/>
          <w:szCs w:val="32"/>
        </w:rPr>
        <w:t>12</w:t>
      </w:r>
      <w:r>
        <w:rPr>
          <w:rFonts w:eastAsia="FZFangSong-Z02" w:hint="eastAsia"/>
          <w:sz w:val="32"/>
          <w:szCs w:val="32"/>
        </w:rPr>
        <w:fldChar w:fldCharType="end"/>
      </w:r>
      <w:r>
        <w:rPr>
          <w:rFonts w:eastAsia="FZFangSong-Z02" w:hint="eastAsia"/>
          <w:sz w:val="32"/>
          <w:szCs w:val="32"/>
        </w:rPr>
        <w:fldChar w:fldCharType="end"/>
      </w:r>
    </w:p>
    <w:p>
      <w:pPr>
        <w:pStyle w:val="22"/>
        <w:tabs>
          <w:tab w:val="right" w:leader="dot" w:pos="8296"/>
        </w:tabs>
        <w:spacing w:line="240" w:lineRule="auto"/>
        <w:ind w:firstLineChars="200" w:firstLine="480"/>
        <w:rPr>
          <w:rFonts w:eastAsia="FZFangSong-Z02"/>
          <w:sz w:val="32"/>
          <w:szCs w:val="32"/>
        </w:rPr>
      </w:pPr>
      <w:r>
        <w:fldChar w:fldCharType="begin"/>
      </w:r>
      <w:r>
        <w:instrText xml:space="preserve"> HYPERLINK \l "_Toc109310865" </w:instrText>
      </w:r>
      <w:r>
        <w:fldChar w:fldCharType="separate"/>
      </w:r>
      <w:r>
        <w:rPr>
          <w:rFonts w:eastAsia="FZKai-Z03" w:cs="FZKai-Z03" w:hint="eastAsia"/>
          <w:sz w:val="32"/>
          <w:szCs w:val="32"/>
        </w:rPr>
        <w:t>（二）基本原则</w:t>
      </w:r>
      <w:r>
        <w:rPr>
          <w:rFonts w:eastAsia="FZFangSong-Z02" w:hint="eastAsia"/>
          <w:sz w:val="32"/>
          <w:szCs w:val="32"/>
        </w:rPr>
        <w:tab/>
        <w:tab/>
      </w:r>
      <w:r>
        <w:rPr>
          <w:rFonts w:eastAsia="FZFangSong-Z02" w:hint="eastAsia"/>
          <w:sz w:val="32"/>
          <w:szCs w:val="32"/>
        </w:rPr>
        <w:fldChar w:fldCharType="begin"/>
      </w:r>
      <w:r>
        <w:rPr>
          <w:rFonts w:eastAsia="FZFangSong-Z02" w:hint="eastAsia"/>
          <w:sz w:val="32"/>
          <w:szCs w:val="32"/>
        </w:rPr>
        <w:instrText xml:space="preserve"> PAGEREF _Toc109310865 \h </w:instrText>
      </w:r>
      <w:r>
        <w:rPr>
          <w:rFonts w:eastAsia="FZFangSong-Z02" w:hint="eastAsia"/>
          <w:sz w:val="32"/>
          <w:szCs w:val="32"/>
        </w:rPr>
        <w:fldChar w:fldCharType="separate"/>
      </w:r>
      <w:r>
        <w:rPr>
          <w:rFonts w:eastAsia="FZFangSong-Z02"/>
          <w:sz w:val="32"/>
          <w:szCs w:val="32"/>
        </w:rPr>
        <w:t>12</w:t>
      </w:r>
      <w:r>
        <w:rPr>
          <w:rFonts w:eastAsia="FZFangSong-Z02" w:hint="eastAsia"/>
          <w:sz w:val="32"/>
          <w:szCs w:val="32"/>
        </w:rPr>
        <w:fldChar w:fldCharType="end"/>
      </w:r>
      <w:r>
        <w:rPr>
          <w:rFonts w:eastAsia="FZFangSong-Z02" w:hint="eastAsia"/>
          <w:sz w:val="32"/>
          <w:szCs w:val="32"/>
        </w:rPr>
        <w:fldChar w:fldCharType="end"/>
      </w:r>
    </w:p>
    <w:p>
      <w:pPr>
        <w:pStyle w:val="22"/>
        <w:tabs>
          <w:tab w:val="right" w:leader="dot" w:pos="8296"/>
        </w:tabs>
        <w:spacing w:line="240" w:lineRule="auto"/>
        <w:ind w:firstLineChars="200" w:firstLine="480"/>
        <w:rPr>
          <w:rFonts w:eastAsia="FZFangSong-Z02"/>
          <w:sz w:val="32"/>
          <w:szCs w:val="32"/>
        </w:rPr>
      </w:pPr>
      <w:r>
        <w:fldChar w:fldCharType="begin"/>
      </w:r>
      <w:r>
        <w:instrText xml:space="preserve"> HYPERLINK \l "_Toc109310866" </w:instrText>
      </w:r>
      <w:r>
        <w:fldChar w:fldCharType="separate"/>
      </w:r>
      <w:r>
        <w:rPr>
          <w:rFonts w:eastAsia="FZKai-Z03" w:cs="FZKai-Z03" w:hint="eastAsia"/>
          <w:sz w:val="32"/>
          <w:szCs w:val="32"/>
        </w:rPr>
        <w:t>（三）规划范围和期限</w:t>
      </w:r>
      <w:r>
        <w:rPr>
          <w:rFonts w:eastAsia="FZFangSong-Z02" w:hint="eastAsia"/>
          <w:sz w:val="32"/>
          <w:szCs w:val="32"/>
        </w:rPr>
        <w:tab/>
        <w:tab/>
      </w:r>
      <w:r>
        <w:rPr>
          <w:rFonts w:eastAsia="FZFangSong-Z02" w:hint="eastAsia"/>
          <w:sz w:val="32"/>
          <w:szCs w:val="32"/>
        </w:rPr>
        <w:fldChar w:fldCharType="begin"/>
      </w:r>
      <w:r>
        <w:rPr>
          <w:rFonts w:eastAsia="FZFangSong-Z02" w:hint="eastAsia"/>
          <w:sz w:val="32"/>
          <w:szCs w:val="32"/>
        </w:rPr>
        <w:instrText xml:space="preserve"> PAGEREF _Toc109310866 \h </w:instrText>
      </w:r>
      <w:r>
        <w:rPr>
          <w:rFonts w:eastAsia="FZFangSong-Z02" w:hint="eastAsia"/>
          <w:sz w:val="32"/>
          <w:szCs w:val="32"/>
        </w:rPr>
        <w:fldChar w:fldCharType="separate"/>
      </w:r>
      <w:r>
        <w:rPr>
          <w:rFonts w:eastAsia="FZFangSong-Z02"/>
          <w:sz w:val="32"/>
          <w:szCs w:val="32"/>
        </w:rPr>
        <w:t>13</w:t>
      </w:r>
      <w:r>
        <w:rPr>
          <w:rFonts w:eastAsia="FZFangSong-Z02" w:hint="eastAsia"/>
          <w:sz w:val="32"/>
          <w:szCs w:val="32"/>
        </w:rPr>
        <w:fldChar w:fldCharType="end"/>
      </w:r>
      <w:r>
        <w:rPr>
          <w:rFonts w:eastAsia="FZFangSong-Z02" w:hint="eastAsia"/>
          <w:sz w:val="32"/>
          <w:szCs w:val="32"/>
        </w:rPr>
        <w:fldChar w:fldCharType="end"/>
      </w:r>
    </w:p>
    <w:p>
      <w:pPr>
        <w:pStyle w:val="22"/>
        <w:tabs>
          <w:tab w:val="right" w:leader="dot" w:pos="8296"/>
        </w:tabs>
        <w:spacing w:line="240" w:lineRule="auto"/>
        <w:ind w:firstLineChars="200" w:firstLine="480"/>
        <w:rPr>
          <w:rFonts w:eastAsia="FZFangSong-Z02"/>
          <w:sz w:val="32"/>
          <w:szCs w:val="32"/>
        </w:rPr>
      </w:pPr>
      <w:r>
        <w:fldChar w:fldCharType="begin"/>
      </w:r>
      <w:r>
        <w:instrText xml:space="preserve"> HYPERLINK \l "_Toc109310867" </w:instrText>
      </w:r>
      <w:r>
        <w:fldChar w:fldCharType="separate"/>
      </w:r>
      <w:r>
        <w:rPr>
          <w:rFonts w:eastAsia="FZKai-Z03" w:cs="FZKai-Z03" w:hint="eastAsia"/>
          <w:sz w:val="32"/>
          <w:szCs w:val="32"/>
        </w:rPr>
        <w:t>（四）规划目标和指标</w:t>
      </w:r>
      <w:r>
        <w:rPr>
          <w:rFonts w:eastAsia="FZFangSong-Z02" w:hint="eastAsia"/>
          <w:sz w:val="32"/>
          <w:szCs w:val="32"/>
        </w:rPr>
        <w:tab/>
        <w:tab/>
      </w:r>
      <w:r>
        <w:rPr>
          <w:rFonts w:eastAsia="FZFangSong-Z02" w:hint="eastAsia"/>
          <w:sz w:val="32"/>
          <w:szCs w:val="32"/>
        </w:rPr>
        <w:fldChar w:fldCharType="begin"/>
      </w:r>
      <w:r>
        <w:rPr>
          <w:rFonts w:eastAsia="FZFangSong-Z02" w:hint="eastAsia"/>
          <w:sz w:val="32"/>
          <w:szCs w:val="32"/>
        </w:rPr>
        <w:instrText xml:space="preserve"> PAGEREF _Toc109310867 \h </w:instrText>
      </w:r>
      <w:r>
        <w:rPr>
          <w:rFonts w:eastAsia="FZFangSong-Z02" w:hint="eastAsia"/>
          <w:sz w:val="32"/>
          <w:szCs w:val="32"/>
        </w:rPr>
        <w:fldChar w:fldCharType="separate"/>
      </w:r>
      <w:r>
        <w:rPr>
          <w:rFonts w:eastAsia="FZFangSong-Z02"/>
          <w:sz w:val="32"/>
          <w:szCs w:val="32"/>
        </w:rPr>
        <w:t>14</w:t>
      </w:r>
      <w:r>
        <w:rPr>
          <w:rFonts w:eastAsia="FZFangSong-Z02" w:hint="eastAsia"/>
          <w:sz w:val="32"/>
          <w:szCs w:val="32"/>
        </w:rPr>
        <w:fldChar w:fldCharType="end"/>
      </w:r>
      <w:r>
        <w:rPr>
          <w:rFonts w:eastAsia="FZFangSong-Z02" w:hint="eastAsia"/>
          <w:sz w:val="32"/>
          <w:szCs w:val="32"/>
        </w:rPr>
        <w:fldChar w:fldCharType="end"/>
      </w:r>
    </w:p>
    <w:p>
      <w:pPr>
        <w:pStyle w:val="22"/>
        <w:tabs>
          <w:tab w:val="right" w:leader="dot" w:pos="8296"/>
        </w:tabs>
        <w:spacing w:line="240" w:lineRule="auto"/>
        <w:rPr>
          <w:rFonts w:eastAsia="FZFangSong-Z02"/>
          <w:sz w:val="32"/>
          <w:szCs w:val="32"/>
        </w:rPr>
      </w:pPr>
      <w:r>
        <w:fldChar w:fldCharType="begin"/>
      </w:r>
      <w:r>
        <w:instrText xml:space="preserve"> HYPERLINK \l "_Toc109310868" </w:instrText>
      </w:r>
      <w:r>
        <w:fldChar w:fldCharType="separate"/>
      </w:r>
      <w:r>
        <w:rPr>
          <w:rFonts w:eastAsia="FZHei-B01" w:cs="FZHei-B01" w:hint="eastAsia"/>
          <w:sz w:val="32"/>
          <w:szCs w:val="32"/>
        </w:rPr>
        <w:t>三、主要任务</w:t>
      </w:r>
      <w:r>
        <w:rPr>
          <w:rFonts w:eastAsia="FZFangSong-Z02" w:hint="eastAsia"/>
          <w:sz w:val="32"/>
          <w:szCs w:val="32"/>
        </w:rPr>
        <w:tab/>
        <w:tab/>
      </w:r>
      <w:r>
        <w:rPr>
          <w:rFonts w:eastAsia="FZFangSong-Z02" w:hint="eastAsia"/>
          <w:sz w:val="32"/>
          <w:szCs w:val="32"/>
        </w:rPr>
        <w:fldChar w:fldCharType="begin"/>
      </w:r>
      <w:r>
        <w:rPr>
          <w:rFonts w:eastAsia="FZFangSong-Z02" w:hint="eastAsia"/>
          <w:sz w:val="32"/>
          <w:szCs w:val="32"/>
        </w:rPr>
        <w:instrText xml:space="preserve"> PAGEREF _Toc109310868 \h </w:instrText>
      </w:r>
      <w:r>
        <w:rPr>
          <w:rFonts w:eastAsia="FZFangSong-Z02" w:hint="eastAsia"/>
          <w:sz w:val="32"/>
          <w:szCs w:val="32"/>
        </w:rPr>
        <w:fldChar w:fldCharType="separate"/>
      </w:r>
      <w:r>
        <w:rPr>
          <w:rFonts w:eastAsia="FZFangSong-Z02"/>
          <w:sz w:val="32"/>
          <w:szCs w:val="32"/>
        </w:rPr>
        <w:t>15</w:t>
      </w:r>
      <w:r>
        <w:rPr>
          <w:rFonts w:eastAsia="FZFangSong-Z02" w:hint="eastAsia"/>
          <w:sz w:val="32"/>
          <w:szCs w:val="32"/>
        </w:rPr>
        <w:fldChar w:fldCharType="end"/>
      </w:r>
      <w:r>
        <w:rPr>
          <w:rFonts w:eastAsia="FZFangSong-Z02" w:hint="eastAsia"/>
          <w:sz w:val="32"/>
          <w:szCs w:val="32"/>
        </w:rPr>
        <w:fldChar w:fldCharType="end"/>
      </w:r>
    </w:p>
    <w:p>
      <w:pPr>
        <w:pStyle w:val="22"/>
        <w:tabs>
          <w:tab w:val="right" w:leader="dot" w:pos="8296"/>
        </w:tabs>
        <w:spacing w:line="240" w:lineRule="auto"/>
        <w:ind w:firstLineChars="200" w:firstLine="480"/>
        <w:rPr>
          <w:rFonts w:eastAsia="FZFangSong-Z02"/>
          <w:sz w:val="32"/>
          <w:szCs w:val="32"/>
        </w:rPr>
      </w:pPr>
      <w:r>
        <w:fldChar w:fldCharType="begin"/>
      </w:r>
      <w:r>
        <w:instrText xml:space="preserve"> HYPERLINK \l "_Toc109310869" </w:instrText>
      </w:r>
      <w:r>
        <w:fldChar w:fldCharType="separate"/>
      </w:r>
      <w:r>
        <w:rPr>
          <w:rFonts w:eastAsia="FZKai-Z03" w:cs="FZKai-Z03" w:hint="eastAsia"/>
          <w:sz w:val="32"/>
          <w:szCs w:val="32"/>
        </w:rPr>
        <w:t>（一）推广源头减量工艺，促进工业产业升级</w:t>
      </w:r>
      <w:r>
        <w:rPr>
          <w:rFonts w:eastAsia="FZFangSong-Z02" w:hint="eastAsia"/>
          <w:sz w:val="32"/>
          <w:szCs w:val="32"/>
        </w:rPr>
        <w:tab/>
        <w:tab/>
      </w:r>
      <w:r>
        <w:rPr>
          <w:rFonts w:eastAsia="FZFangSong-Z02" w:hint="eastAsia"/>
          <w:sz w:val="32"/>
          <w:szCs w:val="32"/>
        </w:rPr>
        <w:fldChar w:fldCharType="begin"/>
      </w:r>
      <w:r>
        <w:rPr>
          <w:rFonts w:eastAsia="FZFangSong-Z02" w:hint="eastAsia"/>
          <w:sz w:val="32"/>
          <w:szCs w:val="32"/>
        </w:rPr>
        <w:instrText xml:space="preserve"> PAGEREF _Toc109310869 \h </w:instrText>
      </w:r>
      <w:r>
        <w:rPr>
          <w:rFonts w:eastAsia="FZFangSong-Z02" w:hint="eastAsia"/>
          <w:sz w:val="32"/>
          <w:szCs w:val="32"/>
        </w:rPr>
        <w:fldChar w:fldCharType="separate"/>
      </w:r>
      <w:r>
        <w:rPr>
          <w:rFonts w:eastAsia="FZFangSong-Z02"/>
          <w:sz w:val="32"/>
          <w:szCs w:val="32"/>
        </w:rPr>
        <w:t>15</w:t>
      </w:r>
      <w:r>
        <w:rPr>
          <w:rFonts w:eastAsia="FZFangSong-Z02" w:hint="eastAsia"/>
          <w:sz w:val="32"/>
          <w:szCs w:val="32"/>
        </w:rPr>
        <w:fldChar w:fldCharType="end"/>
      </w:r>
      <w:r>
        <w:rPr>
          <w:rFonts w:eastAsia="FZFangSong-Z02" w:hint="eastAsia"/>
          <w:sz w:val="32"/>
          <w:szCs w:val="32"/>
        </w:rPr>
        <w:fldChar w:fldCharType="end"/>
      </w:r>
    </w:p>
    <w:p>
      <w:pPr>
        <w:pStyle w:val="22"/>
        <w:tabs>
          <w:tab w:val="right" w:leader="dot" w:pos="8296"/>
        </w:tabs>
        <w:spacing w:line="240" w:lineRule="auto"/>
        <w:ind w:firstLineChars="200" w:firstLine="480"/>
        <w:rPr>
          <w:rFonts w:eastAsia="FZFangSong-Z02"/>
          <w:sz w:val="32"/>
          <w:szCs w:val="32"/>
        </w:rPr>
      </w:pPr>
      <w:r>
        <w:fldChar w:fldCharType="begin"/>
      </w:r>
      <w:r>
        <w:instrText xml:space="preserve"> HYPERLINK \l "_Toc109310870" </w:instrText>
      </w:r>
      <w:r>
        <w:fldChar w:fldCharType="separate"/>
      </w:r>
      <w:r>
        <w:rPr>
          <w:rFonts w:eastAsia="FZKai-Z03" w:cs="FZKai-Z03" w:hint="eastAsia"/>
          <w:sz w:val="32"/>
          <w:szCs w:val="32"/>
        </w:rPr>
        <w:t>（二）深化实施分类收集，加强贮存运输管理</w:t>
      </w:r>
      <w:r>
        <w:rPr>
          <w:rFonts w:eastAsia="FZFangSong-Z02" w:hint="eastAsia"/>
          <w:sz w:val="32"/>
          <w:szCs w:val="32"/>
        </w:rPr>
        <w:tab/>
        <w:tab/>
      </w:r>
      <w:r>
        <w:rPr>
          <w:rFonts w:eastAsia="FZFangSong-Z02" w:hint="eastAsia"/>
          <w:sz w:val="32"/>
          <w:szCs w:val="32"/>
        </w:rPr>
        <w:fldChar w:fldCharType="begin"/>
      </w:r>
      <w:r>
        <w:rPr>
          <w:rFonts w:eastAsia="FZFangSong-Z02" w:hint="eastAsia"/>
          <w:sz w:val="32"/>
          <w:szCs w:val="32"/>
        </w:rPr>
        <w:instrText xml:space="preserve"> PAGEREF _Toc109310870 \h </w:instrText>
      </w:r>
      <w:r>
        <w:rPr>
          <w:rFonts w:eastAsia="FZFangSong-Z02" w:hint="eastAsia"/>
          <w:sz w:val="32"/>
          <w:szCs w:val="32"/>
        </w:rPr>
        <w:fldChar w:fldCharType="separate"/>
      </w:r>
      <w:r>
        <w:rPr>
          <w:rFonts w:eastAsia="FZFangSong-Z02"/>
          <w:sz w:val="32"/>
          <w:szCs w:val="32"/>
        </w:rPr>
        <w:t>17</w:t>
      </w:r>
      <w:r>
        <w:rPr>
          <w:rFonts w:eastAsia="FZFangSong-Z02" w:hint="eastAsia"/>
          <w:sz w:val="32"/>
          <w:szCs w:val="32"/>
        </w:rPr>
        <w:fldChar w:fldCharType="end"/>
      </w:r>
      <w:r>
        <w:rPr>
          <w:rFonts w:eastAsia="FZFangSong-Z02" w:hint="eastAsia"/>
          <w:sz w:val="32"/>
          <w:szCs w:val="32"/>
        </w:rPr>
        <w:fldChar w:fldCharType="end"/>
      </w:r>
    </w:p>
    <w:p>
      <w:pPr>
        <w:pStyle w:val="22"/>
        <w:tabs>
          <w:tab w:val="right" w:leader="dot" w:pos="8296"/>
        </w:tabs>
        <w:spacing w:line="240" w:lineRule="auto"/>
        <w:ind w:firstLineChars="200" w:firstLine="480"/>
        <w:rPr>
          <w:rFonts w:eastAsia="FZFangSong-Z02"/>
          <w:sz w:val="32"/>
          <w:szCs w:val="32"/>
        </w:rPr>
      </w:pPr>
      <w:r>
        <w:fldChar w:fldCharType="begin"/>
      </w:r>
      <w:r>
        <w:instrText xml:space="preserve"> HYPERLINK \l "_Toc109310871" </w:instrText>
      </w:r>
      <w:r>
        <w:fldChar w:fldCharType="separate"/>
      </w:r>
      <w:r>
        <w:rPr>
          <w:rFonts w:eastAsia="FZKai-Z03" w:cs="FZKai-Z03" w:hint="eastAsia"/>
          <w:sz w:val="32"/>
          <w:szCs w:val="32"/>
        </w:rPr>
        <w:t>（三）推动园区提档升级，强化资源循环利用</w:t>
      </w:r>
      <w:r>
        <w:rPr>
          <w:rFonts w:eastAsia="FZFangSong-Z02" w:hint="eastAsia"/>
          <w:sz w:val="32"/>
          <w:szCs w:val="32"/>
        </w:rPr>
        <w:tab/>
        <w:tab/>
      </w:r>
      <w:r>
        <w:rPr>
          <w:rFonts w:eastAsia="FZFangSong-Z02" w:hint="eastAsia"/>
          <w:sz w:val="32"/>
          <w:szCs w:val="32"/>
        </w:rPr>
        <w:fldChar w:fldCharType="begin"/>
      </w:r>
      <w:r>
        <w:rPr>
          <w:rFonts w:eastAsia="FZFangSong-Z02" w:hint="eastAsia"/>
          <w:sz w:val="32"/>
          <w:szCs w:val="32"/>
        </w:rPr>
        <w:instrText xml:space="preserve"> PAGEREF _Toc109310871 \h </w:instrText>
      </w:r>
      <w:r>
        <w:rPr>
          <w:rFonts w:eastAsia="FZFangSong-Z02" w:hint="eastAsia"/>
          <w:sz w:val="32"/>
          <w:szCs w:val="32"/>
        </w:rPr>
        <w:fldChar w:fldCharType="separate"/>
      </w:r>
      <w:r>
        <w:rPr>
          <w:rFonts w:eastAsia="FZFangSong-Z02"/>
          <w:sz w:val="32"/>
          <w:szCs w:val="32"/>
        </w:rPr>
        <w:t>19</w:t>
      </w:r>
      <w:r>
        <w:rPr>
          <w:rFonts w:eastAsia="FZFangSong-Z02" w:hint="eastAsia"/>
          <w:sz w:val="32"/>
          <w:szCs w:val="32"/>
        </w:rPr>
        <w:fldChar w:fldCharType="end"/>
      </w:r>
      <w:r>
        <w:rPr>
          <w:rFonts w:eastAsia="FZFangSong-Z02" w:hint="eastAsia"/>
          <w:sz w:val="32"/>
          <w:szCs w:val="32"/>
        </w:rPr>
        <w:fldChar w:fldCharType="end"/>
      </w:r>
    </w:p>
    <w:p>
      <w:pPr>
        <w:pStyle w:val="22"/>
        <w:tabs>
          <w:tab w:val="right" w:leader="dot" w:pos="8296"/>
        </w:tabs>
        <w:spacing w:line="240" w:lineRule="auto"/>
        <w:ind w:firstLineChars="200" w:firstLine="480"/>
        <w:rPr>
          <w:rFonts w:eastAsia="FZFangSong-Z02"/>
          <w:sz w:val="32"/>
          <w:szCs w:val="32"/>
        </w:rPr>
      </w:pPr>
      <w:r>
        <w:fldChar w:fldCharType="begin"/>
      </w:r>
      <w:r>
        <w:instrText xml:space="preserve"> HYPERLINK \l "_Toc109310872" </w:instrText>
      </w:r>
      <w:r>
        <w:fldChar w:fldCharType="separate"/>
      </w:r>
      <w:r>
        <w:rPr>
          <w:rFonts w:eastAsia="FZKai-Z03" w:cs="FZKai-Z03" w:hint="eastAsia"/>
          <w:sz w:val="32"/>
          <w:szCs w:val="32"/>
        </w:rPr>
        <w:t>（四）优化处置设施建设，保障固废处置安全</w:t>
      </w:r>
      <w:r>
        <w:rPr>
          <w:rFonts w:eastAsia="FZFangSong-Z02" w:hint="eastAsia"/>
          <w:sz w:val="32"/>
          <w:szCs w:val="32"/>
        </w:rPr>
        <w:tab/>
        <w:tab/>
      </w:r>
      <w:r>
        <w:rPr>
          <w:rFonts w:eastAsia="FZFangSong-Z02" w:hint="eastAsia"/>
          <w:sz w:val="32"/>
          <w:szCs w:val="32"/>
        </w:rPr>
        <w:fldChar w:fldCharType="begin"/>
      </w:r>
      <w:r>
        <w:rPr>
          <w:rFonts w:eastAsia="FZFangSong-Z02" w:hint="eastAsia"/>
          <w:sz w:val="32"/>
          <w:szCs w:val="32"/>
        </w:rPr>
        <w:instrText xml:space="preserve"> PAGEREF _Toc109310872 \h </w:instrText>
      </w:r>
      <w:r>
        <w:rPr>
          <w:rFonts w:eastAsia="FZFangSong-Z02" w:hint="eastAsia"/>
          <w:sz w:val="32"/>
          <w:szCs w:val="32"/>
        </w:rPr>
        <w:fldChar w:fldCharType="separate"/>
      </w:r>
      <w:r>
        <w:rPr>
          <w:rFonts w:eastAsia="FZFangSong-Z02"/>
          <w:sz w:val="32"/>
          <w:szCs w:val="32"/>
        </w:rPr>
        <w:t>20</w:t>
      </w:r>
      <w:r>
        <w:rPr>
          <w:rFonts w:eastAsia="FZFangSong-Z02" w:hint="eastAsia"/>
          <w:sz w:val="32"/>
          <w:szCs w:val="32"/>
        </w:rPr>
        <w:fldChar w:fldCharType="end"/>
      </w:r>
      <w:r>
        <w:rPr>
          <w:rFonts w:eastAsia="FZFangSong-Z02" w:hint="eastAsia"/>
          <w:sz w:val="32"/>
          <w:szCs w:val="32"/>
        </w:rPr>
        <w:fldChar w:fldCharType="end"/>
      </w:r>
    </w:p>
    <w:p>
      <w:pPr>
        <w:pStyle w:val="22"/>
        <w:tabs>
          <w:tab w:val="right" w:leader="dot" w:pos="8296"/>
        </w:tabs>
        <w:spacing w:line="240" w:lineRule="auto"/>
        <w:ind w:firstLineChars="200" w:firstLine="480"/>
        <w:rPr>
          <w:rFonts w:eastAsia="FZFangSong-Z02"/>
          <w:sz w:val="32"/>
          <w:szCs w:val="32"/>
        </w:rPr>
      </w:pPr>
      <w:r>
        <w:fldChar w:fldCharType="begin"/>
      </w:r>
      <w:r>
        <w:instrText xml:space="preserve"> HYPERLINK \l "_Toc109310873" </w:instrText>
      </w:r>
      <w:r>
        <w:fldChar w:fldCharType="separate"/>
      </w:r>
      <w:r>
        <w:rPr>
          <w:rFonts w:eastAsia="FZKai-Z03" w:cs="FZKai-Z03" w:hint="eastAsia"/>
          <w:sz w:val="32"/>
          <w:szCs w:val="32"/>
        </w:rPr>
        <w:t>（五）开展监管能力建设，强化环境风险防控</w:t>
      </w:r>
      <w:r>
        <w:rPr>
          <w:rFonts w:eastAsia="FZFangSong-Z02" w:hint="eastAsia"/>
          <w:sz w:val="32"/>
          <w:szCs w:val="32"/>
        </w:rPr>
        <w:tab/>
        <w:tab/>
      </w:r>
      <w:r>
        <w:rPr>
          <w:rFonts w:eastAsia="FZFangSong-Z02" w:hint="eastAsia"/>
          <w:sz w:val="32"/>
          <w:szCs w:val="32"/>
        </w:rPr>
        <w:fldChar w:fldCharType="begin"/>
      </w:r>
      <w:r>
        <w:rPr>
          <w:rFonts w:eastAsia="FZFangSong-Z02" w:hint="eastAsia"/>
          <w:sz w:val="32"/>
          <w:szCs w:val="32"/>
        </w:rPr>
        <w:instrText xml:space="preserve"> PAGEREF _Toc109310873 \h </w:instrText>
      </w:r>
      <w:r>
        <w:rPr>
          <w:rFonts w:eastAsia="FZFangSong-Z02" w:hint="eastAsia"/>
          <w:sz w:val="32"/>
          <w:szCs w:val="32"/>
        </w:rPr>
        <w:fldChar w:fldCharType="separate"/>
      </w:r>
      <w:r>
        <w:rPr>
          <w:rFonts w:eastAsia="FZFangSong-Z02"/>
          <w:sz w:val="32"/>
          <w:szCs w:val="32"/>
        </w:rPr>
        <w:t>22</w:t>
      </w:r>
      <w:r>
        <w:rPr>
          <w:rFonts w:eastAsia="FZFangSong-Z02" w:hint="eastAsia"/>
          <w:sz w:val="32"/>
          <w:szCs w:val="32"/>
        </w:rPr>
        <w:fldChar w:fldCharType="end"/>
      </w:r>
      <w:r>
        <w:rPr>
          <w:rFonts w:eastAsia="FZFangSong-Z02" w:hint="eastAsia"/>
          <w:sz w:val="32"/>
          <w:szCs w:val="32"/>
        </w:rPr>
        <w:fldChar w:fldCharType="end"/>
      </w:r>
    </w:p>
    <w:p>
      <w:pPr>
        <w:pStyle w:val="22"/>
        <w:tabs>
          <w:tab w:val="right" w:leader="dot" w:pos="8296"/>
        </w:tabs>
        <w:spacing w:line="240" w:lineRule="auto"/>
        <w:rPr>
          <w:rFonts w:eastAsia="FZFangSong-Z02"/>
          <w:sz w:val="32"/>
          <w:szCs w:val="32"/>
        </w:rPr>
      </w:pPr>
      <w:r>
        <w:fldChar w:fldCharType="begin"/>
      </w:r>
      <w:r>
        <w:instrText xml:space="preserve"> HYPERLINK \l "_Toc109310874" </w:instrText>
      </w:r>
      <w:r>
        <w:fldChar w:fldCharType="separate"/>
      </w:r>
      <w:r>
        <w:rPr>
          <w:rFonts w:eastAsia="FZHei-B01" w:cs="FZHei-B01" w:hint="eastAsia"/>
          <w:sz w:val="32"/>
          <w:szCs w:val="32"/>
        </w:rPr>
        <w:t>四、重点项目</w:t>
      </w:r>
      <w:r>
        <w:rPr>
          <w:rFonts w:eastAsia="FZFangSong-Z02" w:hint="eastAsia"/>
          <w:sz w:val="32"/>
          <w:szCs w:val="32"/>
        </w:rPr>
        <w:tab/>
        <w:tab/>
      </w:r>
      <w:r>
        <w:rPr>
          <w:rFonts w:eastAsia="FZFangSong-Z02" w:hint="eastAsia"/>
          <w:sz w:val="32"/>
          <w:szCs w:val="32"/>
        </w:rPr>
        <w:fldChar w:fldCharType="begin"/>
      </w:r>
      <w:r>
        <w:rPr>
          <w:rFonts w:eastAsia="FZFangSong-Z02" w:hint="eastAsia"/>
          <w:sz w:val="32"/>
          <w:szCs w:val="32"/>
        </w:rPr>
        <w:instrText xml:space="preserve"> PAGEREF _Toc109310874 \h </w:instrText>
      </w:r>
      <w:r>
        <w:rPr>
          <w:rFonts w:eastAsia="FZFangSong-Z02" w:hint="eastAsia"/>
          <w:sz w:val="32"/>
          <w:szCs w:val="32"/>
        </w:rPr>
        <w:fldChar w:fldCharType="separate"/>
      </w:r>
      <w:r>
        <w:rPr>
          <w:rFonts w:eastAsia="FZFangSong-Z02"/>
          <w:sz w:val="32"/>
          <w:szCs w:val="32"/>
        </w:rPr>
        <w:t>26</w:t>
      </w:r>
      <w:r>
        <w:rPr>
          <w:rFonts w:eastAsia="FZFangSong-Z02" w:hint="eastAsia"/>
          <w:sz w:val="32"/>
          <w:szCs w:val="32"/>
        </w:rPr>
        <w:fldChar w:fldCharType="end"/>
      </w:r>
      <w:r>
        <w:rPr>
          <w:rFonts w:eastAsia="FZFangSong-Z02" w:hint="eastAsia"/>
          <w:sz w:val="32"/>
          <w:szCs w:val="32"/>
        </w:rPr>
        <w:fldChar w:fldCharType="end"/>
      </w:r>
    </w:p>
    <w:p>
      <w:pPr>
        <w:pStyle w:val="22"/>
        <w:tabs>
          <w:tab w:val="right" w:leader="dot" w:pos="8296"/>
        </w:tabs>
        <w:spacing w:line="240" w:lineRule="auto"/>
        <w:rPr>
          <w:rFonts w:eastAsia="FZFangSong-Z02"/>
          <w:sz w:val="32"/>
          <w:szCs w:val="32"/>
        </w:rPr>
      </w:pPr>
      <w:r>
        <w:fldChar w:fldCharType="begin"/>
      </w:r>
      <w:r>
        <w:instrText xml:space="preserve"> HYPERLINK \l "_Toc109310875" </w:instrText>
      </w:r>
      <w:r>
        <w:fldChar w:fldCharType="separate"/>
      </w:r>
      <w:r>
        <w:rPr>
          <w:rFonts w:eastAsia="FZHei-B01" w:cs="FZHei-B01" w:hint="eastAsia"/>
          <w:sz w:val="32"/>
          <w:szCs w:val="32"/>
        </w:rPr>
        <w:t>五、保障措施</w:t>
      </w:r>
      <w:r>
        <w:rPr>
          <w:rFonts w:eastAsia="FZFangSong-Z02" w:hint="eastAsia"/>
          <w:sz w:val="32"/>
          <w:szCs w:val="32"/>
        </w:rPr>
        <w:tab/>
        <w:tab/>
      </w:r>
      <w:r>
        <w:rPr>
          <w:rFonts w:eastAsia="FZFangSong-Z02" w:hint="eastAsia"/>
          <w:sz w:val="32"/>
          <w:szCs w:val="32"/>
        </w:rPr>
        <w:fldChar w:fldCharType="begin"/>
      </w:r>
      <w:r>
        <w:rPr>
          <w:rFonts w:eastAsia="FZFangSong-Z02" w:hint="eastAsia"/>
          <w:sz w:val="32"/>
          <w:szCs w:val="32"/>
        </w:rPr>
        <w:instrText xml:space="preserve"> PAGEREF _Toc109310875 \h </w:instrText>
      </w:r>
      <w:r>
        <w:rPr>
          <w:rFonts w:eastAsia="FZFangSong-Z02" w:hint="eastAsia"/>
          <w:sz w:val="32"/>
          <w:szCs w:val="32"/>
        </w:rPr>
        <w:fldChar w:fldCharType="separate"/>
      </w:r>
      <w:r>
        <w:rPr>
          <w:rFonts w:eastAsia="FZFangSong-Z02"/>
          <w:sz w:val="32"/>
          <w:szCs w:val="32"/>
        </w:rPr>
        <w:t>26</w:t>
      </w:r>
      <w:r>
        <w:rPr>
          <w:rFonts w:eastAsia="FZFangSong-Z02" w:hint="eastAsia"/>
          <w:sz w:val="32"/>
          <w:szCs w:val="32"/>
        </w:rPr>
        <w:fldChar w:fldCharType="end"/>
      </w:r>
      <w:r>
        <w:rPr>
          <w:rFonts w:eastAsia="FZFangSong-Z02" w:hint="eastAsia"/>
          <w:sz w:val="32"/>
          <w:szCs w:val="32"/>
        </w:rPr>
        <w:fldChar w:fldCharType="end"/>
      </w:r>
    </w:p>
    <w:p>
      <w:pPr>
        <w:pStyle w:val="22"/>
        <w:tabs>
          <w:tab w:val="right" w:leader="dot" w:pos="8296"/>
        </w:tabs>
        <w:spacing w:line="240" w:lineRule="auto"/>
        <w:ind w:firstLineChars="200" w:firstLine="480"/>
        <w:rPr>
          <w:rFonts w:eastAsia="FZFangSong-Z02"/>
          <w:sz w:val="32"/>
          <w:szCs w:val="32"/>
        </w:rPr>
      </w:pPr>
      <w:r>
        <w:fldChar w:fldCharType="begin"/>
      </w:r>
      <w:r>
        <w:instrText xml:space="preserve"> HYPERLINK \l "_Toc109310876" </w:instrText>
      </w:r>
      <w:r>
        <w:fldChar w:fldCharType="separate"/>
      </w:r>
      <w:r>
        <w:rPr>
          <w:rFonts w:eastAsia="FZKai-Z03" w:cs="FZKai-Z03" w:hint="eastAsia"/>
          <w:sz w:val="32"/>
          <w:szCs w:val="32"/>
        </w:rPr>
        <w:t>（一）组织保障</w:t>
      </w:r>
      <w:r>
        <w:rPr>
          <w:rFonts w:eastAsia="FZFangSong-Z02" w:hint="eastAsia"/>
          <w:sz w:val="32"/>
          <w:szCs w:val="32"/>
        </w:rPr>
        <w:tab/>
        <w:tab/>
      </w:r>
      <w:r>
        <w:rPr>
          <w:rFonts w:eastAsia="FZFangSong-Z02" w:hint="eastAsia"/>
          <w:sz w:val="32"/>
          <w:szCs w:val="32"/>
        </w:rPr>
        <w:fldChar w:fldCharType="begin"/>
      </w:r>
      <w:r>
        <w:rPr>
          <w:rFonts w:eastAsia="FZFangSong-Z02" w:hint="eastAsia"/>
          <w:sz w:val="32"/>
          <w:szCs w:val="32"/>
        </w:rPr>
        <w:instrText xml:space="preserve"> PAGEREF _Toc109310876 \h </w:instrText>
      </w:r>
      <w:r>
        <w:rPr>
          <w:rFonts w:eastAsia="FZFangSong-Z02" w:hint="eastAsia"/>
          <w:sz w:val="32"/>
          <w:szCs w:val="32"/>
        </w:rPr>
        <w:fldChar w:fldCharType="separate"/>
      </w:r>
      <w:r>
        <w:rPr>
          <w:rFonts w:eastAsia="FZFangSong-Z02"/>
          <w:sz w:val="32"/>
          <w:szCs w:val="32"/>
        </w:rPr>
        <w:t>26</w:t>
      </w:r>
      <w:r>
        <w:rPr>
          <w:rFonts w:eastAsia="FZFangSong-Z02" w:hint="eastAsia"/>
          <w:sz w:val="32"/>
          <w:szCs w:val="32"/>
        </w:rPr>
        <w:fldChar w:fldCharType="end"/>
      </w:r>
      <w:r>
        <w:rPr>
          <w:rFonts w:eastAsia="FZFangSong-Z02" w:hint="eastAsia"/>
          <w:sz w:val="32"/>
          <w:szCs w:val="32"/>
        </w:rPr>
        <w:fldChar w:fldCharType="end"/>
      </w:r>
    </w:p>
    <w:p>
      <w:pPr>
        <w:pStyle w:val="22"/>
        <w:tabs>
          <w:tab w:val="right" w:leader="dot" w:pos="8296"/>
        </w:tabs>
        <w:spacing w:line="240" w:lineRule="auto"/>
        <w:ind w:firstLineChars="200" w:firstLine="480"/>
        <w:rPr>
          <w:rFonts w:eastAsia="FZFangSong-Z02"/>
          <w:sz w:val="32"/>
          <w:szCs w:val="32"/>
        </w:rPr>
      </w:pPr>
      <w:r>
        <w:fldChar w:fldCharType="begin"/>
      </w:r>
      <w:r>
        <w:instrText xml:space="preserve"> HYPERLINK \l "_Toc109310877" </w:instrText>
      </w:r>
      <w:r>
        <w:fldChar w:fldCharType="separate"/>
      </w:r>
      <w:r>
        <w:rPr>
          <w:rFonts w:eastAsia="FZKai-Z03" w:cs="FZKai-Z03" w:hint="eastAsia"/>
          <w:sz w:val="32"/>
          <w:szCs w:val="32"/>
        </w:rPr>
        <w:t>（二）政策保障</w:t>
      </w:r>
      <w:r>
        <w:rPr>
          <w:rFonts w:eastAsia="FZFangSong-Z02" w:hint="eastAsia"/>
          <w:sz w:val="32"/>
          <w:szCs w:val="32"/>
        </w:rPr>
        <w:tab/>
        <w:tab/>
      </w:r>
      <w:r>
        <w:rPr>
          <w:rFonts w:eastAsia="FZFangSong-Z02" w:hint="eastAsia"/>
          <w:sz w:val="32"/>
          <w:szCs w:val="32"/>
        </w:rPr>
        <w:fldChar w:fldCharType="begin"/>
      </w:r>
      <w:r>
        <w:rPr>
          <w:rFonts w:eastAsia="FZFangSong-Z02" w:hint="eastAsia"/>
          <w:sz w:val="32"/>
          <w:szCs w:val="32"/>
        </w:rPr>
        <w:instrText xml:space="preserve"> PAGEREF _Toc109310877 \h </w:instrText>
      </w:r>
      <w:r>
        <w:rPr>
          <w:rFonts w:eastAsia="FZFangSong-Z02" w:hint="eastAsia"/>
          <w:sz w:val="32"/>
          <w:szCs w:val="32"/>
        </w:rPr>
        <w:fldChar w:fldCharType="separate"/>
      </w:r>
      <w:r>
        <w:rPr>
          <w:rFonts w:eastAsia="FZFangSong-Z02"/>
          <w:sz w:val="32"/>
          <w:szCs w:val="32"/>
        </w:rPr>
        <w:t>27</w:t>
      </w:r>
      <w:r>
        <w:rPr>
          <w:rFonts w:eastAsia="FZFangSong-Z02" w:hint="eastAsia"/>
          <w:sz w:val="32"/>
          <w:szCs w:val="32"/>
        </w:rPr>
        <w:fldChar w:fldCharType="end"/>
      </w:r>
      <w:r>
        <w:rPr>
          <w:rFonts w:eastAsia="FZFangSong-Z02" w:hint="eastAsia"/>
          <w:sz w:val="32"/>
          <w:szCs w:val="32"/>
        </w:rPr>
        <w:fldChar w:fldCharType="end"/>
      </w:r>
    </w:p>
    <w:p>
      <w:pPr>
        <w:pStyle w:val="22"/>
        <w:tabs>
          <w:tab w:val="right" w:leader="dot" w:pos="8296"/>
        </w:tabs>
        <w:spacing w:line="240" w:lineRule="auto"/>
        <w:ind w:firstLineChars="200" w:firstLine="480"/>
        <w:rPr>
          <w:rFonts w:eastAsia="FZFangSong-Z02"/>
          <w:sz w:val="32"/>
          <w:szCs w:val="32"/>
        </w:rPr>
      </w:pPr>
      <w:r>
        <w:fldChar w:fldCharType="begin"/>
      </w:r>
      <w:r>
        <w:instrText xml:space="preserve"> HYPERLINK \l "_Toc109310878" </w:instrText>
      </w:r>
      <w:r>
        <w:fldChar w:fldCharType="separate"/>
      </w:r>
      <w:r>
        <w:rPr>
          <w:rFonts w:eastAsia="FZKai-Z03" w:cs="FZKai-Z03" w:hint="eastAsia"/>
          <w:sz w:val="32"/>
          <w:szCs w:val="32"/>
        </w:rPr>
        <w:t>（三）资金保障</w:t>
      </w:r>
      <w:r>
        <w:rPr>
          <w:rFonts w:eastAsia="FZFangSong-Z02" w:hint="eastAsia"/>
          <w:sz w:val="32"/>
          <w:szCs w:val="32"/>
        </w:rPr>
        <w:tab/>
        <w:tab/>
      </w:r>
      <w:r>
        <w:rPr>
          <w:rFonts w:eastAsia="FZFangSong-Z02" w:hint="eastAsia"/>
          <w:sz w:val="32"/>
          <w:szCs w:val="32"/>
        </w:rPr>
        <w:fldChar w:fldCharType="begin"/>
      </w:r>
      <w:r>
        <w:rPr>
          <w:rFonts w:eastAsia="FZFangSong-Z02" w:hint="eastAsia"/>
          <w:sz w:val="32"/>
          <w:szCs w:val="32"/>
        </w:rPr>
        <w:instrText xml:space="preserve"> PAGEREF _Toc109310878 \h </w:instrText>
      </w:r>
      <w:r>
        <w:rPr>
          <w:rFonts w:eastAsia="FZFangSong-Z02" w:hint="eastAsia"/>
          <w:sz w:val="32"/>
          <w:szCs w:val="32"/>
        </w:rPr>
        <w:fldChar w:fldCharType="separate"/>
      </w:r>
      <w:r>
        <w:rPr>
          <w:rFonts w:eastAsia="FZFangSong-Z02"/>
          <w:sz w:val="32"/>
          <w:szCs w:val="32"/>
        </w:rPr>
        <w:t>27</w:t>
      </w:r>
      <w:r>
        <w:rPr>
          <w:rFonts w:eastAsia="FZFangSong-Z02" w:hint="eastAsia"/>
          <w:sz w:val="32"/>
          <w:szCs w:val="32"/>
        </w:rPr>
        <w:fldChar w:fldCharType="end"/>
      </w:r>
      <w:r>
        <w:rPr>
          <w:rFonts w:eastAsia="FZFangSong-Z02" w:hint="eastAsia"/>
          <w:sz w:val="32"/>
          <w:szCs w:val="32"/>
        </w:rPr>
        <w:fldChar w:fldCharType="end"/>
      </w:r>
    </w:p>
    <w:p>
      <w:pPr>
        <w:pStyle w:val="22"/>
        <w:tabs>
          <w:tab w:val="right" w:leader="dot" w:pos="8296"/>
        </w:tabs>
        <w:spacing w:line="240" w:lineRule="auto"/>
        <w:ind w:firstLineChars="200" w:firstLine="480"/>
        <w:rPr>
          <w:rFonts w:eastAsia="FZFangSong-Z02"/>
          <w:sz w:val="32"/>
          <w:szCs w:val="32"/>
        </w:rPr>
      </w:pPr>
      <w:r>
        <w:fldChar w:fldCharType="begin"/>
      </w:r>
      <w:r>
        <w:instrText xml:space="preserve"> HYPERLINK \l "_Toc109310879" </w:instrText>
      </w:r>
      <w:r>
        <w:fldChar w:fldCharType="separate"/>
      </w:r>
      <w:r>
        <w:rPr>
          <w:rFonts w:eastAsia="FZKai-Z03" w:cs="FZKai-Z03" w:hint="eastAsia"/>
          <w:sz w:val="32"/>
          <w:szCs w:val="32"/>
        </w:rPr>
        <w:t>（四）宣传保障</w:t>
      </w:r>
      <w:r>
        <w:rPr>
          <w:rFonts w:eastAsia="FZFangSong-Z02" w:hint="eastAsia"/>
          <w:sz w:val="32"/>
          <w:szCs w:val="32"/>
        </w:rPr>
        <w:tab/>
        <w:tab/>
      </w:r>
      <w:r>
        <w:rPr>
          <w:rFonts w:eastAsia="FZFangSong-Z02" w:hint="eastAsia"/>
          <w:sz w:val="32"/>
          <w:szCs w:val="32"/>
        </w:rPr>
        <w:fldChar w:fldCharType="begin"/>
      </w:r>
      <w:r>
        <w:rPr>
          <w:rFonts w:eastAsia="FZFangSong-Z02" w:hint="eastAsia"/>
          <w:sz w:val="32"/>
          <w:szCs w:val="32"/>
        </w:rPr>
        <w:instrText xml:space="preserve"> PAGEREF _Toc109310879 \h </w:instrText>
      </w:r>
      <w:r>
        <w:rPr>
          <w:rFonts w:eastAsia="FZFangSong-Z02" w:hint="eastAsia"/>
          <w:sz w:val="32"/>
          <w:szCs w:val="32"/>
        </w:rPr>
        <w:fldChar w:fldCharType="separate"/>
      </w:r>
      <w:r>
        <w:rPr>
          <w:rFonts w:eastAsia="FZFangSong-Z02"/>
          <w:sz w:val="32"/>
          <w:szCs w:val="32"/>
        </w:rPr>
        <w:t>28</w:t>
      </w:r>
      <w:r>
        <w:rPr>
          <w:rFonts w:eastAsia="FZFangSong-Z02" w:hint="eastAsia"/>
          <w:sz w:val="32"/>
          <w:szCs w:val="32"/>
        </w:rPr>
        <w:fldChar w:fldCharType="end"/>
      </w:r>
      <w:r>
        <w:rPr>
          <w:rFonts w:eastAsia="FZFangSong-Z02" w:hint="eastAsia"/>
          <w:sz w:val="32"/>
          <w:szCs w:val="32"/>
        </w:rPr>
        <w:fldChar w:fldCharType="end"/>
      </w:r>
    </w:p>
    <w:p>
      <w:pPr>
        <w:pStyle w:val="24"/>
        <w:tabs>
          <w:tab w:val="right" w:leader="dot" w:pos="8296"/>
        </w:tabs>
        <w:spacing w:line="240" w:lineRule="auto"/>
        <w:ind w:leftChars="0" w:left="0"/>
        <w:rPr>
          <w:rStyle w:val="28"/>
          <w:rFonts w:eastAsia="FZHei-B01" w:cs="FZHei-B01"/>
          <w:color w:val="auto"/>
          <w:sz w:val="32"/>
          <w:szCs w:val="32"/>
          <w:u w:val="none"/>
        </w:rPr>
      </w:pPr>
      <w:r>
        <w:rPr>
          <w:rStyle w:val="28"/>
          <w:rFonts w:eastAsia="FZHei-B01" w:cs="FZHei-B01" w:hint="eastAsia"/>
          <w:color w:val="auto"/>
          <w:sz w:val="32"/>
          <w:szCs w:val="32"/>
          <w:u w:val="none"/>
        </w:rPr>
        <w:t>六、附件</w:t>
      </w:r>
      <w:r>
        <w:fldChar w:fldCharType="begin"/>
      </w:r>
      <w:r>
        <w:instrText xml:space="preserve"> HYPERLINK \l "_Toc109310879" </w:instrText>
      </w:r>
      <w:r>
        <w:fldChar w:fldCharType="separate"/>
      </w:r>
      <w:r>
        <w:rPr>
          <w:rFonts w:eastAsia="FZHei-B01" w:cs="FZHei-B01" w:hint="eastAsia"/>
          <w:color w:val="auto"/>
          <w:sz w:val="32"/>
          <w:szCs w:val="32"/>
          <w:u w:val="none"/>
        </w:rPr>
        <w:tab/>
        <w:tab/>
        <w:t>2</w:t>
      </w:r>
      <w:r>
        <w:rPr>
          <w:rStyle w:val="28"/>
          <w:rFonts w:eastAsia="FZHei-B01" w:cs="FZHei-B01"/>
          <w:color w:val="auto"/>
          <w:sz w:val="32"/>
          <w:szCs w:val="32"/>
          <w:u w:val="none"/>
        </w:rPr>
        <w:fldChar w:fldCharType="end"/>
      </w:r>
      <w:r>
        <w:rPr>
          <w:rStyle w:val="28"/>
          <w:rFonts w:eastAsia="FZHei-B01" w:cs="FZHei-B01" w:hint="eastAsia"/>
          <w:color w:val="auto"/>
          <w:sz w:val="32"/>
          <w:szCs w:val="32"/>
          <w:u w:val="none"/>
        </w:rPr>
        <w:t>8</w:t>
      </w:r>
    </w:p>
    <w:p>
      <w:pPr>
        <w:pStyle w:val="24"/>
        <w:tabs>
          <w:tab w:val="right" w:leader="dot" w:pos="8296"/>
        </w:tabs>
        <w:spacing w:line="240" w:lineRule="auto"/>
        <w:ind w:leftChars="0" w:left="0" w:firstLineChars="250" w:firstLine="600"/>
        <w:rPr>
          <w:rStyle w:val="28"/>
          <w:rFonts w:eastAsia="FZHei-B01" w:cs="FZHei-B01"/>
          <w:color w:val="auto"/>
          <w:sz w:val="32"/>
          <w:szCs w:val="32"/>
        </w:rPr>
      </w:pPr>
      <w:r>
        <w:fldChar w:fldCharType="begin"/>
      </w:r>
      <w:r>
        <w:instrText xml:space="preserve"> HYPERLINK \l "_Toc109310881" </w:instrText>
      </w:r>
      <w:r>
        <w:fldChar w:fldCharType="separate"/>
      </w:r>
      <w:r>
        <w:rPr>
          <w:rFonts w:cs="FZKai-Z03" w:hint="eastAsia"/>
          <w:color w:val="auto"/>
          <w:sz w:val="32"/>
          <w:szCs w:val="32"/>
          <w:u w:val="none"/>
        </w:rPr>
        <w:t>附件1.指标解释</w:t>
      </w:r>
      <w:r>
        <w:rPr>
          <w:rFonts w:eastAsia="FZFangSong-Z02" w:hint="eastAsia"/>
          <w:sz w:val="32"/>
          <w:szCs w:val="32"/>
        </w:rPr>
        <w:tab/>
        <w:tab/>
      </w:r>
      <w:r>
        <w:rPr>
          <w:rFonts w:eastAsia="FZFangSong-Z02" w:hint="eastAsia"/>
          <w:sz w:val="32"/>
          <w:szCs w:val="32"/>
        </w:rPr>
        <w:fldChar w:fldCharType="begin"/>
      </w:r>
      <w:r>
        <w:rPr>
          <w:rFonts w:eastAsia="FZFangSong-Z02" w:hint="eastAsia"/>
          <w:sz w:val="32"/>
          <w:szCs w:val="32"/>
        </w:rPr>
        <w:instrText xml:space="preserve"> PAGEREF _Toc109310881 \h </w:instrText>
      </w:r>
      <w:r>
        <w:rPr>
          <w:rFonts w:eastAsia="FZFangSong-Z02" w:hint="eastAsia"/>
          <w:sz w:val="32"/>
          <w:szCs w:val="32"/>
        </w:rPr>
        <w:fldChar w:fldCharType="separate"/>
      </w:r>
      <w:r>
        <w:rPr>
          <w:rFonts w:eastAsia="FZFangSong-Z02"/>
          <w:sz w:val="32"/>
          <w:szCs w:val="32"/>
        </w:rPr>
        <w:t>29</w:t>
      </w:r>
      <w:r>
        <w:rPr>
          <w:rFonts w:eastAsia="FZFangSong-Z02" w:hint="eastAsia"/>
          <w:sz w:val="32"/>
          <w:szCs w:val="32"/>
        </w:rPr>
        <w:fldChar w:fldCharType="end"/>
      </w:r>
      <w:r>
        <w:rPr>
          <w:rFonts w:eastAsia="FZFangSong-Z02" w:hint="eastAsia"/>
          <w:sz w:val="32"/>
          <w:szCs w:val="32"/>
        </w:rPr>
        <w:fldChar w:fldCharType="end"/>
      </w:r>
    </w:p>
    <w:p>
      <w:pPr>
        <w:pStyle w:val="24"/>
        <w:tabs>
          <w:tab w:val="right" w:leader="dot" w:pos="8296"/>
        </w:tabs>
        <w:spacing w:line="240" w:lineRule="auto"/>
        <w:ind w:leftChars="0" w:left="0" w:firstLineChars="187" w:firstLine="598"/>
        <w:rPr>
          <w:rFonts w:eastAsia="FZFangSong-Z02"/>
          <w:sz w:val="32"/>
          <w:szCs w:val="32"/>
        </w:rPr>
      </w:pPr>
      <w:r>
        <w:rPr>
          <w:rStyle w:val="28"/>
          <w:rFonts w:cs="FZKai-Z03" w:hint="eastAsia"/>
          <w:color w:val="auto"/>
          <w:sz w:val="32"/>
          <w:szCs w:val="32"/>
          <w:u w:val="none"/>
        </w:rPr>
        <w:t>附件</w:t>
      </w:r>
      <w:r>
        <w:fldChar w:fldCharType="begin"/>
      </w:r>
      <w:r>
        <w:instrText xml:space="preserve"> HYPERLINK \l "_Toc109310882" </w:instrText>
      </w:r>
      <w:r>
        <w:fldChar w:fldCharType="separate"/>
      </w:r>
      <w:r>
        <w:rPr>
          <w:rFonts w:cs="FZKai-Z03" w:hint="eastAsia"/>
          <w:color w:val="auto"/>
          <w:sz w:val="32"/>
          <w:szCs w:val="32"/>
          <w:u w:val="none"/>
        </w:rPr>
        <w:t>2.江津区“十四五”工业固体废物污染环境防治规划重点项目表</w:t>
        <w:tab/>
        <w:tab/>
      </w:r>
      <w:r>
        <w:rPr>
          <w:rStyle w:val="28"/>
          <w:rFonts w:cs="Times New Roman"/>
          <w:color w:val="auto"/>
          <w:sz w:val="32"/>
          <w:szCs w:val="32"/>
          <w:u w:val="none"/>
        </w:rPr>
        <w:fldChar w:fldCharType="begin"/>
      </w:r>
      <w:r>
        <w:rPr>
          <w:rStyle w:val="28"/>
          <w:rFonts w:cs="Times New Roman"/>
          <w:color w:val="auto"/>
          <w:sz w:val="32"/>
          <w:szCs w:val="32"/>
          <w:u w:val="none"/>
        </w:rPr>
        <w:instrText xml:space="preserve"> PAGEREF _Toc109310882 \h </w:instrText>
      </w:r>
      <w:r>
        <w:rPr>
          <w:rStyle w:val="28"/>
          <w:rFonts w:cs="Times New Roman"/>
          <w:color w:val="auto"/>
          <w:sz w:val="32"/>
          <w:szCs w:val="32"/>
          <w:u w:val="none"/>
        </w:rPr>
        <w:fldChar w:fldCharType="separate"/>
      </w:r>
      <w:r>
        <w:rPr>
          <w:rFonts w:cs="Times New Roman"/>
          <w:color w:val="auto"/>
          <w:sz w:val="32"/>
          <w:szCs w:val="32"/>
          <w:u w:val="none"/>
        </w:rPr>
        <w:t>31</w:t>
      </w:r>
      <w:r>
        <w:rPr>
          <w:rStyle w:val="28"/>
          <w:rFonts w:cs="Times New Roman"/>
          <w:color w:val="auto"/>
          <w:sz w:val="32"/>
          <w:szCs w:val="32"/>
          <w:u w:val="none"/>
        </w:rPr>
        <w:fldChar w:fldCharType="end"/>
      </w:r>
      <w:r>
        <w:rPr>
          <w:rStyle w:val="28"/>
          <w:rFonts w:cs="Times New Roman"/>
          <w:color w:val="auto"/>
          <w:sz w:val="32"/>
          <w:szCs w:val="32"/>
          <w:u w:val="none"/>
        </w:rPr>
        <w:fldChar w:fldCharType="end"/>
      </w:r>
    </w:p>
    <w:p>
      <w:pPr>
        <w:pStyle w:val="24"/>
        <w:tabs>
          <w:tab w:val="right" w:leader="dot" w:pos="8296"/>
        </w:tabs>
        <w:spacing w:line="240" w:lineRule="auto"/>
        <w:ind w:leftChars="0" w:left="0" w:firstLineChars="200" w:firstLine="640"/>
        <w:rPr>
          <w:rFonts w:eastAsia="FZFangSong-Z02" w:cs="Times New Roman"/>
          <w:sz w:val="32"/>
          <w:szCs w:val="32"/>
        </w:rPr>
      </w:pPr>
      <w:r>
        <w:rPr>
          <w:rStyle w:val="28"/>
          <w:rFonts w:cs="FZKai-Z03" w:hint="eastAsia"/>
          <w:color w:val="auto"/>
          <w:sz w:val="32"/>
          <w:szCs w:val="32"/>
          <w:u w:val="none"/>
        </w:rPr>
        <w:t>附件</w:t>
      </w:r>
      <w:r>
        <w:fldChar w:fldCharType="begin"/>
      </w:r>
      <w:r>
        <w:instrText xml:space="preserve"> HYPERLINK \l "_Toc109310883" </w:instrText>
      </w:r>
      <w:r>
        <w:fldChar w:fldCharType="separate"/>
      </w:r>
      <w:r>
        <w:rPr>
          <w:rFonts w:cs="FZKai-Z03" w:hint="eastAsia"/>
          <w:color w:val="auto"/>
          <w:sz w:val="32"/>
          <w:szCs w:val="32"/>
          <w:u w:val="none"/>
        </w:rPr>
        <w:t>3.江津区“十四五”工业固体废物污染环境防治规划任务分工表</w:t>
        <w:tab/>
        <w:tab/>
      </w:r>
      <w:r>
        <w:rPr>
          <w:rStyle w:val="28"/>
          <w:rFonts w:cs="Times New Roman"/>
          <w:color w:val="auto"/>
          <w:sz w:val="32"/>
          <w:szCs w:val="32"/>
          <w:u w:val="none"/>
        </w:rPr>
        <w:fldChar w:fldCharType="begin"/>
      </w:r>
      <w:r>
        <w:rPr>
          <w:rStyle w:val="28"/>
          <w:rFonts w:cs="Times New Roman"/>
          <w:color w:val="auto"/>
          <w:sz w:val="32"/>
          <w:szCs w:val="32"/>
          <w:u w:val="none"/>
        </w:rPr>
        <w:instrText xml:space="preserve"> PAGEREF _Toc109310883 \h </w:instrText>
      </w:r>
      <w:r>
        <w:rPr>
          <w:rStyle w:val="28"/>
          <w:rFonts w:cs="Times New Roman"/>
          <w:color w:val="auto"/>
          <w:sz w:val="32"/>
          <w:szCs w:val="32"/>
          <w:u w:val="none"/>
        </w:rPr>
        <w:fldChar w:fldCharType="separate"/>
      </w:r>
      <w:r>
        <w:rPr>
          <w:rFonts w:cs="Times New Roman"/>
          <w:color w:val="auto"/>
          <w:sz w:val="32"/>
          <w:szCs w:val="32"/>
          <w:u w:val="none"/>
        </w:rPr>
        <w:t>33</w:t>
      </w:r>
      <w:r>
        <w:rPr>
          <w:rStyle w:val="28"/>
          <w:rFonts w:cs="Times New Roman"/>
          <w:color w:val="auto"/>
          <w:sz w:val="32"/>
          <w:szCs w:val="32"/>
          <w:u w:val="none"/>
        </w:rPr>
        <w:fldChar w:fldCharType="end"/>
      </w:r>
      <w:r>
        <w:rPr>
          <w:rStyle w:val="28"/>
          <w:rFonts w:cs="Times New Roman"/>
          <w:color w:val="auto"/>
          <w:sz w:val="32"/>
          <w:szCs w:val="32"/>
          <w:u w:val="none"/>
        </w:rPr>
        <w:fldChar w:fldCharType="end"/>
      </w:r>
    </w:p>
    <w:p>
      <w:pPr>
        <w:widowControl/>
        <w:spacing w:before="204" w:after="204" w:line="240" w:lineRule="auto"/>
        <w:ind w:firstLineChars="0" w:firstLine="0"/>
        <w:jc w:val="left"/>
        <w:sectPr>
          <w:headerReference w:type="default" r:id="rId8"/>
          <w:footerReference w:type="default" r:id="rId9"/>
          <w:footerReference w:type="even" r:id="rId10"/>
          <w:footerReference w:type="first" r:id="rId11"/>
          <w:pgSz w:w="11906" w:h="16838"/>
          <w:pgMar w:top="2098" w:right="1474" w:bottom="1985" w:left="1588" w:header="851" w:footer="992" w:gutter="0"/>
          <w:pgNumType w:fmt="upperRoman" w:start="1"/>
          <w:docGrid w:type="lines" w:linePitch="408" w:charSpace="0"/>
        </w:sectPr>
      </w:pPr>
      <w:r>
        <w:rPr>
          <w:rFonts w:eastAsia="FangSong"/>
          <w:sz w:val="32"/>
          <w:szCs w:val="32"/>
        </w:rPr>
        <w:fldChar w:fldCharType="end"/>
      </w:r>
    </w:p>
    <w:p>
      <w:pPr>
        <w:pStyle w:val="1"/>
        <w:rPr>
          <w:sz w:val="44"/>
        </w:rPr>
      </w:pPr>
      <w:bookmarkStart w:id="0" w:name="_Toc109310857"/>
      <w:r>
        <w:rPr>
          <w:rFonts w:hint="eastAsia"/>
          <w:sz w:val="44"/>
        </w:rPr>
        <w:t xml:space="preserve">前 </w:t>
      </w:r>
      <w:r>
        <w:rPr>
          <w:sz w:val="44"/>
        </w:rPr>
        <w:t xml:space="preserve"> </w:t>
      </w:r>
      <w:r>
        <w:rPr>
          <w:rFonts w:hint="eastAsia"/>
          <w:sz w:val="44"/>
        </w:rPr>
        <w:t>言</w:t>
      </w:r>
      <w:bookmarkEnd w:id="0"/>
    </w:p>
    <w:p>
      <w:pPr>
        <w:rPr>
          <w:sz w:val="32"/>
          <w:szCs w:val="32"/>
        </w:rPr>
      </w:pPr>
      <w:r>
        <w:rPr>
          <w:rFonts w:hint="eastAsia"/>
          <w:sz w:val="32"/>
          <w:szCs w:val="32"/>
        </w:rPr>
        <w:t>党的十八大以来，党中央、国务院将生态文明上升为国家战略，习近平总书记在党的十九大报告中提出，着力解决突出环境问题，要加强固体废弃物</w:t>
      </w:r>
      <w:r>
        <w:rPr>
          <w:rStyle w:val="30"/>
          <w:sz w:val="32"/>
          <w:szCs w:val="32"/>
        </w:rPr>
        <w:footnoteReference w:id="2"/>
      </w:r>
      <w:r>
        <w:rPr>
          <w:rFonts w:hint="eastAsia"/>
          <w:sz w:val="32"/>
          <w:szCs w:val="32"/>
        </w:rPr>
        <w:t>和垃圾处置。《中华人民共和国固体废物污染环境防治法》（2</w:t>
      </w:r>
      <w:r>
        <w:rPr>
          <w:sz w:val="32"/>
          <w:szCs w:val="32"/>
        </w:rPr>
        <w:t>020</w:t>
      </w:r>
      <w:r>
        <w:rPr>
          <w:rFonts w:hint="eastAsia"/>
          <w:sz w:val="32"/>
          <w:szCs w:val="32"/>
        </w:rPr>
        <w:t>年修订稿）提出了制定工业固体废物</w:t>
      </w:r>
      <w:r>
        <w:rPr>
          <w:rStyle w:val="30"/>
          <w:sz w:val="32"/>
          <w:szCs w:val="32"/>
        </w:rPr>
        <w:footnoteReference w:id="3"/>
      </w:r>
      <w:r>
        <w:rPr>
          <w:rFonts w:hint="eastAsia"/>
          <w:sz w:val="32"/>
          <w:szCs w:val="32"/>
        </w:rPr>
        <w:t>污染环境防治工作规划的要求，国家和重庆市的生态环境保护规划对固体废物污染防治工作提出了具体要求，同时也为推进江津区固体废物污染防治工作提供了新的契机。工业</w:t>
      </w:r>
      <w:r>
        <w:rPr>
          <w:rFonts w:hint="eastAsia"/>
          <w:snapToGrid w:val="0"/>
          <w:kern w:val="0"/>
          <w:sz w:val="32"/>
          <w:szCs w:val="32"/>
        </w:rPr>
        <w:t>是江津立区之本、强区之基，“十三五”时期，江津培育开放和创新新动能、加快工业转型升级发展，地区生产总值年均增长9%，迈上“1000亿”新台阶，</w:t>
      </w:r>
      <w:r>
        <w:rPr>
          <w:rFonts w:hint="eastAsia"/>
          <w:sz w:val="32"/>
          <w:szCs w:val="32"/>
        </w:rPr>
        <w:t>随着</w:t>
      </w:r>
      <w:r>
        <w:rPr>
          <w:rFonts w:cs="Times New Roman"/>
          <w:sz w:val="32"/>
          <w:szCs w:val="32"/>
        </w:rPr>
        <w:t>江津区</w:t>
      </w:r>
      <w:r>
        <w:rPr>
          <w:rFonts w:cs="Times New Roman" w:hint="eastAsia"/>
          <w:sz w:val="32"/>
          <w:szCs w:val="32"/>
        </w:rPr>
        <w:t>经济</w:t>
      </w:r>
      <w:r>
        <w:rPr>
          <w:rFonts w:cs="Times New Roman"/>
          <w:sz w:val="32"/>
          <w:szCs w:val="32"/>
        </w:rPr>
        <w:t>高质量转型，</w:t>
      </w:r>
      <w:r>
        <w:rPr>
          <w:rFonts w:hint="eastAsia"/>
          <w:sz w:val="32"/>
          <w:szCs w:val="32"/>
        </w:rPr>
        <w:t>现有固体废物处理处置能力及环境监管能力也面临着空前的压力和挑战。在此背景下，为适应“十四五”时期全面加强生态环境保护的新形势，解决工业固体废物污染防治工作中遇到的问题，江津区生态环境局组织开展了《重庆市江津区工业固体废物污染环境防治“十四五”规划》编制工作。</w:t>
      </w:r>
    </w:p>
    <w:p>
      <w:pPr>
        <w:rPr>
          <w:sz w:val="32"/>
          <w:szCs w:val="32"/>
        </w:rPr>
      </w:pPr>
      <w:r>
        <w:rPr>
          <w:rFonts w:hint="eastAsia"/>
          <w:sz w:val="32"/>
          <w:szCs w:val="32"/>
        </w:rPr>
        <w:t>本规划全面分析江津区工业固体废物污染防治工作的现状和存在问题，结合江津区的发展规划和产业特点，重点对一般工业固体废物和工业危险废物</w:t>
      </w:r>
      <w:r>
        <w:rPr>
          <w:rStyle w:val="30"/>
          <w:sz w:val="32"/>
          <w:szCs w:val="32"/>
        </w:rPr>
        <w:footnoteReference w:id="4"/>
      </w:r>
      <w:r>
        <w:rPr>
          <w:rFonts w:hint="eastAsia"/>
          <w:sz w:val="32"/>
          <w:szCs w:val="32"/>
        </w:rPr>
        <w:t>污染防治的源头分类、循环利用和无害化处置进行规划。本规划致力于提高江津区工业固体废物减量化和资源化水平，加强工业固体废物的环境监管能力、信息化应用能力和风险防控能力，合理引导“十四五”时期全区工业固体废物污染防治工作。</w:t>
      </w:r>
    </w:p>
    <w:p/>
    <w:p>
      <w:pPr>
        <w:widowControl/>
        <w:jc w:val="left"/>
      </w:pPr>
      <w:r>
        <w:br w:type="page"/>
      </w:r>
    </w:p>
    <w:p>
      <w:pPr>
        <w:rPr>
          <w:sz w:val="32"/>
          <w:szCs w:val="32"/>
        </w:rPr>
      </w:pPr>
      <w:r>
        <w:rPr>
          <w:rFonts w:hint="eastAsia"/>
          <w:sz w:val="32"/>
          <w:szCs w:val="32"/>
        </w:rPr>
        <w:t>工业固体废物污染防治是生态环境保护的重要内容，是生态文明建设和长江大保护的内在需求，可服务工业企业转型和经济高质量发展。为贯彻落实《中华人民共和国固体废物污染环境防治法》（以下简称《固废法》），深入打好污染防治攻坚战和共建成渝双城经济圈“无废城市</w:t>
      </w:r>
      <w:r>
        <w:rPr>
          <w:rStyle w:val="30"/>
          <w:sz w:val="32"/>
          <w:szCs w:val="32"/>
        </w:rPr>
        <w:footnoteReference w:id="5"/>
      </w:r>
      <w:r>
        <w:rPr>
          <w:rFonts w:hint="eastAsia"/>
          <w:sz w:val="32"/>
          <w:szCs w:val="32"/>
        </w:rPr>
        <w:t>”，现制定《重庆市江津区工业固体废物污染环境防治“十四五”规划》。</w:t>
      </w:r>
    </w:p>
    <w:p>
      <w:pPr>
        <w:pStyle w:val="1"/>
        <w:ind w:firstLineChars="200" w:firstLine="634"/>
        <w:jc w:val="both"/>
        <w:rPr>
          <w:rFonts w:ascii="FZHei-B01" w:eastAsia="FZHei-B01" w:hAnsi="FZHei-B01"/>
          <w:sz w:val="32"/>
          <w:szCs w:val="32"/>
        </w:rPr>
      </w:pPr>
      <w:bookmarkStart w:id="1" w:name="_Toc109310858"/>
      <w:r>
        <w:rPr>
          <w:rFonts w:ascii="FZHei-B01" w:eastAsia="FZHei-B01" w:hAnsi="FZHei-B01" w:hint="eastAsia"/>
          <w:sz w:val="32"/>
          <w:szCs w:val="32"/>
        </w:rPr>
        <w:t>一、工业固体废物污染防治形势</w:t>
      </w:r>
      <w:bookmarkEnd w:id="1"/>
    </w:p>
    <w:p>
      <w:pPr>
        <w:pStyle w:val="2"/>
        <w:ind w:firstLineChars="200" w:firstLine="634"/>
        <w:jc w:val="both"/>
        <w:rPr>
          <w:b w:val="0"/>
          <w:bCs w:val="0"/>
        </w:rPr>
      </w:pPr>
      <w:bookmarkStart w:id="2" w:name="_Toc109310859"/>
      <w:r>
        <w:rPr>
          <w:rFonts w:hint="eastAsia"/>
          <w:b w:val="0"/>
          <w:bCs w:val="0"/>
        </w:rPr>
        <w:t>（一）国民经济及工业发展</w:t>
      </w:r>
      <w:r>
        <w:rPr>
          <w:b w:val="0"/>
          <w:bCs w:val="0"/>
        </w:rPr>
        <w:t>概况</w:t>
      </w:r>
      <w:bookmarkEnd w:id="2"/>
    </w:p>
    <w:p>
      <w:pPr>
        <w:rPr>
          <w:sz w:val="32"/>
          <w:szCs w:val="32"/>
        </w:rPr>
      </w:pPr>
      <w:r>
        <w:rPr>
          <w:sz w:val="32"/>
          <w:szCs w:val="32"/>
        </w:rPr>
        <w:t>江津区，隶属重庆市，位于重庆市西南部，是长江上游航运枢纽和物资集散地。东邻巴南区、綦江区，南界贵州省习水县，西接永川区、四川省</w:t>
      </w:r>
      <w:r>
        <w:rPr>
          <w:rFonts w:hint="eastAsia"/>
          <w:sz w:val="32"/>
          <w:szCs w:val="32"/>
        </w:rPr>
        <w:t>泸州市</w:t>
      </w:r>
      <w:r>
        <w:rPr>
          <w:sz w:val="32"/>
          <w:szCs w:val="32"/>
        </w:rPr>
        <w:t>，北靠璧山区、九龙坡区、大渡口区</w:t>
      </w:r>
      <w:r>
        <w:rPr>
          <w:rFonts w:hint="eastAsia"/>
          <w:sz w:val="32"/>
          <w:szCs w:val="32"/>
        </w:rPr>
        <w:t>。</w:t>
      </w:r>
      <w:r>
        <w:rPr>
          <w:rFonts w:hint="eastAsia"/>
          <w:sz w:val="32"/>
          <w:szCs w:val="32"/>
          <w:shd w:val="clear" w:color="auto" w:fill="FFFFFF"/>
        </w:rPr>
        <w:t>区位优越、交通便捷、物流畅通，江津是重庆辐射川南黔北的重要门户，是“一区两群”重要支点，是串联“一带一路”与长江经济带的重要口岸，是渝昆泛亚铁路大通道、西部陆海新通道连接</w:t>
      </w:r>
      <w:r>
        <w:rPr>
          <w:sz w:val="32"/>
          <w:szCs w:val="32"/>
          <w:shd w:val="clear" w:color="auto" w:fill="FFFFFF"/>
        </w:rPr>
        <w:t>21</w:t>
      </w:r>
      <w:r>
        <w:rPr>
          <w:rFonts w:hint="eastAsia"/>
          <w:sz w:val="32"/>
          <w:szCs w:val="32"/>
          <w:shd w:val="clear" w:color="auto" w:fill="FFFFFF"/>
        </w:rPr>
        <w:t>世纪海上丝绸之路的重要节点。</w:t>
      </w:r>
    </w:p>
    <w:p>
      <w:pPr>
        <w:rPr>
          <w:sz w:val="32"/>
          <w:szCs w:val="32"/>
        </w:rPr>
      </w:pPr>
      <w:r>
        <w:rPr>
          <w:rFonts w:hint="eastAsia"/>
          <w:sz w:val="32"/>
          <w:szCs w:val="32"/>
        </w:rPr>
        <w:t>20</w:t>
      </w:r>
      <w:r>
        <w:rPr>
          <w:sz w:val="32"/>
          <w:szCs w:val="32"/>
        </w:rPr>
        <w:t>20</w:t>
      </w:r>
      <w:r>
        <w:rPr>
          <w:rFonts w:hint="eastAsia"/>
          <w:sz w:val="32"/>
          <w:szCs w:val="32"/>
        </w:rPr>
        <w:t>年，江津区实现地区生产总值（GDP）</w:t>
      </w:r>
      <w:r>
        <w:rPr>
          <w:sz w:val="32"/>
          <w:szCs w:val="32"/>
        </w:rPr>
        <w:t>1109.4</w:t>
      </w:r>
      <w:r>
        <w:rPr>
          <w:rFonts w:hint="eastAsia"/>
          <w:sz w:val="32"/>
          <w:szCs w:val="32"/>
        </w:rPr>
        <w:t>亿元，按可比价格计算，较上年增长</w:t>
      </w:r>
      <w:r>
        <w:rPr>
          <w:sz w:val="32"/>
          <w:szCs w:val="32"/>
        </w:rPr>
        <w:t>3.9</w:t>
      </w:r>
      <w:r>
        <w:rPr>
          <w:rFonts w:hint="eastAsia"/>
          <w:sz w:val="32"/>
          <w:szCs w:val="32"/>
        </w:rPr>
        <w:t>%，在全市</w:t>
      </w:r>
      <w:r>
        <w:rPr>
          <w:sz w:val="32"/>
          <w:szCs w:val="32"/>
        </w:rPr>
        <w:t>38</w:t>
      </w:r>
      <w:r>
        <w:rPr>
          <w:rFonts w:hint="eastAsia"/>
          <w:sz w:val="32"/>
          <w:szCs w:val="32"/>
        </w:rPr>
        <w:t>个区县中排名第六，其中第二产业实现增加值</w:t>
      </w:r>
      <w:r>
        <w:rPr>
          <w:sz w:val="32"/>
          <w:szCs w:val="32"/>
        </w:rPr>
        <w:t>622.9</w:t>
      </w:r>
      <w:r>
        <w:rPr>
          <w:rFonts w:hint="eastAsia"/>
          <w:sz w:val="32"/>
          <w:szCs w:val="32"/>
        </w:rPr>
        <w:t>亿元，增长</w:t>
      </w:r>
      <w:r>
        <w:rPr>
          <w:sz w:val="32"/>
          <w:szCs w:val="32"/>
        </w:rPr>
        <w:t>3.8</w:t>
      </w:r>
      <w:r>
        <w:rPr>
          <w:rFonts w:hint="eastAsia"/>
          <w:sz w:val="32"/>
          <w:szCs w:val="32"/>
        </w:rPr>
        <w:t>%（其中工业实现增加值4</w:t>
      </w:r>
      <w:r>
        <w:rPr>
          <w:sz w:val="32"/>
          <w:szCs w:val="32"/>
        </w:rPr>
        <w:t>81.2</w:t>
      </w:r>
      <w:r>
        <w:rPr>
          <w:rFonts w:hint="eastAsia"/>
          <w:sz w:val="32"/>
          <w:szCs w:val="32"/>
        </w:rPr>
        <w:t>亿元，增长</w:t>
      </w:r>
      <w:r>
        <w:rPr>
          <w:sz w:val="32"/>
          <w:szCs w:val="32"/>
        </w:rPr>
        <w:t>3.8</w:t>
      </w:r>
      <w:r>
        <w:rPr>
          <w:rFonts w:hint="eastAsia"/>
          <w:sz w:val="32"/>
          <w:szCs w:val="32"/>
        </w:rPr>
        <w:t>%）三次产业对经济增长的贡献率分别为1</w:t>
      </w:r>
      <w:r>
        <w:rPr>
          <w:sz w:val="32"/>
          <w:szCs w:val="32"/>
        </w:rPr>
        <w:t>0.6</w:t>
      </w:r>
      <w:r>
        <w:rPr>
          <w:rFonts w:hint="eastAsia"/>
          <w:sz w:val="32"/>
          <w:szCs w:val="32"/>
        </w:rPr>
        <w:t>%、</w:t>
      </w:r>
      <w:r>
        <w:rPr>
          <w:sz w:val="32"/>
          <w:szCs w:val="32"/>
        </w:rPr>
        <w:t>56.1</w:t>
      </w:r>
      <w:r>
        <w:rPr>
          <w:rFonts w:hint="eastAsia"/>
          <w:sz w:val="32"/>
          <w:szCs w:val="32"/>
        </w:rPr>
        <w:t>%和</w:t>
      </w:r>
      <w:r>
        <w:rPr>
          <w:sz w:val="32"/>
          <w:szCs w:val="32"/>
        </w:rPr>
        <w:t>33.3</w:t>
      </w:r>
      <w:r>
        <w:rPr>
          <w:rFonts w:hint="eastAsia"/>
          <w:sz w:val="32"/>
          <w:szCs w:val="32"/>
        </w:rPr>
        <w:t>%，其中工业对经济增长的贡献为4</w:t>
      </w:r>
      <w:r>
        <w:rPr>
          <w:sz w:val="32"/>
          <w:szCs w:val="32"/>
        </w:rPr>
        <w:t>6</w:t>
      </w:r>
      <w:r>
        <w:rPr>
          <w:rFonts w:hint="eastAsia"/>
          <w:sz w:val="32"/>
          <w:szCs w:val="32"/>
        </w:rPr>
        <w:t>.</w:t>
      </w:r>
      <w:r>
        <w:rPr>
          <w:sz w:val="32"/>
          <w:szCs w:val="32"/>
        </w:rPr>
        <w:t>2</w:t>
      </w:r>
      <w:r>
        <w:rPr>
          <w:rFonts w:hint="eastAsia"/>
          <w:sz w:val="32"/>
          <w:szCs w:val="32"/>
        </w:rPr>
        <w:t>%。</w:t>
      </w:r>
    </w:p>
    <w:p>
      <w:pPr>
        <w:rPr>
          <w:sz w:val="32"/>
          <w:szCs w:val="32"/>
        </w:rPr>
      </w:pPr>
      <w:r>
        <w:rPr>
          <w:rFonts w:hint="eastAsia"/>
          <w:sz w:val="32"/>
          <w:szCs w:val="32"/>
        </w:rPr>
        <w:t>江津境内辖有重庆江津工业园区，园区规划</w:t>
      </w:r>
      <w:r>
        <w:rPr>
          <w:sz w:val="32"/>
          <w:szCs w:val="32"/>
        </w:rPr>
        <w:t>38</w:t>
      </w:r>
      <w:r>
        <w:rPr>
          <w:rFonts w:hint="eastAsia"/>
          <w:sz w:val="32"/>
          <w:szCs w:val="32"/>
        </w:rPr>
        <w:t>平方公里，始建于200</w:t>
      </w:r>
      <w:r>
        <w:rPr>
          <w:sz w:val="32"/>
          <w:szCs w:val="32"/>
        </w:rPr>
        <w:t>2</w:t>
      </w:r>
      <w:r>
        <w:rPr>
          <w:rFonts w:hint="eastAsia"/>
          <w:sz w:val="32"/>
          <w:szCs w:val="32"/>
        </w:rPr>
        <w:t>年</w:t>
      </w:r>
      <w:r>
        <w:rPr>
          <w:rFonts w:hint="eastAsia"/>
          <w:sz w:val="32"/>
          <w:szCs w:val="32"/>
          <w:shd w:val="clear" w:color="auto" w:fill="FFFFFF"/>
        </w:rPr>
        <w:t>，</w:t>
      </w:r>
      <w:r>
        <w:rPr>
          <w:sz w:val="32"/>
          <w:szCs w:val="32"/>
        </w:rPr>
        <w:t>由双福工业园、珞璜工业园、德感工业园、白沙工业园组成，基本形成装备制造、汽摩及零部件、新型材料、电子信息、食品工业五大产业集群</w:t>
      </w:r>
      <w:r>
        <w:rPr>
          <w:rFonts w:hint="eastAsia"/>
          <w:sz w:val="32"/>
          <w:szCs w:val="32"/>
        </w:rPr>
        <w:t>，</w:t>
      </w:r>
      <w:r>
        <w:rPr>
          <w:rFonts w:hint="eastAsia"/>
          <w:color w:val="333333"/>
          <w:sz w:val="32"/>
          <w:szCs w:val="32"/>
          <w:shd w:val="clear" w:color="auto" w:fill="FFFFFF"/>
        </w:rPr>
        <w:t>是全市第3个千亿级园区，</w:t>
      </w:r>
      <w:r>
        <w:rPr>
          <w:rFonts w:hint="eastAsia"/>
          <w:sz w:val="32"/>
          <w:szCs w:val="32"/>
        </w:rPr>
        <w:t>规模以上企业（以下简称“规上企业”）</w:t>
      </w:r>
      <w:r>
        <w:rPr>
          <w:rFonts w:hint="eastAsia"/>
          <w:color w:val="333333"/>
          <w:sz w:val="32"/>
          <w:szCs w:val="32"/>
          <w:shd w:val="clear" w:color="auto" w:fill="FFFFFF"/>
        </w:rPr>
        <w:t>4</w:t>
      </w:r>
      <w:r>
        <w:rPr>
          <w:color w:val="333333"/>
          <w:sz w:val="32"/>
          <w:szCs w:val="32"/>
          <w:shd w:val="clear" w:color="auto" w:fill="FFFFFF"/>
        </w:rPr>
        <w:t>2</w:t>
      </w:r>
      <w:r>
        <w:rPr>
          <w:rFonts w:hint="eastAsia"/>
          <w:color w:val="333333"/>
          <w:sz w:val="32"/>
          <w:szCs w:val="32"/>
          <w:shd w:val="clear" w:color="auto" w:fill="FFFFFF"/>
        </w:rPr>
        <w:t>0余户，其中世界500强企业23户</w:t>
      </w:r>
      <w:r>
        <w:rPr>
          <w:sz w:val="32"/>
          <w:szCs w:val="32"/>
        </w:rPr>
        <w:t>。</w:t>
      </w:r>
      <w:r>
        <w:rPr>
          <w:rFonts w:hint="eastAsia"/>
          <w:sz w:val="32"/>
          <w:szCs w:val="32"/>
        </w:rPr>
        <w:t>江津区连续15年跻身重庆工业十强区县，园区产值常年排位区县特色园区之首，“一桶健康油、一包调味品、一张生态纸、一瓶文化酒、一篮富硒菜”的消费品工业高质量发展产业集聚示范区初现雏形。</w:t>
      </w:r>
    </w:p>
    <w:p>
      <w:pPr>
        <w:pStyle w:val="2"/>
        <w:ind w:firstLineChars="200" w:firstLine="634"/>
        <w:jc w:val="both"/>
        <w:rPr>
          <w:b w:val="0"/>
          <w:bCs w:val="0"/>
        </w:rPr>
      </w:pPr>
      <w:bookmarkStart w:id="3" w:name="_Toc109310860"/>
      <w:r>
        <w:rPr>
          <w:rFonts w:hint="eastAsia"/>
          <w:b w:val="0"/>
          <w:bCs w:val="0"/>
        </w:rPr>
        <w:t>（二）“十三五”时期工业固体废物污染防治工作成效</w:t>
      </w:r>
      <w:bookmarkEnd w:id="3"/>
    </w:p>
    <w:p>
      <w:pPr>
        <w:rPr>
          <w:sz w:val="32"/>
          <w:szCs w:val="32"/>
          <w:shd w:val="clear" w:color="auto" w:fill="FFFFFF"/>
        </w:rPr>
      </w:pPr>
      <w:r>
        <w:rPr>
          <w:rFonts w:hint="eastAsia"/>
          <w:sz w:val="32"/>
          <w:szCs w:val="32"/>
          <w:shd w:val="clear" w:color="auto" w:fill="FFFFFF"/>
        </w:rPr>
        <w:t>“十三五”期间，江津区</w:t>
      </w:r>
      <w:r>
        <w:rPr>
          <w:rFonts w:cs="Times New Roman" w:hint="eastAsia"/>
          <w:bCs/>
          <w:sz w:val="32"/>
          <w:szCs w:val="32"/>
        </w:rPr>
        <w:t>深学笃用习近平生态文明思想，全面贯彻习近平</w:t>
      </w:r>
      <w:r>
        <w:rPr>
          <w:rFonts w:hint="eastAsia"/>
          <w:sz w:val="32"/>
          <w:szCs w:val="32"/>
        </w:rPr>
        <w:t>总书记对重庆工作系列重要指示精神</w:t>
      </w:r>
      <w:r>
        <w:rPr>
          <w:rFonts w:cs="Times New Roman" w:hint="eastAsia"/>
          <w:bCs/>
          <w:sz w:val="32"/>
          <w:szCs w:val="32"/>
        </w:rPr>
        <w:t>，贯彻落实市委、市政府对江津调研的重要指示要求，持续</w:t>
      </w:r>
      <w:r>
        <w:rPr>
          <w:rFonts w:hint="eastAsia"/>
          <w:sz w:val="32"/>
          <w:szCs w:val="32"/>
        </w:rPr>
        <w:t>建设山清水秀美丽之地，筑牢长江上游生态屏障，</w:t>
      </w:r>
      <w:r>
        <w:rPr>
          <w:rFonts w:cs="Times New Roman" w:hint="eastAsia"/>
          <w:bCs/>
          <w:sz w:val="32"/>
          <w:szCs w:val="32"/>
        </w:rPr>
        <w:t>按照</w:t>
      </w:r>
      <w:r>
        <w:rPr>
          <w:rFonts w:hint="eastAsia"/>
          <w:sz w:val="32"/>
          <w:szCs w:val="32"/>
          <w:shd w:val="clear" w:color="auto" w:fill="FFFFFF"/>
        </w:rPr>
        <w:t>工业固体废物污染环境防治法律、法规和相关政策，基本建立健全工业固体废物监管机制，将工业固体废物污染防治作为环境保护工作的重要内容，取得了显著成效。</w:t>
      </w:r>
    </w:p>
    <w:p>
      <w:pPr>
        <w:pStyle w:val="3"/>
        <w:rPr>
          <w:rFonts w:ascii="FZFangSong-Z02" w:eastAsia="FZFangSong-Z02" w:hAnsi="FZFangSong-Z02"/>
          <w:sz w:val="32"/>
        </w:rPr>
      </w:pPr>
      <w:r>
        <w:rPr>
          <w:rFonts w:ascii="FZFangSong-Z02" w:eastAsia="FZFangSong-Z02" w:hAnsi="FZFangSong-Z02" w:hint="eastAsia"/>
          <w:sz w:val="32"/>
        </w:rPr>
        <w:t>1.工业固体废物实现资源化利用和安全处置</w:t>
      </w:r>
    </w:p>
    <w:p>
      <w:pPr>
        <w:rPr>
          <w:sz w:val="32"/>
          <w:szCs w:val="32"/>
        </w:rPr>
      </w:pPr>
      <w:r>
        <w:rPr>
          <w:rFonts w:ascii="FZKai-Z03" w:eastAsia="FZKai-Z03" w:hAnsi="FZKai-Z03" w:hint="eastAsia"/>
          <w:sz w:val="32"/>
          <w:szCs w:val="32"/>
          <w:shd w:val="clear" w:color="auto" w:fill="FFFFFF"/>
        </w:rPr>
        <w:t>一般工业固体废物产生量总体呈现增长趋势，基本实现资源化利用。</w:t>
      </w:r>
      <w:r>
        <w:rPr>
          <w:rFonts w:hint="eastAsia"/>
          <w:sz w:val="32"/>
          <w:szCs w:val="32"/>
          <w:shd w:val="clear" w:color="auto" w:fill="FFFFFF"/>
        </w:rPr>
        <w:t>“十三五”期间，我区一般工业固体废物产生量逐渐增加且资源化利用率相对较高。</w:t>
      </w:r>
      <w:r>
        <w:rPr>
          <w:rFonts w:hint="eastAsia"/>
          <w:sz w:val="32"/>
          <w:szCs w:val="32"/>
        </w:rPr>
        <w:t>2020年，我区一般工业固体废物涉及电力、热力生产和供应业、造纸和纸制品业、非金属矿物制品业、农副产品加工业等2</w:t>
      </w:r>
      <w:r>
        <w:rPr>
          <w:sz w:val="32"/>
          <w:szCs w:val="32"/>
        </w:rPr>
        <w:t>0</w:t>
      </w:r>
      <w:r>
        <w:rPr>
          <w:rFonts w:hint="eastAsia"/>
          <w:sz w:val="32"/>
          <w:szCs w:val="32"/>
        </w:rPr>
        <w:t>个行业，产生类别主要是粉煤灰、脱硫石膏、炉渣、其他废物、污泥和冶炼废渣等，其中产废量最大的是电力热力生产和供应业。从资源化利用和处置去向看，一般工业固体废物资源化利用率为</w:t>
      </w:r>
      <w:r>
        <w:rPr>
          <w:sz w:val="32"/>
          <w:szCs w:val="32"/>
        </w:rPr>
        <w:t>86.69</w:t>
      </w:r>
      <w:r>
        <w:rPr>
          <w:rFonts w:hint="eastAsia"/>
          <w:sz w:val="32"/>
          <w:szCs w:val="32"/>
        </w:rPr>
        <w:t>%，主要资源化利用的类别为粉煤灰、脱硫石膏和炉渣，资源化利用去向主要为再生资源加工；无害化处置主要类别为其他废物和污泥等。</w:t>
      </w:r>
    </w:p>
    <w:p>
      <w:pPr>
        <w:rPr>
          <w:rFonts w:ascii="FZKai-Z03" w:eastAsia="FZKai-Z03" w:hAnsi="FZKai-Z03"/>
          <w:sz w:val="32"/>
          <w:szCs w:val="32"/>
          <w:shd w:val="clear" w:color="auto" w:fill="FFFFFF"/>
        </w:rPr>
      </w:pPr>
      <w:r>
        <w:rPr>
          <w:rFonts w:ascii="FZKai-Z03" w:eastAsia="FZKai-Z03" w:hAnsi="FZKai-Z03" w:hint="eastAsia"/>
          <w:sz w:val="32"/>
          <w:szCs w:val="32"/>
          <w:shd w:val="clear" w:color="auto" w:fill="FFFFFF"/>
        </w:rPr>
        <w:t>危险废物稳定实现无害化处置。</w:t>
      </w:r>
      <w:r>
        <w:rPr>
          <w:rFonts w:hint="eastAsia"/>
          <w:sz w:val="32"/>
          <w:szCs w:val="32"/>
          <w:shd w:val="clear" w:color="auto" w:fill="FFFFFF"/>
        </w:rPr>
        <w:t>2</w:t>
      </w:r>
      <w:r>
        <w:rPr>
          <w:sz w:val="32"/>
          <w:szCs w:val="32"/>
          <w:shd w:val="clear" w:color="auto" w:fill="FFFFFF"/>
        </w:rPr>
        <w:t>017</w:t>
      </w:r>
      <w:r>
        <w:rPr>
          <w:rFonts w:hint="eastAsia"/>
          <w:sz w:val="32"/>
          <w:szCs w:val="32"/>
          <w:shd w:val="clear" w:color="auto" w:fill="FFFFFF"/>
        </w:rPr>
        <w:t>—2</w:t>
      </w:r>
      <w:r>
        <w:rPr>
          <w:sz w:val="32"/>
          <w:szCs w:val="32"/>
          <w:shd w:val="clear" w:color="auto" w:fill="FFFFFF"/>
        </w:rPr>
        <w:t>020</w:t>
      </w:r>
      <w:r>
        <w:rPr>
          <w:rFonts w:hint="eastAsia"/>
          <w:sz w:val="32"/>
          <w:szCs w:val="32"/>
          <w:shd w:val="clear" w:color="auto" w:fill="FFFFFF"/>
        </w:rPr>
        <w:t>年，江津区危险废物产生量持续上升，但年增长速度不断减缓。产生的危险废物主要交由本区和长寿、渝北等区危险废物经营单位。</w:t>
      </w:r>
      <w:r>
        <w:rPr>
          <w:sz w:val="32"/>
          <w:szCs w:val="32"/>
        </w:rPr>
        <w:t>2020</w:t>
      </w:r>
      <w:r>
        <w:rPr>
          <w:rFonts w:hint="eastAsia"/>
          <w:sz w:val="32"/>
          <w:szCs w:val="32"/>
        </w:rPr>
        <w:t>年，</w:t>
      </w:r>
      <w:r>
        <w:rPr>
          <w:sz w:val="32"/>
          <w:szCs w:val="32"/>
        </w:rPr>
        <w:t>江津区危险废物主要来自</w:t>
      </w:r>
      <w:r>
        <w:rPr>
          <w:rFonts w:hint="eastAsia"/>
          <w:sz w:val="32"/>
          <w:szCs w:val="32"/>
        </w:rPr>
        <w:t>垃圾焚烧发电、危险废物治理、铅蓄电池制造、装备制造等</w:t>
      </w:r>
      <w:r>
        <w:rPr>
          <w:sz w:val="32"/>
          <w:szCs w:val="32"/>
        </w:rPr>
        <w:t>行业</w:t>
      </w:r>
      <w:r>
        <w:rPr>
          <w:rFonts w:hint="eastAsia"/>
          <w:sz w:val="32"/>
          <w:szCs w:val="32"/>
        </w:rPr>
        <w:t>，</w:t>
      </w:r>
      <w:r>
        <w:rPr>
          <w:sz w:val="32"/>
          <w:szCs w:val="32"/>
        </w:rPr>
        <w:t>产生量较大的危险废物主要包括</w:t>
      </w:r>
      <w:r>
        <w:rPr>
          <w:rFonts w:hint="eastAsia"/>
          <w:sz w:val="32"/>
          <w:szCs w:val="32"/>
        </w:rPr>
        <w:t>H</w:t>
      </w:r>
      <w:r>
        <w:rPr>
          <w:sz w:val="32"/>
          <w:szCs w:val="32"/>
        </w:rPr>
        <w:t>W49</w:t>
      </w:r>
      <w:r>
        <w:rPr>
          <w:rFonts w:hint="eastAsia"/>
          <w:sz w:val="32"/>
          <w:szCs w:val="32"/>
        </w:rPr>
        <w:t>（其他废物）、H</w:t>
      </w:r>
      <w:r>
        <w:rPr>
          <w:sz w:val="32"/>
          <w:szCs w:val="32"/>
        </w:rPr>
        <w:t>W18</w:t>
      </w:r>
      <w:r>
        <w:rPr>
          <w:rFonts w:hint="eastAsia"/>
          <w:sz w:val="32"/>
          <w:szCs w:val="32"/>
        </w:rPr>
        <w:t>（焚烧处置残渣）、H</w:t>
      </w:r>
      <w:r>
        <w:rPr>
          <w:sz w:val="32"/>
          <w:szCs w:val="32"/>
        </w:rPr>
        <w:t>W22</w:t>
      </w:r>
      <w:r>
        <w:rPr>
          <w:rFonts w:hint="eastAsia"/>
          <w:sz w:val="32"/>
          <w:szCs w:val="32"/>
        </w:rPr>
        <w:t>（含铜废物）</w:t>
      </w:r>
      <w:r>
        <w:rPr>
          <w:sz w:val="32"/>
          <w:szCs w:val="32"/>
        </w:rPr>
        <w:t>等</w:t>
      </w:r>
      <w:r>
        <w:rPr>
          <w:rFonts w:hint="eastAsia"/>
          <w:sz w:val="32"/>
          <w:szCs w:val="32"/>
        </w:rPr>
        <w:t>，其中，区内处置的主要类别为其他废物、有机树脂废物和表面处理废物；区外处置主要流向贵州、湖北省和重庆长寿区、璧山区、永川区等地危险废物经营单位，处置的主要类别为其他废物、焚烧处置残渣和含铜废物，其他废物转出原因为区内无相关类别的危险废物经营单位，焚烧处置残渣（飞灰）转出原因为区内无飞灰填埋场，含铜废物转出原因为区内无处置单位。</w:t>
      </w:r>
    </w:p>
    <w:p>
      <w:pPr>
        <w:rPr>
          <w:sz w:val="32"/>
          <w:szCs w:val="32"/>
        </w:rPr>
      </w:pPr>
      <w:r>
        <w:rPr>
          <w:rFonts w:hint="eastAsia"/>
          <w:sz w:val="32"/>
          <w:szCs w:val="32"/>
        </w:rPr>
        <w:t>2</w:t>
      </w:r>
      <w:r>
        <w:rPr>
          <w:sz w:val="32"/>
          <w:szCs w:val="32"/>
        </w:rPr>
        <w:t>020</w:t>
      </w:r>
      <w:r>
        <w:rPr>
          <w:rFonts w:hint="eastAsia"/>
          <w:sz w:val="32"/>
          <w:szCs w:val="32"/>
        </w:rPr>
        <w:t>年，全区持有危险废物经营许可证的危险废物经营单位共</w:t>
      </w:r>
      <w:r>
        <w:rPr>
          <w:sz w:val="32"/>
          <w:szCs w:val="32"/>
        </w:rPr>
        <w:t>10</w:t>
      </w:r>
      <w:r>
        <w:rPr>
          <w:rFonts w:hint="eastAsia"/>
          <w:sz w:val="32"/>
          <w:szCs w:val="32"/>
        </w:rPr>
        <w:t>家，危险废物综合利用单位1家，主要利用表面处理废物；危险废物无害化处置单位</w:t>
      </w:r>
      <w:r>
        <w:rPr>
          <w:sz w:val="32"/>
          <w:szCs w:val="32"/>
        </w:rPr>
        <w:t>4</w:t>
      </w:r>
      <w:r>
        <w:rPr>
          <w:rFonts w:hint="eastAsia"/>
          <w:sz w:val="32"/>
          <w:szCs w:val="32"/>
        </w:rPr>
        <w:t>家（其中医疗废物处置单位1家），主要处置途径为水泥窑协同处置；危险废物收集暂存单位</w:t>
      </w:r>
      <w:r>
        <w:rPr>
          <w:sz w:val="32"/>
          <w:szCs w:val="32"/>
        </w:rPr>
        <w:t>5</w:t>
      </w:r>
      <w:r>
        <w:rPr>
          <w:rFonts w:hint="eastAsia"/>
          <w:sz w:val="32"/>
          <w:szCs w:val="32"/>
        </w:rPr>
        <w:t>家，其中废铅蓄电池收集暂存单位3家，综合收集暂存试点单位1家，汽修行业废矿物油收集暂存试点单位1家。</w:t>
      </w:r>
    </w:p>
    <w:p>
      <w:pPr>
        <w:pStyle w:val="3"/>
        <w:rPr>
          <w:rFonts w:ascii="FZFangSong-Z02" w:eastAsia="FZFangSong-Z02" w:hAnsi="FZFangSong-Z02"/>
          <w:sz w:val="32"/>
        </w:rPr>
      </w:pPr>
      <w:r>
        <w:rPr>
          <w:rFonts w:ascii="FZFangSong-Z02" w:eastAsia="FZFangSong-Z02" w:hAnsi="FZFangSong-Z02" w:hint="eastAsia"/>
          <w:sz w:val="32"/>
        </w:rPr>
        <w:t>2</w:t>
      </w:r>
      <w:r>
        <w:rPr>
          <w:rFonts w:ascii="FZFangSong-Z02" w:eastAsia="FZFangSong-Z02" w:hAnsi="FZFangSong-Z02"/>
          <w:sz w:val="32"/>
        </w:rPr>
        <w:t>.</w:t>
      </w:r>
      <w:r>
        <w:rPr>
          <w:rFonts w:ascii="FZFangSong-Z02" w:eastAsia="FZFangSong-Z02" w:hAnsi="FZFangSong-Z02" w:hint="eastAsia"/>
          <w:sz w:val="32"/>
        </w:rPr>
        <w:t>工业固体废物管理工作初见成效</w:t>
      </w:r>
    </w:p>
    <w:p>
      <w:pPr>
        <w:rPr>
          <w:rFonts w:cs="Times New Roman"/>
          <w:sz w:val="32"/>
          <w:szCs w:val="32"/>
        </w:rPr>
      </w:pPr>
      <w:r>
        <w:rPr>
          <w:rFonts w:ascii="FZKai-Z03" w:eastAsia="FZKai-Z03" w:hAnsi="FZKai-Z03" w:hint="eastAsia"/>
          <w:sz w:val="32"/>
          <w:szCs w:val="32"/>
          <w:shd w:val="clear" w:color="auto" w:fill="FFFFFF"/>
        </w:rPr>
        <w:t>工业固体废物环境管理工作机制基本建立</w:t>
      </w:r>
      <w:r>
        <w:rPr>
          <w:rFonts w:hint="eastAsia"/>
          <w:sz w:val="32"/>
          <w:szCs w:val="32"/>
          <w:shd w:val="clear" w:color="auto" w:fill="FFFFFF"/>
        </w:rPr>
        <w:t>。我区认真履行</w:t>
      </w:r>
      <w:r>
        <w:rPr>
          <w:rFonts w:hint="eastAsia"/>
          <w:sz w:val="32"/>
          <w:szCs w:val="32"/>
        </w:rPr>
        <w:t>工业固体废物监督管理职责，</w:t>
      </w:r>
      <w:r>
        <w:rPr>
          <w:rFonts w:hint="eastAsia"/>
          <w:sz w:val="32"/>
          <w:szCs w:val="32"/>
          <w:shd w:val="clear" w:color="auto" w:fill="FFFFFF"/>
        </w:rPr>
        <w:t>强化部门工作协同联动，</w:t>
      </w:r>
      <w:r>
        <w:rPr>
          <w:rFonts w:hint="eastAsia"/>
          <w:sz w:val="32"/>
          <w:szCs w:val="32"/>
        </w:rPr>
        <w:t>共同推进固体废物污染防治工作。成立了区“无废城市”建设试点领导小组及办公室，统筹推进“无废城市”创建和工业固体废物减量化、资源化工作；建立了区生态环境局、公安分局、检察院、法院的环境执法联动协作机制，加强环境行政执法与刑事司法衔接，抓好案件移送；建立了区生态环境局、交通局、卫健委的非工业源危险废物检查机制，定期组织机动车维修企业、医疗机构的专项检查；</w:t>
      </w:r>
      <w:r>
        <w:rPr>
          <w:rFonts w:cs="Times New Roman"/>
          <w:sz w:val="32"/>
          <w:szCs w:val="32"/>
        </w:rPr>
        <w:t>制定</w:t>
      </w:r>
      <w:r>
        <w:rPr>
          <w:rFonts w:cs="Times New Roman" w:hint="eastAsia"/>
          <w:sz w:val="32"/>
          <w:szCs w:val="32"/>
        </w:rPr>
        <w:t>了</w:t>
      </w:r>
      <w:r>
        <w:rPr>
          <w:rFonts w:cs="Times New Roman"/>
          <w:sz w:val="32"/>
          <w:szCs w:val="32"/>
        </w:rPr>
        <w:t>《江津区生态环境损害赔偿制度实施方案》，成立生态环境损害赔偿制度改革领导小组，每年</w:t>
      </w:r>
      <w:r>
        <w:rPr>
          <w:rFonts w:cs="Times New Roman" w:hint="eastAsia"/>
          <w:sz w:val="32"/>
          <w:szCs w:val="32"/>
        </w:rPr>
        <w:t>完成</w:t>
      </w:r>
      <w:r>
        <w:rPr>
          <w:rFonts w:cs="Times New Roman"/>
          <w:sz w:val="32"/>
          <w:szCs w:val="32"/>
        </w:rPr>
        <w:t>2件</w:t>
      </w:r>
      <w:r>
        <w:rPr>
          <w:rFonts w:cs="Times New Roman" w:hint="eastAsia"/>
          <w:sz w:val="32"/>
          <w:szCs w:val="32"/>
        </w:rPr>
        <w:t>以上的</w:t>
      </w:r>
      <w:r>
        <w:rPr>
          <w:rFonts w:cs="Times New Roman"/>
          <w:sz w:val="32"/>
          <w:szCs w:val="32"/>
        </w:rPr>
        <w:t>赔偿案件。</w:t>
      </w:r>
    </w:p>
    <w:p>
      <w:pPr>
        <w:rPr>
          <w:sz w:val="32"/>
          <w:szCs w:val="32"/>
        </w:rPr>
      </w:pPr>
      <w:r>
        <w:rPr>
          <w:rFonts w:ascii="FZKai-Z03" w:eastAsia="FZKai-Z03" w:hAnsi="FZKai-Z03" w:hint="eastAsia"/>
          <w:sz w:val="32"/>
          <w:szCs w:val="32"/>
          <w:shd w:val="clear" w:color="auto" w:fill="FFFFFF"/>
        </w:rPr>
        <w:t>工业固体废物监管信息化水平不断提高。</w:t>
      </w:r>
      <w:r>
        <w:rPr>
          <w:rFonts w:hint="eastAsia"/>
          <w:sz w:val="32"/>
          <w:szCs w:val="32"/>
          <w:shd w:val="clear" w:color="auto" w:fill="FFFFFF"/>
        </w:rPr>
        <w:t>我区</w:t>
      </w:r>
      <w:r>
        <w:rPr>
          <w:rFonts w:hint="eastAsia"/>
          <w:sz w:val="32"/>
          <w:szCs w:val="32"/>
        </w:rPr>
        <w:t>将重点工业企业工业固体废物产生情况纳入重庆固废管理信息系统申报登记，</w:t>
      </w:r>
      <w:r>
        <w:rPr>
          <w:sz w:val="32"/>
          <w:szCs w:val="32"/>
          <w:shd w:val="clear" w:color="auto" w:fill="FFFFFF"/>
        </w:rPr>
        <w:t>全面</w:t>
      </w:r>
      <w:r>
        <w:rPr>
          <w:rFonts w:hint="eastAsia"/>
          <w:sz w:val="32"/>
          <w:szCs w:val="32"/>
          <w:shd w:val="clear" w:color="auto" w:fill="FFFFFF"/>
        </w:rPr>
        <w:t>组织辖区内工业固体废物产生单位和利用处置单位应用固体废物信息管理系统，稳步推进区内相关单位信息化建设。至2020年，我区8</w:t>
      </w:r>
      <w:r>
        <w:rPr>
          <w:sz w:val="32"/>
          <w:szCs w:val="32"/>
          <w:shd w:val="clear" w:color="auto" w:fill="FFFFFF"/>
        </w:rPr>
        <w:t>00</w:t>
      </w:r>
      <w:r>
        <w:rPr>
          <w:rFonts w:hint="eastAsia"/>
          <w:sz w:val="32"/>
          <w:szCs w:val="32"/>
          <w:shd w:val="clear" w:color="auto" w:fill="FFFFFF"/>
        </w:rPr>
        <w:t>多家工业固体废物产生单位和利用处置单位完成系统注册并使用，</w:t>
      </w:r>
      <w:r>
        <w:rPr>
          <w:rFonts w:hint="eastAsia"/>
          <w:sz w:val="32"/>
          <w:szCs w:val="32"/>
        </w:rPr>
        <w:t>基本覆盖了区内工业固体废物重点单位</w:t>
      </w:r>
      <w:r>
        <w:rPr>
          <w:sz w:val="32"/>
          <w:szCs w:val="32"/>
          <w:shd w:val="clear" w:color="auto" w:fill="FFFFFF"/>
        </w:rPr>
        <w:t>。</w:t>
      </w:r>
      <w:r>
        <w:rPr>
          <w:rFonts w:hint="eastAsia"/>
          <w:sz w:val="32"/>
          <w:szCs w:val="32"/>
        </w:rPr>
        <w:t>结合国家排污许可证发放工作，在重庆市固体废物管理信息系统对发放国家排污许可证的企业同步完成危险废物年报工作和企业管理计划上报，国发排污许可证企业的危险废物年报率100%。</w:t>
      </w:r>
    </w:p>
    <w:p>
      <w:pPr>
        <w:rPr>
          <w:sz w:val="32"/>
          <w:szCs w:val="32"/>
          <w:shd w:val="clear" w:color="auto" w:fill="FFFFFF"/>
        </w:rPr>
      </w:pPr>
      <w:r>
        <w:rPr>
          <w:rFonts w:ascii="FZKai-Z03" w:eastAsia="FZKai-Z03" w:cs="FZFangSong-Z02" w:hAnsi="FZKai-Z03" w:hint="eastAsia"/>
          <w:sz w:val="32"/>
          <w:szCs w:val="32"/>
        </w:rPr>
        <w:t>危险废物规范化考核稳定达标。</w:t>
      </w:r>
      <w:r>
        <w:rPr>
          <w:rFonts w:hint="eastAsia"/>
          <w:sz w:val="32"/>
          <w:szCs w:val="32"/>
          <w:shd w:val="clear" w:color="auto" w:fill="FFFFFF"/>
        </w:rPr>
        <w:t>“十三五”期间，我区贯彻落实国家《“十三五”全国危险废物规范化管理督</w:t>
      </w:r>
      <w:r>
        <w:rPr>
          <w:rFonts w:hint="eastAsia"/>
          <w:sz w:val="32"/>
          <w:szCs w:val="32"/>
          <w:shd w:val="clear" w:color="auto" w:fill="FFFFFF"/>
          <w:lang w:eastAsia="zh-CN"/>
        </w:rPr>
        <w:t>察</w:t>
      </w:r>
      <w:r>
        <w:rPr>
          <w:rFonts w:hint="eastAsia"/>
          <w:sz w:val="32"/>
          <w:szCs w:val="32"/>
          <w:shd w:val="clear" w:color="auto" w:fill="FFFFFF"/>
        </w:rPr>
        <w:t>考核工作方案》和《危险废物规范化管理指标体系》要求，危险废物规范化管理年度市级督</w:t>
      </w:r>
      <w:r>
        <w:rPr>
          <w:rFonts w:hint="eastAsia"/>
          <w:sz w:val="32"/>
          <w:szCs w:val="32"/>
          <w:shd w:val="clear" w:color="auto" w:fill="FFFFFF"/>
          <w:lang w:eastAsia="zh-CN"/>
        </w:rPr>
        <w:t>察</w:t>
      </w:r>
      <w:r>
        <w:rPr>
          <w:rFonts w:hint="eastAsia"/>
          <w:sz w:val="32"/>
          <w:szCs w:val="32"/>
          <w:shd w:val="clear" w:color="auto" w:fill="FFFFFF"/>
        </w:rPr>
        <w:t>考核评级达到A级。印发了危险废物重点源监督管理名单并将危险废物规范化管理纳入日常工作，结合执法支队的双随机抽查，督促危险废物产生单位和经营单位落实国家法律法规和相关管理要求。至2</w:t>
      </w:r>
      <w:r>
        <w:rPr>
          <w:sz w:val="32"/>
          <w:szCs w:val="32"/>
          <w:shd w:val="clear" w:color="auto" w:fill="FFFFFF"/>
        </w:rPr>
        <w:t>020</w:t>
      </w:r>
      <w:r>
        <w:rPr>
          <w:rFonts w:hint="eastAsia"/>
          <w:sz w:val="32"/>
          <w:szCs w:val="32"/>
          <w:shd w:val="clear" w:color="auto" w:fill="FFFFFF"/>
        </w:rPr>
        <w:t>年，我区危险废物产生单位危险废物规范化抽查合格率为</w:t>
      </w:r>
      <w:r>
        <w:rPr>
          <w:sz w:val="32"/>
          <w:szCs w:val="32"/>
          <w:shd w:val="clear" w:color="auto" w:fill="FFFFFF"/>
        </w:rPr>
        <w:t>95%</w:t>
      </w:r>
      <w:r>
        <w:rPr>
          <w:rFonts w:hint="eastAsia"/>
          <w:sz w:val="32"/>
          <w:szCs w:val="32"/>
          <w:shd w:val="clear" w:color="auto" w:fill="FFFFFF"/>
        </w:rPr>
        <w:t>、经营单位危险废物规范化抽查合格率为</w:t>
      </w:r>
      <w:r>
        <w:rPr>
          <w:sz w:val="32"/>
          <w:szCs w:val="32"/>
          <w:shd w:val="clear" w:color="auto" w:fill="FFFFFF"/>
        </w:rPr>
        <w:t>100%</w:t>
      </w:r>
      <w:r>
        <w:rPr>
          <w:rFonts w:hint="eastAsia"/>
          <w:sz w:val="32"/>
          <w:szCs w:val="32"/>
          <w:shd w:val="clear" w:color="auto" w:fill="FFFFFF"/>
        </w:rPr>
        <w:t>，完成市级考核指标。</w:t>
      </w:r>
    </w:p>
    <w:p>
      <w:pPr>
        <w:rPr>
          <w:rFonts w:cs="Times New Roman"/>
          <w:kern w:val="0"/>
          <w:sz w:val="32"/>
          <w:szCs w:val="32"/>
        </w:rPr>
      </w:pPr>
      <w:r>
        <w:rPr>
          <w:rFonts w:ascii="FZKai-Z03" w:eastAsia="FZKai-Z03" w:cs="FZFangSong-Z02" w:hAnsi="FZKai-Z03" w:hint="eastAsia"/>
          <w:sz w:val="32"/>
          <w:szCs w:val="32"/>
        </w:rPr>
        <w:t>危险废物精细化管理工作推进有序。</w:t>
      </w:r>
      <w:r>
        <w:rPr>
          <w:rFonts w:cs="FZFangSong-Z02" w:hint="eastAsia"/>
          <w:sz w:val="32"/>
          <w:szCs w:val="32"/>
        </w:rPr>
        <w:t>自2</w:t>
      </w:r>
      <w:r>
        <w:rPr>
          <w:rFonts w:cs="FZFangSong-Z02"/>
          <w:sz w:val="32"/>
          <w:szCs w:val="32"/>
        </w:rPr>
        <w:t>018</w:t>
      </w:r>
      <w:r>
        <w:rPr>
          <w:rFonts w:cs="FZFangSong-Z02" w:hint="eastAsia"/>
          <w:sz w:val="32"/>
          <w:szCs w:val="32"/>
        </w:rPr>
        <w:t>年起，我区</w:t>
      </w:r>
      <w:r>
        <w:rPr>
          <w:rFonts w:hint="eastAsia"/>
          <w:sz w:val="32"/>
          <w:szCs w:val="32"/>
        </w:rPr>
        <w:t>按</w:t>
      </w:r>
      <w:r>
        <w:rPr>
          <w:rFonts w:ascii="FZFangSong-Z02" w:cs="FZFangSong-Z02" w:hAnsi="FZFangSong-Z02" w:hint="eastAsia"/>
          <w:sz w:val="32"/>
          <w:szCs w:val="32"/>
        </w:rPr>
        <w:t>要求</w:t>
      </w:r>
      <w:r>
        <w:rPr>
          <w:rFonts w:hint="eastAsia"/>
          <w:sz w:val="32"/>
          <w:szCs w:val="32"/>
        </w:rPr>
        <w:t>推行危险废物精细化管理，将年产危险废物5</w:t>
      </w:r>
      <w:r>
        <w:rPr>
          <w:sz w:val="32"/>
          <w:szCs w:val="32"/>
        </w:rPr>
        <w:t>0</w:t>
      </w:r>
      <w:r>
        <w:rPr>
          <w:rFonts w:hint="eastAsia"/>
          <w:sz w:val="32"/>
          <w:szCs w:val="32"/>
        </w:rPr>
        <w:t>吨以上的工业企业、危险废物经营单位、</w:t>
      </w:r>
      <w:r>
        <w:rPr>
          <w:rFonts w:ascii="FZFangSong-Z02" w:hAnsi="FZFangSong-Z02" w:hint="eastAsia"/>
          <w:sz w:val="32"/>
          <w:szCs w:val="32"/>
        </w:rPr>
        <w:t>一二类汽车维修企业及二级以上医疗机构纳入危险废物精细化管理范畴</w:t>
      </w:r>
      <w:r>
        <w:rPr>
          <w:rFonts w:hint="eastAsia"/>
          <w:sz w:val="32"/>
          <w:szCs w:val="32"/>
        </w:rPr>
        <w:t>。2</w:t>
      </w:r>
      <w:r>
        <w:rPr>
          <w:sz w:val="32"/>
          <w:szCs w:val="32"/>
        </w:rPr>
        <w:t>020</w:t>
      </w:r>
      <w:r>
        <w:rPr>
          <w:rFonts w:hint="eastAsia"/>
          <w:sz w:val="32"/>
          <w:szCs w:val="32"/>
        </w:rPr>
        <w:t>年，将32家年产危险废物50吨以上、5家危险废物经营单位和4家二甲以上医疗机构全部纳入了“一物一码”精细化管理，目前启动率已达100%，使用率已达96%以上。</w:t>
      </w:r>
    </w:p>
    <w:p>
      <w:pPr>
        <w:pStyle w:val="3"/>
        <w:rPr>
          <w:rFonts w:ascii="FZFangSong-Z02" w:eastAsia="FZFangSong-Z02" w:hAnsi="FZFangSong-Z02"/>
          <w:sz w:val="32"/>
        </w:rPr>
      </w:pPr>
      <w:r>
        <w:rPr>
          <w:rFonts w:ascii="FZFangSong-Z02" w:eastAsia="FZFangSong-Z02" w:hAnsi="FZFangSong-Z02" w:hint="eastAsia"/>
          <w:sz w:val="32"/>
        </w:rPr>
        <w:t>3</w:t>
      </w:r>
      <w:r>
        <w:rPr>
          <w:rFonts w:ascii="FZFangSong-Z02" w:eastAsia="FZFangSong-Z02" w:hAnsi="FZFangSong-Z02"/>
          <w:sz w:val="32"/>
        </w:rPr>
        <w:t>.</w:t>
      </w:r>
      <w:r>
        <w:rPr>
          <w:rFonts w:ascii="FZFangSong-Z02" w:eastAsia="FZFangSong-Z02" w:hAnsi="FZFangSong-Z02" w:hint="eastAsia"/>
          <w:sz w:val="32"/>
        </w:rPr>
        <w:t>工业固体废物环境风险得到有效控制</w:t>
      </w:r>
    </w:p>
    <w:p>
      <w:pPr>
        <w:rPr>
          <w:sz w:val="32"/>
          <w:szCs w:val="32"/>
        </w:rPr>
      </w:pPr>
      <w:r>
        <w:rPr>
          <w:rFonts w:ascii="FZKai-Z03" w:eastAsia="FZKai-Z03" w:cs="FZKai-Z03" w:hAnsi="FZKai-Z03" w:hint="eastAsia"/>
          <w:sz w:val="32"/>
          <w:szCs w:val="32"/>
        </w:rPr>
        <w:t>宣传贯彻《固废法》，企业主体责任意识得到加强。</w:t>
      </w:r>
      <w:r>
        <w:rPr>
          <w:rFonts w:hint="eastAsia"/>
          <w:sz w:val="32"/>
          <w:szCs w:val="32"/>
          <w:shd w:val="clear" w:color="auto" w:fill="FFFFFF"/>
        </w:rPr>
        <w:t>我区持续加大</w:t>
      </w:r>
      <w:r>
        <w:rPr>
          <w:rFonts w:hint="eastAsia"/>
          <w:sz w:val="32"/>
          <w:szCs w:val="32"/>
        </w:rPr>
        <w:t>《固废法》</w:t>
      </w:r>
      <w:r>
        <w:rPr>
          <w:rFonts w:hint="eastAsia"/>
          <w:sz w:val="32"/>
          <w:szCs w:val="32"/>
          <w:shd w:val="clear" w:color="auto" w:fill="FFFFFF"/>
        </w:rPr>
        <w:t>宣传、培训和考核力度，采取多样宣传方式，通过微信公众号、新闻媒体等进行全面宣传，组织各重点镇街及企业环保人员召开专题培训会，提升相关人员的环境管理能力和法</w:t>
      </w:r>
      <w:r>
        <w:rPr>
          <w:sz w:val="32"/>
          <w:szCs w:val="32"/>
          <w:shd w:val="clear" w:color="auto" w:fill="FFFFFF"/>
        </w:rPr>
        <w:t>治</w:t>
      </w:r>
      <w:bookmarkStart w:id="4" w:name="_GoBack"/>
      <w:bookmarkEnd w:id="4"/>
      <w:r>
        <w:rPr>
          <w:rFonts w:hint="eastAsia"/>
          <w:sz w:val="32"/>
          <w:szCs w:val="32"/>
          <w:shd w:val="clear" w:color="auto" w:fill="FFFFFF"/>
        </w:rPr>
        <w:t>意识，促进</w:t>
      </w:r>
      <w:r>
        <w:rPr>
          <w:sz w:val="32"/>
          <w:szCs w:val="32"/>
          <w:shd w:val="clear" w:color="auto" w:fill="FFFFFF"/>
        </w:rPr>
        <w:t>企业</w:t>
      </w:r>
      <w:r>
        <w:rPr>
          <w:rFonts w:hint="eastAsia"/>
          <w:sz w:val="32"/>
          <w:szCs w:val="32"/>
          <w:shd w:val="clear" w:color="auto" w:fill="FFFFFF"/>
        </w:rPr>
        <w:t>落实固体</w:t>
      </w:r>
      <w:r>
        <w:rPr>
          <w:sz w:val="32"/>
          <w:szCs w:val="32"/>
          <w:shd w:val="clear" w:color="auto" w:fill="FFFFFF"/>
        </w:rPr>
        <w:t>废物污染防治和安全生产主体责任，</w:t>
      </w:r>
      <w:r>
        <w:rPr>
          <w:rFonts w:hint="eastAsia"/>
          <w:sz w:val="32"/>
          <w:szCs w:val="32"/>
          <w:shd w:val="clear" w:color="auto" w:fill="FFFFFF"/>
        </w:rPr>
        <w:t>为实现危险废物的有效管理奠定了良好的基础。</w:t>
      </w:r>
    </w:p>
    <w:p>
      <w:pPr>
        <w:rPr>
          <w:sz w:val="32"/>
          <w:szCs w:val="32"/>
        </w:rPr>
      </w:pPr>
      <w:r>
        <w:rPr>
          <w:rFonts w:ascii="FZKai-Z03" w:eastAsia="FZKai-Z03" w:hAnsi="FZKai-Z03" w:hint="eastAsia"/>
          <w:sz w:val="32"/>
          <w:szCs w:val="32"/>
          <w:shd w:val="clear" w:color="auto" w:fill="FFFFFF"/>
        </w:rPr>
        <w:t>持续开展专项行动，化解工业固体废物环境风险。</w:t>
      </w:r>
      <w:r>
        <w:rPr>
          <w:rFonts w:hint="eastAsia"/>
          <w:sz w:val="32"/>
          <w:szCs w:val="32"/>
        </w:rPr>
        <w:t>我区持续开展清废专项行动、长江经济带固体废物大排查专项行动和危险废物专项整治行动，认真查处工业固体废物违法案件，有效遏制了危险废物非法转移倾倒处置环境事件的发生。2</w:t>
      </w:r>
      <w:r>
        <w:rPr>
          <w:sz w:val="32"/>
          <w:szCs w:val="32"/>
        </w:rPr>
        <w:t>018</w:t>
      </w:r>
      <w:r>
        <w:rPr>
          <w:rFonts w:hint="eastAsia"/>
          <w:sz w:val="32"/>
          <w:szCs w:val="32"/>
        </w:rPr>
        <w:t>—2</w:t>
      </w:r>
      <w:r>
        <w:rPr>
          <w:sz w:val="32"/>
          <w:szCs w:val="32"/>
        </w:rPr>
        <w:t>020</w:t>
      </w:r>
      <w:r>
        <w:rPr>
          <w:rFonts w:hint="eastAsia"/>
          <w:sz w:val="32"/>
          <w:szCs w:val="32"/>
        </w:rPr>
        <w:t>年，共查处固危废案例5</w:t>
      </w:r>
      <w:r>
        <w:rPr>
          <w:sz w:val="32"/>
          <w:szCs w:val="32"/>
        </w:rPr>
        <w:t>7</w:t>
      </w:r>
      <w:r>
        <w:rPr>
          <w:rFonts w:hint="eastAsia"/>
          <w:sz w:val="32"/>
          <w:szCs w:val="32"/>
        </w:rPr>
        <w:t>件，司法移送4例，处理固体废物及危化品投诉2</w:t>
      </w:r>
      <w:r>
        <w:rPr>
          <w:sz w:val="32"/>
          <w:szCs w:val="32"/>
        </w:rPr>
        <w:t>9</w:t>
      </w:r>
      <w:r>
        <w:rPr>
          <w:rFonts w:hint="eastAsia"/>
          <w:sz w:val="32"/>
          <w:szCs w:val="32"/>
        </w:rPr>
        <w:t>件（</w:t>
      </w:r>
      <w:r>
        <w:rPr>
          <w:sz w:val="32"/>
          <w:szCs w:val="32"/>
        </w:rPr>
        <w:t>2018</w:t>
      </w:r>
      <w:r>
        <w:rPr>
          <w:rFonts w:hint="eastAsia"/>
          <w:sz w:val="32"/>
          <w:szCs w:val="32"/>
        </w:rPr>
        <w:t>年3件，2</w:t>
      </w:r>
      <w:r>
        <w:rPr>
          <w:sz w:val="32"/>
          <w:szCs w:val="32"/>
        </w:rPr>
        <w:t>019</w:t>
      </w:r>
      <w:r>
        <w:rPr>
          <w:rFonts w:hint="eastAsia"/>
          <w:sz w:val="32"/>
          <w:szCs w:val="32"/>
        </w:rPr>
        <w:t>年1</w:t>
      </w:r>
      <w:r>
        <w:rPr>
          <w:sz w:val="32"/>
          <w:szCs w:val="32"/>
        </w:rPr>
        <w:t>0</w:t>
      </w:r>
      <w:r>
        <w:rPr>
          <w:rFonts w:hint="eastAsia"/>
          <w:sz w:val="32"/>
          <w:szCs w:val="32"/>
        </w:rPr>
        <w:t>件，</w:t>
      </w:r>
      <w:r>
        <w:rPr>
          <w:sz w:val="32"/>
          <w:szCs w:val="32"/>
        </w:rPr>
        <w:t>2020</w:t>
      </w:r>
      <w:r>
        <w:rPr>
          <w:rFonts w:hint="eastAsia"/>
          <w:sz w:val="32"/>
          <w:szCs w:val="32"/>
        </w:rPr>
        <w:t>年1</w:t>
      </w:r>
      <w:r>
        <w:rPr>
          <w:sz w:val="32"/>
          <w:szCs w:val="32"/>
        </w:rPr>
        <w:t>6</w:t>
      </w:r>
      <w:r>
        <w:rPr>
          <w:rFonts w:hint="eastAsia"/>
          <w:sz w:val="32"/>
          <w:szCs w:val="32"/>
        </w:rPr>
        <w:t>件）。2</w:t>
      </w:r>
      <w:r>
        <w:rPr>
          <w:sz w:val="32"/>
          <w:szCs w:val="32"/>
        </w:rPr>
        <w:t>020</w:t>
      </w:r>
      <w:r>
        <w:rPr>
          <w:rFonts w:hint="eastAsia"/>
          <w:sz w:val="32"/>
          <w:szCs w:val="32"/>
        </w:rPr>
        <w:t>年，开展了华能珞璜电厂罗家湾、核桃湾2个渣场（尾矿库）污染综合整治工作，按要求制定了环境风险评估和环境应急专项预案。</w:t>
      </w:r>
      <w:r>
        <w:rPr>
          <w:rFonts w:ascii="FZKai-Z03" w:eastAsia="FZKai-Z03" w:cs="FZFangSong-Z02" w:hAnsi="FZKai-Z03" w:hint="eastAsia"/>
          <w:sz w:val="32"/>
          <w:szCs w:val="32"/>
        </w:rPr>
        <w:t>加强涉重金属企业监管。</w:t>
      </w:r>
      <w:r>
        <w:rPr>
          <w:rFonts w:hint="eastAsia"/>
          <w:sz w:val="32"/>
          <w:szCs w:val="32"/>
        </w:rPr>
        <w:t>落实重庆市相关要求，进一步加强涉重企业执行特别排放限值监管，我区4家涉重金属企业均已按照特别排放限值执行。</w:t>
      </w:r>
      <w:r>
        <w:rPr>
          <w:rFonts w:cs="Tahoma" w:hint="eastAsia"/>
          <w:kern w:val="0"/>
          <w:sz w:val="32"/>
          <w:szCs w:val="32"/>
        </w:rPr>
        <w:t>开</w:t>
      </w:r>
      <w:r>
        <w:rPr>
          <w:rFonts w:hint="eastAsia"/>
          <w:sz w:val="32"/>
          <w:szCs w:val="32"/>
        </w:rPr>
        <w:t>展了铅蓄电池生产企业集中收集和跨区域转运制度试点工作</w:t>
      </w:r>
      <w:r>
        <w:rPr>
          <w:rFonts w:ascii="FZFangSong-Z02" w:hAnsi="FZFangSong-Z02" w:hint="eastAsia"/>
          <w:sz w:val="32"/>
          <w:szCs w:val="32"/>
        </w:rPr>
        <w:t>。</w:t>
      </w:r>
    </w:p>
    <w:p>
      <w:pPr>
        <w:rPr>
          <w:rFonts w:ascii="FZFangSong-Z02" w:cs="Tahoma" w:hAnsi="FZFangSong-Z02"/>
          <w:kern w:val="0"/>
          <w:sz w:val="32"/>
          <w:szCs w:val="32"/>
        </w:rPr>
      </w:pPr>
      <w:r>
        <w:rPr>
          <w:rFonts w:ascii="FZKai-Z03" w:eastAsia="FZKai-Z03" w:cs="FZFangSong-Z02" w:hAnsi="FZKai-Z03" w:hint="eastAsia"/>
          <w:sz w:val="32"/>
          <w:szCs w:val="32"/>
        </w:rPr>
        <w:t>启动非工业源危险废物管理。</w:t>
      </w:r>
      <w:r>
        <w:rPr>
          <w:rFonts w:cs="Times New Roman" w:hint="eastAsia"/>
          <w:kern w:val="0"/>
          <w:sz w:val="32"/>
          <w:szCs w:val="32"/>
        </w:rPr>
        <w:t>2</w:t>
      </w:r>
      <w:r>
        <w:rPr>
          <w:rFonts w:cs="Times New Roman"/>
          <w:kern w:val="0"/>
          <w:sz w:val="32"/>
          <w:szCs w:val="32"/>
        </w:rPr>
        <w:t>020</w:t>
      </w:r>
      <w:r>
        <w:rPr>
          <w:rFonts w:cs="Times New Roman" w:hint="eastAsia"/>
          <w:kern w:val="0"/>
          <w:sz w:val="32"/>
          <w:szCs w:val="32"/>
        </w:rPr>
        <w:t>年，</w:t>
      </w:r>
      <w:r>
        <w:rPr>
          <w:rFonts w:ascii="FZFangSong-Z02" w:cs="Tahoma" w:hAnsi="FZFangSong-Z02" w:hint="eastAsia"/>
          <w:kern w:val="0"/>
          <w:sz w:val="32"/>
          <w:szCs w:val="32"/>
        </w:rPr>
        <w:t>开展了机动车维修单位危险废物监督管理工作，</w:t>
      </w:r>
      <w:r>
        <w:rPr>
          <w:rFonts w:hint="eastAsia"/>
          <w:sz w:val="32"/>
          <w:szCs w:val="32"/>
        </w:rPr>
        <w:t>加强了机动车维修行业危险废物监管，启动了91家一二类汽车维修企业的危险废物精细化管理同时，开展了机动车拆解企业排查和管理。</w:t>
      </w:r>
    </w:p>
    <w:p>
      <w:pPr>
        <w:pStyle w:val="2"/>
        <w:ind w:firstLineChars="200" w:firstLine="634"/>
        <w:jc w:val="both"/>
      </w:pPr>
      <w:bookmarkStart w:id="5" w:name="_Toc109310861"/>
      <w:r>
        <w:rPr>
          <w:rFonts w:hint="eastAsia"/>
          <w:b w:val="0"/>
          <w:bCs w:val="0"/>
        </w:rPr>
        <w:t>（三）工业固体废物污染防治工作面临的问题和压力</w:t>
      </w:r>
      <w:bookmarkEnd w:id="5"/>
    </w:p>
    <w:p>
      <w:pPr>
        <w:rPr>
          <w:sz w:val="32"/>
          <w:szCs w:val="32"/>
          <w:shd w:val="clear" w:color="auto" w:fill="FFFFFF"/>
        </w:rPr>
      </w:pPr>
      <w:r>
        <w:rPr>
          <w:rFonts w:ascii="FZKai-Z03" w:eastAsia="FZKai-Z03" w:hAnsi="FZKai-Z03" w:hint="eastAsia"/>
          <w:sz w:val="32"/>
          <w:szCs w:val="32"/>
        </w:rPr>
        <w:t>工业固体废物产生量持续增长。</w:t>
      </w:r>
      <w:r>
        <w:rPr>
          <w:rFonts w:hint="eastAsia"/>
          <w:sz w:val="32"/>
          <w:szCs w:val="32"/>
          <w:shd w:val="clear" w:color="auto" w:fill="FFFFFF"/>
        </w:rPr>
        <w:t>随着成渝地区双城经济圈的推进，</w:t>
      </w:r>
      <w:bookmarkStart w:id="6" w:name="_Hlk100160852"/>
      <w:r>
        <w:rPr>
          <w:rFonts w:hint="eastAsia"/>
          <w:sz w:val="32"/>
          <w:szCs w:val="32"/>
          <w:shd w:val="clear" w:color="auto" w:fill="FFFFFF"/>
        </w:rPr>
        <w:t>“十四五”</w:t>
      </w:r>
      <w:bookmarkEnd w:id="6"/>
      <w:r>
        <w:rPr>
          <w:rFonts w:hint="eastAsia"/>
          <w:sz w:val="32"/>
          <w:szCs w:val="32"/>
          <w:shd w:val="clear" w:color="auto" w:fill="FFFFFF"/>
        </w:rPr>
        <w:t>期间，江津区将加快制造业高质量发展，巩固壮大江津作为</w:t>
      </w:r>
      <w:r>
        <w:rPr>
          <w:sz w:val="32"/>
          <w:szCs w:val="32"/>
          <w:shd w:val="clear" w:color="auto" w:fill="FFFFFF"/>
        </w:rPr>
        <w:t>国家新型工业化示范基地、</w:t>
      </w:r>
      <w:r>
        <w:rPr>
          <w:rFonts w:hint="eastAsia"/>
          <w:sz w:val="32"/>
          <w:szCs w:val="32"/>
          <w:shd w:val="clear" w:color="auto" w:fill="FFFFFF"/>
        </w:rPr>
        <w:t>国家产业转型升级示范区（重庆环都市区转型升级示范区八区之一）根基，打造成渝地区重要先进制造业基地。</w:t>
      </w:r>
      <w:r>
        <w:rPr>
          <w:rFonts w:hint="eastAsia"/>
          <w:snapToGrid w:val="0"/>
          <w:kern w:val="0"/>
          <w:sz w:val="32"/>
          <w:szCs w:val="32"/>
        </w:rPr>
        <w:t>到</w:t>
      </w:r>
      <w:r>
        <w:rPr>
          <w:snapToGrid w:val="0"/>
          <w:kern w:val="0"/>
          <w:sz w:val="32"/>
          <w:szCs w:val="32"/>
        </w:rPr>
        <w:t>2025</w:t>
      </w:r>
      <w:r>
        <w:rPr>
          <w:rFonts w:hint="eastAsia"/>
          <w:snapToGrid w:val="0"/>
          <w:kern w:val="0"/>
          <w:sz w:val="32"/>
          <w:szCs w:val="32"/>
        </w:rPr>
        <w:t>年，江津区将实现规上工业增加值</w:t>
      </w:r>
      <w:r>
        <w:rPr>
          <w:snapToGrid w:val="0"/>
          <w:kern w:val="0"/>
          <w:sz w:val="32"/>
          <w:szCs w:val="32"/>
        </w:rPr>
        <w:t>700</w:t>
      </w:r>
      <w:r>
        <w:rPr>
          <w:rFonts w:hint="eastAsia"/>
          <w:snapToGrid w:val="0"/>
          <w:kern w:val="0"/>
          <w:sz w:val="32"/>
          <w:szCs w:val="32"/>
        </w:rPr>
        <w:t>亿元左右，较</w:t>
      </w:r>
      <w:r>
        <w:rPr>
          <w:snapToGrid w:val="0"/>
          <w:kern w:val="0"/>
          <w:sz w:val="32"/>
          <w:szCs w:val="32"/>
        </w:rPr>
        <w:t>2020</w:t>
      </w:r>
      <w:r>
        <w:rPr>
          <w:rFonts w:hint="eastAsia"/>
          <w:snapToGrid w:val="0"/>
          <w:kern w:val="0"/>
          <w:sz w:val="32"/>
          <w:szCs w:val="32"/>
        </w:rPr>
        <w:t>年预期增长约</w:t>
      </w:r>
      <w:r>
        <w:rPr>
          <w:snapToGrid w:val="0"/>
          <w:kern w:val="0"/>
          <w:sz w:val="32"/>
          <w:szCs w:val="32"/>
        </w:rPr>
        <w:t>45%</w:t>
      </w:r>
      <w:r>
        <w:rPr>
          <w:rFonts w:hint="eastAsia"/>
          <w:snapToGrid w:val="0"/>
          <w:kern w:val="0"/>
          <w:sz w:val="32"/>
          <w:szCs w:val="32"/>
        </w:rPr>
        <w:t>。</w:t>
      </w:r>
      <w:r>
        <w:rPr>
          <w:rFonts w:hint="eastAsia"/>
          <w:sz w:val="32"/>
          <w:szCs w:val="32"/>
        </w:rPr>
        <w:t>预测“十四五”期间，江津区工业固体废物产生量呈上升趋势。</w:t>
      </w:r>
    </w:p>
    <w:p>
      <w:pPr>
        <w:rPr>
          <w:sz w:val="32"/>
          <w:szCs w:val="32"/>
        </w:rPr>
      </w:pPr>
      <w:r>
        <w:rPr>
          <w:rFonts w:ascii="FZKai-Z03" w:eastAsia="FZKai-Z03" w:hAnsi="FZKai-Z03" w:hint="eastAsia"/>
          <w:sz w:val="32"/>
          <w:szCs w:val="32"/>
          <w:shd w:val="clear" w:color="auto" w:fill="FFFFFF"/>
        </w:rPr>
        <w:t>危险废物利用处置终端带来的监管压力。</w:t>
      </w:r>
      <w:r>
        <w:rPr>
          <w:rFonts w:hint="eastAsia"/>
          <w:sz w:val="32"/>
          <w:szCs w:val="32"/>
        </w:rPr>
        <w:t>2</w:t>
      </w:r>
      <w:r>
        <w:rPr>
          <w:sz w:val="32"/>
          <w:szCs w:val="32"/>
        </w:rPr>
        <w:t>020</w:t>
      </w:r>
      <w:r>
        <w:rPr>
          <w:rFonts w:hint="eastAsia"/>
          <w:sz w:val="32"/>
          <w:szCs w:val="32"/>
        </w:rPr>
        <w:t>年，江津区持有危险废物经营许可证的危险废物经营单位共</w:t>
      </w:r>
      <w:r>
        <w:rPr>
          <w:sz w:val="32"/>
          <w:szCs w:val="32"/>
        </w:rPr>
        <w:t>10</w:t>
      </w:r>
      <w:r>
        <w:rPr>
          <w:rFonts w:hint="eastAsia"/>
          <w:sz w:val="32"/>
          <w:szCs w:val="32"/>
        </w:rPr>
        <w:t>家，年收集及利用处置能力</w:t>
      </w:r>
      <w:r>
        <w:rPr>
          <w:sz w:val="32"/>
          <w:szCs w:val="32"/>
        </w:rPr>
        <w:t>20.46</w:t>
      </w:r>
      <w:r>
        <w:rPr>
          <w:rFonts w:hint="eastAsia"/>
          <w:sz w:val="32"/>
          <w:szCs w:val="32"/>
        </w:rPr>
        <w:t>万吨，其中利用和处置江津区内产生的危险废物3</w:t>
      </w:r>
      <w:r>
        <w:rPr>
          <w:sz w:val="32"/>
          <w:szCs w:val="32"/>
        </w:rPr>
        <w:t>.29</w:t>
      </w:r>
      <w:r>
        <w:rPr>
          <w:rFonts w:hint="eastAsia"/>
          <w:sz w:val="32"/>
          <w:szCs w:val="32"/>
        </w:rPr>
        <w:t>万吨，大部分为区外或者市外转移进江津处置。区内危险废物运输监管压力、危险废物终端处置企业和收集企业带来的环境监管压力随之增加。</w:t>
      </w:r>
    </w:p>
    <w:p>
      <w:pPr>
        <w:rPr>
          <w:sz w:val="32"/>
          <w:szCs w:val="32"/>
        </w:rPr>
      </w:pPr>
      <w:r>
        <w:rPr>
          <w:rFonts w:ascii="FZKai-Z03" w:eastAsia="FZKai-Z03" w:hAnsi="FZKai-Z03" w:hint="eastAsia"/>
          <w:sz w:val="32"/>
          <w:szCs w:val="32"/>
        </w:rPr>
        <w:t>铝灰和含油金属屑等新危险废物给管理带来新压力。</w:t>
      </w:r>
      <w:r>
        <w:rPr>
          <w:rFonts w:hint="eastAsia"/>
          <w:sz w:val="32"/>
          <w:szCs w:val="32"/>
          <w:shd w:val="clear" w:color="auto" w:fill="FFFFFF"/>
        </w:rPr>
        <w:t>2</w:t>
      </w:r>
      <w:r>
        <w:rPr>
          <w:sz w:val="32"/>
          <w:szCs w:val="32"/>
          <w:shd w:val="clear" w:color="auto" w:fill="FFFFFF"/>
        </w:rPr>
        <w:t>021</w:t>
      </w:r>
      <w:r>
        <w:rPr>
          <w:rFonts w:hint="eastAsia"/>
          <w:sz w:val="32"/>
          <w:szCs w:val="32"/>
          <w:shd w:val="clear" w:color="auto" w:fill="FFFFFF"/>
        </w:rPr>
        <w:t>年，生态环境部印发了《“十四五”全国危险废物规范化环境管理评估工作方案》，出台了新的危险废物规范化抽查考核体系，同时，</w:t>
      </w:r>
      <w:r>
        <w:rPr>
          <w:rFonts w:hint="eastAsia"/>
          <w:sz w:val="32"/>
          <w:szCs w:val="32"/>
        </w:rPr>
        <w:t>《国家危险废物名录》（2</w:t>
      </w:r>
      <w:r>
        <w:rPr>
          <w:sz w:val="32"/>
          <w:szCs w:val="32"/>
        </w:rPr>
        <w:t>021</w:t>
      </w:r>
      <w:r>
        <w:rPr>
          <w:rFonts w:hint="eastAsia"/>
          <w:sz w:val="32"/>
          <w:szCs w:val="32"/>
        </w:rPr>
        <w:t>年版）也新增</w:t>
      </w:r>
      <w:r>
        <w:rPr>
          <w:sz w:val="32"/>
          <w:szCs w:val="32"/>
        </w:rPr>
        <w:t>含油金属屑</w:t>
      </w:r>
      <w:r>
        <w:rPr>
          <w:rFonts w:hint="eastAsia"/>
          <w:sz w:val="32"/>
          <w:szCs w:val="32"/>
        </w:rPr>
        <w:t>和铝灰的危险废物利用环节豁免</w:t>
      </w:r>
      <w:r>
        <w:rPr>
          <w:sz w:val="32"/>
          <w:szCs w:val="32"/>
        </w:rPr>
        <w:t>管理</w:t>
      </w:r>
      <w:r>
        <w:rPr>
          <w:rFonts w:hint="eastAsia"/>
          <w:sz w:val="32"/>
          <w:szCs w:val="32"/>
        </w:rPr>
        <w:t>，强调了对含油金属屑和铝灰的危险废物规范化环境管理要求。目前我区有</w:t>
      </w:r>
      <w:r>
        <w:rPr>
          <w:sz w:val="32"/>
          <w:szCs w:val="32"/>
        </w:rPr>
        <w:t>2</w:t>
      </w:r>
      <w:r>
        <w:rPr>
          <w:rFonts w:hint="eastAsia"/>
          <w:sz w:val="32"/>
          <w:szCs w:val="32"/>
        </w:rPr>
        <w:t>0余家年产废量在10吨以上的涉铝工业企业和含油金属屑产生企业，部分企业未将含油金属屑和铝灰纳入危险废物管理并严格按照规范要求建立临时贮存设施，部分企业未委托有处置能力的单位及时收运处置。</w:t>
      </w:r>
    </w:p>
    <w:p>
      <w:pPr>
        <w:rPr>
          <w:sz w:val="32"/>
          <w:szCs w:val="32"/>
        </w:rPr>
      </w:pPr>
      <w:r>
        <w:rPr>
          <w:rFonts w:ascii="FZKai-Z03" w:eastAsia="FZKai-Z03" w:hAnsi="FZKai-Z03" w:hint="eastAsia"/>
          <w:sz w:val="32"/>
          <w:szCs w:val="32"/>
        </w:rPr>
        <w:t>工业固体废物信息化管理能力</w:t>
      </w:r>
      <w:r>
        <w:rPr>
          <w:rFonts w:ascii="FZKai-Z03" w:eastAsia="FZKai-Z03" w:hAnsi="FZKai-Z03" w:hint="eastAsia"/>
          <w:sz w:val="32"/>
          <w:szCs w:val="32"/>
          <w:lang w:eastAsia="zh-CN"/>
        </w:rPr>
        <w:t>亟</w:t>
      </w:r>
      <w:r>
        <w:rPr>
          <w:rFonts w:ascii="FZKai-Z03" w:eastAsia="FZKai-Z03" w:hAnsi="FZKai-Z03" w:hint="eastAsia"/>
          <w:sz w:val="32"/>
          <w:szCs w:val="32"/>
        </w:rPr>
        <w:t>待提升。</w:t>
      </w:r>
      <w:r>
        <w:rPr>
          <w:rFonts w:hint="eastAsia"/>
          <w:sz w:val="32"/>
          <w:szCs w:val="32"/>
        </w:rPr>
        <w:t>江津区工业企业数量多，数据变化快，且工业固体废物</w:t>
      </w:r>
      <w:r>
        <w:rPr>
          <w:sz w:val="32"/>
          <w:szCs w:val="32"/>
        </w:rPr>
        <w:t>管理工作点多面广，</w:t>
      </w:r>
      <w:r>
        <w:rPr>
          <w:rFonts w:hint="eastAsia"/>
          <w:sz w:val="32"/>
          <w:szCs w:val="32"/>
        </w:rPr>
        <w:t>函需高效信息化手段支撑。目前，重庆市固体废物信息</w:t>
      </w:r>
      <w:r>
        <w:rPr>
          <w:sz w:val="32"/>
          <w:szCs w:val="32"/>
        </w:rPr>
        <w:t>管理</w:t>
      </w:r>
      <w:r>
        <w:rPr>
          <w:rFonts w:hint="eastAsia"/>
          <w:sz w:val="32"/>
          <w:szCs w:val="32"/>
        </w:rPr>
        <w:t>系统主要在大中型企业应用，在小微企业和非工业源单位应用率不高，对企业全过程管理数据集成和场景应用不足，数据报送依然依赖于人工汇总，数据准确性及总体效率不高。</w:t>
      </w:r>
    </w:p>
    <w:p>
      <w:pPr>
        <w:rPr>
          <w:sz w:val="32"/>
          <w:szCs w:val="32"/>
        </w:rPr>
      </w:pPr>
      <w:r>
        <w:rPr>
          <w:rFonts w:ascii="FZKai-Z03" w:eastAsia="FZKai-Z03" w:hAnsi="FZKai-Z03" w:hint="eastAsia"/>
          <w:sz w:val="32"/>
          <w:szCs w:val="32"/>
        </w:rPr>
        <w:t>环境污染责任保险覆盖率和风险防范能力不足。</w:t>
      </w:r>
      <w:r>
        <w:rPr>
          <w:rFonts w:hint="eastAsia"/>
          <w:sz w:val="32"/>
          <w:szCs w:val="32"/>
        </w:rPr>
        <w:t>按照《固废法》第99条规定，收集、贮存、运输、利用、处置危险废物的单位，应当按照国家有关规定，投保环境污染责任保险。目前，江津区10家危废经营单位中6家单位投保，覆盖率</w:t>
      </w:r>
      <w:r>
        <w:rPr>
          <w:sz w:val="32"/>
          <w:szCs w:val="32"/>
        </w:rPr>
        <w:t>6</w:t>
      </w:r>
      <w:r>
        <w:rPr>
          <w:rFonts w:hint="eastAsia"/>
          <w:sz w:val="32"/>
          <w:szCs w:val="32"/>
        </w:rPr>
        <w:t>0%，风险防范能力和保障均不足。</w:t>
      </w:r>
      <w:bookmarkStart w:id="7" w:name="_Toc109310862"/>
    </w:p>
    <w:p>
      <w:pPr>
        <w:pStyle w:val="2"/>
        <w:ind w:firstLineChars="200" w:firstLine="634"/>
        <w:jc w:val="both"/>
        <w:rPr>
          <w:b w:val="0"/>
          <w:bCs w:val="0"/>
        </w:rPr>
      </w:pPr>
      <w:r>
        <w:rPr>
          <w:rFonts w:hint="eastAsia"/>
          <w:b w:val="0"/>
          <w:bCs w:val="0"/>
        </w:rPr>
        <w:t>（四）工业固废污染防治工作迎来重要机遇</w:t>
      </w:r>
      <w:bookmarkEnd w:id="7"/>
    </w:p>
    <w:p>
      <w:pPr>
        <w:rPr>
          <w:sz w:val="32"/>
          <w:szCs w:val="32"/>
        </w:rPr>
      </w:pPr>
      <w:r>
        <w:rPr>
          <w:rFonts w:ascii="FZKai-Z03" w:eastAsia="FZKai-Z03" w:hAnsi="FZKai-Z03" w:hint="eastAsia"/>
          <w:sz w:val="32"/>
          <w:szCs w:val="32"/>
        </w:rPr>
        <w:t>成渝地区双城经济圈发展的新机遇</w:t>
      </w:r>
      <w:r>
        <w:rPr>
          <w:rFonts w:hint="eastAsia"/>
          <w:sz w:val="32"/>
          <w:szCs w:val="32"/>
        </w:rPr>
        <w:t>。</w:t>
      </w:r>
      <w:r>
        <w:rPr>
          <w:sz w:val="32"/>
          <w:szCs w:val="32"/>
        </w:rPr>
        <w:t>江津区综合经济实力强，是共建“一带一路”、长江经济带发展、新时代西部大开发、成渝地区双城经济圈建设等重大战略部署的重要支点。</w:t>
      </w:r>
      <w:r>
        <w:rPr>
          <w:rFonts w:hint="eastAsia"/>
          <w:sz w:val="32"/>
          <w:szCs w:val="32"/>
        </w:rPr>
        <w:t>2</w:t>
      </w:r>
      <w:r>
        <w:rPr>
          <w:sz w:val="32"/>
          <w:szCs w:val="32"/>
        </w:rPr>
        <w:t>020</w:t>
      </w:r>
      <w:r>
        <w:rPr>
          <w:rFonts w:hint="eastAsia"/>
          <w:sz w:val="32"/>
          <w:szCs w:val="32"/>
        </w:rPr>
        <w:t>年江津</w:t>
      </w:r>
      <w:r>
        <w:rPr>
          <w:sz w:val="32"/>
          <w:szCs w:val="32"/>
        </w:rPr>
        <w:t>地区生产总值迈过</w:t>
      </w:r>
      <w:r>
        <w:rPr>
          <w:rFonts w:hint="eastAsia"/>
          <w:sz w:val="32"/>
          <w:szCs w:val="32"/>
        </w:rPr>
        <w:t>千</w:t>
      </w:r>
      <w:r>
        <w:rPr>
          <w:sz w:val="32"/>
          <w:szCs w:val="32"/>
        </w:rPr>
        <w:t>亿大关，人均地区生产总值突破1万美元。</w:t>
      </w:r>
      <w:r>
        <w:rPr>
          <w:rFonts w:hint="eastAsia"/>
          <w:sz w:val="32"/>
          <w:szCs w:val="32"/>
        </w:rPr>
        <w:t>区内</w:t>
      </w:r>
      <w:r>
        <w:rPr>
          <w:sz w:val="32"/>
          <w:szCs w:val="32"/>
        </w:rPr>
        <w:t>先进制造业实现提质升级，创新能力显著提升，高新技术企业数量增长2.3倍，科技型企业数量增长6.5倍，研究与试验发展经费支出占地区生产总值比重达2.4%</w:t>
      </w:r>
      <w:r>
        <w:rPr>
          <w:rFonts w:hint="eastAsia"/>
          <w:sz w:val="32"/>
          <w:szCs w:val="32"/>
        </w:rPr>
        <w:t>，</w:t>
      </w:r>
      <w:r>
        <w:rPr>
          <w:sz w:val="32"/>
          <w:szCs w:val="32"/>
        </w:rPr>
        <w:t>工业高质量集聚区</w:t>
      </w:r>
      <w:r>
        <w:rPr>
          <w:rFonts w:hint="eastAsia"/>
          <w:sz w:val="32"/>
          <w:szCs w:val="32"/>
        </w:rPr>
        <w:t>初现雏形</w:t>
      </w:r>
      <w:r>
        <w:rPr>
          <w:sz w:val="32"/>
          <w:szCs w:val="32"/>
        </w:rPr>
        <w:t>。</w:t>
      </w:r>
      <w:r>
        <w:rPr>
          <w:rFonts w:hint="eastAsia"/>
          <w:sz w:val="32"/>
          <w:szCs w:val="32"/>
        </w:rPr>
        <w:t>随着</w:t>
      </w:r>
      <w:r>
        <w:rPr>
          <w:sz w:val="32"/>
          <w:szCs w:val="32"/>
        </w:rPr>
        <w:t>江津区融入服务成渝地区双城经济圈建设，与重庆中心城区同城化发展驶入快车道，既是成渝</w:t>
      </w:r>
      <w:r>
        <w:rPr>
          <w:rFonts w:hint="eastAsia"/>
          <w:sz w:val="32"/>
          <w:szCs w:val="32"/>
        </w:rPr>
        <w:t>地区</w:t>
      </w:r>
      <w:r>
        <w:rPr>
          <w:sz w:val="32"/>
          <w:szCs w:val="32"/>
        </w:rPr>
        <w:t>双城经济圈重要战略支点，也是主城都市区中的同城化发展先行区</w:t>
      </w:r>
      <w:r>
        <w:rPr>
          <w:rFonts w:hint="eastAsia"/>
          <w:sz w:val="32"/>
          <w:szCs w:val="32"/>
        </w:rPr>
        <w:t>，也为工业进一步提质增效和低碳发展提供了有利条件</w:t>
      </w:r>
      <w:r>
        <w:rPr>
          <w:sz w:val="32"/>
          <w:szCs w:val="32"/>
        </w:rPr>
        <w:t>。</w:t>
      </w:r>
    </w:p>
    <w:p>
      <w:pPr>
        <w:rPr>
          <w:rFonts w:cs="Times New Roman"/>
          <w:sz w:val="32"/>
          <w:szCs w:val="32"/>
        </w:rPr>
      </w:pPr>
      <w:r>
        <w:rPr>
          <w:rFonts w:ascii="FZKai-Z03" w:eastAsia="FZKai-Z03" w:hAnsi="FZKai-Z03" w:hint="eastAsia"/>
          <w:sz w:val="32"/>
          <w:szCs w:val="32"/>
        </w:rPr>
        <w:t>工业绿色高质量发展带来的新契机。</w:t>
      </w:r>
      <w:r>
        <w:rPr>
          <w:rFonts w:cs="Times New Roman" w:hint="eastAsia"/>
          <w:sz w:val="32"/>
          <w:szCs w:val="32"/>
        </w:rPr>
        <w:t>“十四五”时期，生态文明建设以减污降碳协同增效为重点，促进工业企业全面绿色转型，进入了生态环境质量改善由量变到质变的时期。江津坚持走生态优先、绿色发展新路，四大结构调整深入推进，低碳循环经济全面发展，能源消费增速进一步收窄，新技术革命带来治理能力提升，水系、森林、田园生态优势、人文优势和都市郊区优势不断叠加，逐渐形成绿色的生产和生活方式。</w:t>
      </w:r>
    </w:p>
    <w:p>
      <w:pPr>
        <w:rPr>
          <w:sz w:val="32"/>
          <w:szCs w:val="32"/>
        </w:rPr>
      </w:pPr>
      <w:r>
        <w:rPr>
          <w:rFonts w:ascii="FZKai-Z03" w:eastAsia="FZKai-Z03" w:cs="FZFangSong-Z02" w:hAnsi="FZKai-Z03" w:hint="eastAsia"/>
          <w:sz w:val="32"/>
          <w:szCs w:val="32"/>
        </w:rPr>
        <w:t>“无废城市”深入建设的契机。</w:t>
      </w:r>
      <w:r>
        <w:rPr>
          <w:sz w:val="32"/>
          <w:szCs w:val="32"/>
        </w:rPr>
        <w:t>2021年，中央全面深化改革委员会审议通过了《关于深入打好污染防治攻坚战的意见》</w:t>
      </w:r>
      <w:r>
        <w:rPr>
          <w:rFonts w:hint="eastAsia"/>
          <w:sz w:val="32"/>
          <w:szCs w:val="32"/>
        </w:rPr>
        <w:t>，指出</w:t>
      </w:r>
      <w:r>
        <w:rPr>
          <w:sz w:val="32"/>
          <w:szCs w:val="32"/>
        </w:rPr>
        <w:t>深入开展“无废城市”建设，是提升固体废物治理体系和能力现代化的有效抓手，是深入贯彻习近平生态文明思想的具体行动，是美丽中国建设目标的内在要求。</w:t>
      </w:r>
      <w:r>
        <w:rPr>
          <w:rFonts w:hint="eastAsia"/>
          <w:sz w:val="32"/>
          <w:szCs w:val="32"/>
        </w:rPr>
        <w:t>江津区作为重庆市中心城区之外的第一批试点区，在</w:t>
      </w:r>
      <w:r>
        <w:rPr>
          <w:sz w:val="32"/>
          <w:szCs w:val="32"/>
        </w:rPr>
        <w:t>2021</w:t>
      </w:r>
      <w:r>
        <w:rPr>
          <w:rFonts w:hint="eastAsia"/>
          <w:sz w:val="32"/>
          <w:szCs w:val="32"/>
        </w:rPr>
        <w:t>年印发了“无废城市”建设实施方案，“十四五”期间，江津区将成渝地区双城经济圈“无废城市”共建的指导意见为指引，以工业源为抓手，推动工业固体废物减量化、资源化和无害化措施的落地，助推工业提质增效、清洁生产和绿色发展。</w:t>
      </w:r>
    </w:p>
    <w:p>
      <w:pPr>
        <w:pStyle w:val="1"/>
        <w:ind w:firstLineChars="200" w:firstLine="634"/>
        <w:jc w:val="both"/>
        <w:rPr>
          <w:rFonts w:ascii="FZHei-B01" w:eastAsia="FZHei-B01" w:hAnsi="FZHei-B01"/>
          <w:sz w:val="32"/>
          <w:szCs w:val="32"/>
        </w:rPr>
      </w:pPr>
      <w:bookmarkStart w:id="8" w:name="_Toc109310863"/>
      <w:r>
        <w:rPr>
          <w:rFonts w:ascii="FZHei-B01" w:eastAsia="FZHei-B01" w:hAnsi="FZHei-B01" w:hint="eastAsia"/>
          <w:sz w:val="32"/>
          <w:szCs w:val="32"/>
        </w:rPr>
        <w:t>二、指导思想、基本原则和规划目标</w:t>
      </w:r>
      <w:bookmarkEnd w:id="8"/>
    </w:p>
    <w:p>
      <w:pPr>
        <w:pStyle w:val="1"/>
        <w:ind w:firstLineChars="200" w:firstLine="634"/>
        <w:jc w:val="both"/>
        <w:rPr>
          <w:rFonts w:ascii="FZKai-Z03" w:eastAsia="FZKai-Z03" w:hAnsi="FZKai-Z03"/>
          <w:sz w:val="32"/>
          <w:szCs w:val="32"/>
        </w:rPr>
      </w:pPr>
      <w:bookmarkStart w:id="9" w:name="_Toc109310864"/>
      <w:r>
        <w:rPr>
          <w:rFonts w:ascii="FZKai-Z03" w:eastAsia="FZKai-Z03" w:hAnsi="FZKai-Z03" w:hint="eastAsia"/>
          <w:sz w:val="32"/>
          <w:szCs w:val="32"/>
        </w:rPr>
        <w:t>（一）指导思想</w:t>
      </w:r>
      <w:bookmarkEnd w:id="9"/>
    </w:p>
    <w:p>
      <w:pPr>
        <w:rPr>
          <w:sz w:val="32"/>
          <w:szCs w:val="32"/>
        </w:rPr>
      </w:pPr>
      <w:r>
        <w:rPr>
          <w:rFonts w:hint="eastAsia"/>
          <w:sz w:val="32"/>
          <w:szCs w:val="32"/>
        </w:rPr>
        <w:t>以习近平新时代中国特色社会主义思想为指导，全面贯彻党的十九大和十九届历次全会精神，深入贯彻习近平生态文明思想和落实</w:t>
      </w:r>
      <w:r>
        <w:rPr>
          <w:sz w:val="32"/>
          <w:szCs w:val="32"/>
        </w:rPr>
        <w:t>习近平总书记对重庆提出的</w:t>
      </w:r>
      <w:r>
        <w:rPr>
          <w:rFonts w:hint="eastAsia"/>
          <w:sz w:val="32"/>
          <w:szCs w:val="32"/>
        </w:rPr>
        <w:t>“</w:t>
      </w:r>
      <w:r>
        <w:rPr>
          <w:sz w:val="32"/>
          <w:szCs w:val="32"/>
        </w:rPr>
        <w:t>两点</w:t>
      </w:r>
      <w:r>
        <w:rPr>
          <w:rFonts w:hint="eastAsia"/>
          <w:sz w:val="32"/>
          <w:szCs w:val="32"/>
        </w:rPr>
        <w:t>”</w:t>
      </w:r>
      <w:r>
        <w:rPr>
          <w:sz w:val="32"/>
          <w:szCs w:val="32"/>
        </w:rPr>
        <w:t>定位、</w:t>
      </w:r>
      <w:r>
        <w:rPr>
          <w:rFonts w:hint="eastAsia"/>
          <w:sz w:val="32"/>
          <w:szCs w:val="32"/>
        </w:rPr>
        <w:t>“</w:t>
      </w:r>
      <w:r>
        <w:rPr>
          <w:sz w:val="32"/>
          <w:szCs w:val="32"/>
        </w:rPr>
        <w:t>两地</w:t>
      </w:r>
      <w:r>
        <w:rPr>
          <w:rFonts w:hint="eastAsia"/>
          <w:sz w:val="32"/>
          <w:szCs w:val="32"/>
        </w:rPr>
        <w:t>”“</w:t>
      </w:r>
      <w:r>
        <w:rPr>
          <w:sz w:val="32"/>
          <w:szCs w:val="32"/>
        </w:rPr>
        <w:t>两高</w:t>
      </w:r>
      <w:r>
        <w:rPr>
          <w:rFonts w:hint="eastAsia"/>
          <w:sz w:val="32"/>
          <w:szCs w:val="32"/>
        </w:rPr>
        <w:t>”</w:t>
      </w:r>
      <w:r>
        <w:rPr>
          <w:sz w:val="32"/>
          <w:szCs w:val="32"/>
        </w:rPr>
        <w:t>目标、发挥</w:t>
      </w:r>
      <w:r>
        <w:rPr>
          <w:rFonts w:hint="eastAsia"/>
          <w:sz w:val="32"/>
          <w:szCs w:val="32"/>
        </w:rPr>
        <w:t>“</w:t>
      </w:r>
      <w:r>
        <w:rPr>
          <w:sz w:val="32"/>
          <w:szCs w:val="32"/>
        </w:rPr>
        <w:t>三个作用</w:t>
      </w:r>
      <w:r>
        <w:rPr>
          <w:rFonts w:hint="eastAsia"/>
          <w:sz w:val="32"/>
          <w:szCs w:val="32"/>
        </w:rPr>
        <w:t>”</w:t>
      </w:r>
      <w:r>
        <w:rPr>
          <w:sz w:val="32"/>
          <w:szCs w:val="32"/>
        </w:rPr>
        <w:t>和营造良好政治生态的重要指示要求，</w:t>
      </w:r>
      <w:r>
        <w:rPr>
          <w:rFonts w:ascii="FZFangSong-Z02" w:hAnsi="FZFangSong-Z02" w:hint="eastAsia"/>
          <w:sz w:val="32"/>
          <w:szCs w:val="32"/>
        </w:rPr>
        <w:t>深入贯彻“碳达峰”“碳中和”和“无废城市”理念</w:t>
      </w:r>
      <w:r>
        <w:rPr>
          <w:rFonts w:hint="eastAsia"/>
          <w:sz w:val="32"/>
          <w:szCs w:val="32"/>
        </w:rPr>
        <w:t>，紧密围绕减污降碳协同增效，深化区域联动合作，健全固体废物信息互通、资源共享、区域联动、联合防治、应急协作、执法协同等机制</w:t>
      </w:r>
      <w:r>
        <w:rPr>
          <w:rFonts w:ascii="FZFangSong-Z02" w:hAnsi="FZFangSong-Z02" w:hint="eastAsia"/>
          <w:sz w:val="32"/>
          <w:szCs w:val="32"/>
        </w:rPr>
        <w:t>，</w:t>
      </w:r>
      <w:r>
        <w:rPr>
          <w:sz w:val="32"/>
          <w:szCs w:val="32"/>
        </w:rPr>
        <w:t>以绿色低碳循环发展为引领，以强化固体废物源头减量、充分资源化利用和保障安全处置为核心，全面推进</w:t>
      </w:r>
      <w:r>
        <w:rPr>
          <w:rFonts w:hint="eastAsia"/>
          <w:sz w:val="32"/>
          <w:szCs w:val="32"/>
        </w:rPr>
        <w:t>工业</w:t>
      </w:r>
      <w:r>
        <w:rPr>
          <w:sz w:val="32"/>
          <w:szCs w:val="32"/>
        </w:rPr>
        <w:t>固体废物全量利用处置，加快构建良好的</w:t>
      </w:r>
      <w:r>
        <w:rPr>
          <w:rFonts w:hint="eastAsia"/>
          <w:sz w:val="32"/>
          <w:szCs w:val="32"/>
        </w:rPr>
        <w:t>工业</w:t>
      </w:r>
      <w:r>
        <w:rPr>
          <w:sz w:val="32"/>
          <w:szCs w:val="32"/>
        </w:rPr>
        <w:t>固体废物循环利用体系，最大限度减少填埋量，将</w:t>
      </w:r>
      <w:r>
        <w:rPr>
          <w:rFonts w:hint="eastAsia"/>
          <w:sz w:val="32"/>
          <w:szCs w:val="32"/>
        </w:rPr>
        <w:t>工业</w:t>
      </w:r>
      <w:r>
        <w:rPr>
          <w:sz w:val="32"/>
          <w:szCs w:val="32"/>
        </w:rPr>
        <w:t>固体废物环境影响降至最低，最终建成</w:t>
      </w:r>
      <w:r>
        <w:rPr>
          <w:rFonts w:hint="eastAsia"/>
          <w:sz w:val="32"/>
          <w:szCs w:val="32"/>
        </w:rPr>
        <w:t>工业</w:t>
      </w:r>
      <w:r>
        <w:rPr>
          <w:sz w:val="32"/>
          <w:szCs w:val="32"/>
        </w:rPr>
        <w:t>固体废物源头产生量最少、资源充分循环利用的</w:t>
      </w:r>
      <w:r>
        <w:rPr>
          <w:rFonts w:hint="eastAsia"/>
          <w:sz w:val="32"/>
          <w:szCs w:val="32"/>
        </w:rPr>
        <w:t>“</w:t>
      </w:r>
      <w:r>
        <w:rPr>
          <w:sz w:val="32"/>
          <w:szCs w:val="32"/>
        </w:rPr>
        <w:t>无废</w:t>
      </w:r>
      <w:r>
        <w:rPr>
          <w:rFonts w:hint="eastAsia"/>
          <w:sz w:val="32"/>
          <w:szCs w:val="32"/>
        </w:rPr>
        <w:t>城市”，</w:t>
      </w:r>
      <w:r>
        <w:rPr>
          <w:rFonts w:ascii="FZFangSong-Z02" w:hAnsi="FZFangSong-Z02" w:hint="eastAsia"/>
          <w:sz w:val="32"/>
          <w:szCs w:val="32"/>
        </w:rPr>
        <w:t>筑牢长江上游重要生态屏障</w:t>
      </w:r>
      <w:r>
        <w:rPr>
          <w:sz w:val="32"/>
          <w:szCs w:val="32"/>
        </w:rPr>
        <w:t>。</w:t>
      </w:r>
    </w:p>
    <w:p>
      <w:pPr>
        <w:pStyle w:val="1"/>
        <w:ind w:firstLineChars="200" w:firstLine="634"/>
        <w:jc w:val="both"/>
        <w:rPr>
          <w:rFonts w:ascii="FZKai-Z03" w:eastAsia="FZKai-Z03" w:hAnsi="FZKai-Z03"/>
          <w:sz w:val="32"/>
          <w:szCs w:val="32"/>
        </w:rPr>
      </w:pPr>
      <w:bookmarkStart w:id="10" w:name="_Toc109310865"/>
      <w:r>
        <w:rPr>
          <w:rFonts w:ascii="FZKai-Z03" w:eastAsia="FZKai-Z03" w:hAnsi="FZKai-Z03" w:hint="eastAsia"/>
          <w:sz w:val="32"/>
          <w:szCs w:val="32"/>
        </w:rPr>
        <w:t>（二）基本原则</w:t>
      </w:r>
      <w:bookmarkEnd w:id="10"/>
    </w:p>
    <w:p>
      <w:pPr>
        <w:rPr>
          <w:sz w:val="32"/>
          <w:szCs w:val="32"/>
        </w:rPr>
      </w:pPr>
      <w:r>
        <w:rPr>
          <w:rFonts w:ascii="FZKai-Z03" w:eastAsia="FZKai-Z03" w:hAnsi="FZKai-Z03" w:hint="eastAsia"/>
          <w:sz w:val="32"/>
          <w:szCs w:val="32"/>
        </w:rPr>
        <w:t>推进源头减量，促进工业提质。</w:t>
      </w:r>
      <w:r>
        <w:rPr>
          <w:rFonts w:hint="eastAsia"/>
          <w:sz w:val="32"/>
          <w:szCs w:val="32"/>
        </w:rPr>
        <w:t>积极推进固体废物源头减量和综合利用，实现减污降碳协同增效，促进城市绿色低碳转型。</w:t>
      </w:r>
      <w:r>
        <w:rPr>
          <w:sz w:val="32"/>
          <w:szCs w:val="32"/>
        </w:rPr>
        <w:t>合理规划，</w:t>
      </w:r>
      <w:r>
        <w:rPr>
          <w:rFonts w:hint="eastAsia"/>
          <w:sz w:val="32"/>
          <w:szCs w:val="32"/>
        </w:rPr>
        <w:t>强化建设项目的环境准入，</w:t>
      </w:r>
      <w:r>
        <w:rPr>
          <w:sz w:val="32"/>
          <w:szCs w:val="32"/>
        </w:rPr>
        <w:t>减少资源消耗</w:t>
      </w:r>
      <w:r>
        <w:rPr>
          <w:rFonts w:hint="eastAsia"/>
          <w:sz w:val="32"/>
          <w:szCs w:val="32"/>
        </w:rPr>
        <w:t>、</w:t>
      </w:r>
      <w:r>
        <w:rPr>
          <w:sz w:val="32"/>
          <w:szCs w:val="32"/>
        </w:rPr>
        <w:t>高能耗企业，减少</w:t>
      </w:r>
      <w:r>
        <w:rPr>
          <w:rFonts w:hint="eastAsia"/>
          <w:sz w:val="32"/>
          <w:szCs w:val="32"/>
        </w:rPr>
        <w:t>工业固体废物</w:t>
      </w:r>
      <w:r>
        <w:rPr>
          <w:sz w:val="32"/>
          <w:szCs w:val="32"/>
        </w:rPr>
        <w:t>的产生。实施工业绿色生产，</w:t>
      </w:r>
      <w:r>
        <w:rPr>
          <w:rFonts w:hint="eastAsia"/>
          <w:sz w:val="32"/>
          <w:szCs w:val="32"/>
        </w:rPr>
        <w:t>大力推广清洁生产工艺</w:t>
      </w:r>
      <w:r>
        <w:rPr>
          <w:sz w:val="32"/>
          <w:szCs w:val="32"/>
        </w:rPr>
        <w:t>，</w:t>
      </w:r>
      <w:r>
        <w:rPr>
          <w:rFonts w:hint="eastAsia"/>
          <w:sz w:val="32"/>
          <w:szCs w:val="32"/>
        </w:rPr>
        <w:t>实现工业提质增效，</w:t>
      </w:r>
      <w:r>
        <w:rPr>
          <w:sz w:val="32"/>
          <w:szCs w:val="32"/>
        </w:rPr>
        <w:t>支持</w:t>
      </w:r>
      <w:r>
        <w:rPr>
          <w:rFonts w:hint="eastAsia"/>
          <w:sz w:val="32"/>
          <w:szCs w:val="32"/>
        </w:rPr>
        <w:t>工业</w:t>
      </w:r>
      <w:r>
        <w:rPr>
          <w:sz w:val="32"/>
          <w:szCs w:val="32"/>
        </w:rPr>
        <w:t>固体废物资源化新技术、新装备、新产品应用，有效降低工业</w:t>
      </w:r>
      <w:r>
        <w:rPr>
          <w:rFonts w:hint="eastAsia"/>
          <w:sz w:val="32"/>
          <w:szCs w:val="32"/>
        </w:rPr>
        <w:t>固体废物产生</w:t>
      </w:r>
      <w:r>
        <w:rPr>
          <w:sz w:val="32"/>
          <w:szCs w:val="32"/>
        </w:rPr>
        <w:t>强度。</w:t>
      </w:r>
    </w:p>
    <w:p>
      <w:pPr>
        <w:rPr>
          <w:sz w:val="32"/>
          <w:szCs w:val="32"/>
        </w:rPr>
      </w:pPr>
      <w:r>
        <w:rPr>
          <w:rFonts w:ascii="FZKai-Z03" w:eastAsia="FZKai-Z03" w:hAnsi="FZKai-Z03" w:hint="eastAsia"/>
          <w:sz w:val="32"/>
          <w:szCs w:val="32"/>
        </w:rPr>
        <w:t>健全收集体系</w:t>
      </w:r>
      <w:r>
        <w:rPr>
          <w:rFonts w:ascii="FZKai-Z03" w:eastAsia="FZKai-Z03" w:hAnsi="FZKai-Z03"/>
          <w:sz w:val="32"/>
          <w:szCs w:val="32"/>
        </w:rPr>
        <w:t>，</w:t>
      </w:r>
      <w:r>
        <w:rPr>
          <w:rFonts w:ascii="FZKai-Z03" w:eastAsia="FZKai-Z03" w:hAnsi="FZKai-Z03" w:hint="eastAsia"/>
          <w:sz w:val="32"/>
          <w:szCs w:val="32"/>
        </w:rPr>
        <w:t>规范过程管理</w:t>
      </w:r>
      <w:r>
        <w:rPr>
          <w:rFonts w:ascii="FZKai-Z03" w:eastAsia="FZKai-Z03" w:hAnsi="FZKai-Z03"/>
          <w:sz w:val="32"/>
          <w:szCs w:val="32"/>
        </w:rPr>
        <w:t>。</w:t>
      </w:r>
      <w:r>
        <w:rPr>
          <w:rFonts w:hint="eastAsia"/>
          <w:sz w:val="32"/>
          <w:szCs w:val="32"/>
        </w:rPr>
        <w:t>建设完善的工业源和非工业源固体废物回收体系，实现工业固体废物应收尽收。推进城市固体废物精细化管理，落实工业固体废物污染控制标准，</w:t>
      </w:r>
      <w:r>
        <w:rPr>
          <w:sz w:val="32"/>
          <w:szCs w:val="32"/>
        </w:rPr>
        <w:t>完善配套</w:t>
      </w:r>
      <w:r>
        <w:rPr>
          <w:rFonts w:hint="eastAsia"/>
          <w:sz w:val="32"/>
          <w:szCs w:val="32"/>
        </w:rPr>
        <w:t>管理</w:t>
      </w:r>
      <w:r>
        <w:rPr>
          <w:sz w:val="32"/>
          <w:szCs w:val="32"/>
        </w:rPr>
        <w:t>制度，构建</w:t>
      </w:r>
      <w:r>
        <w:rPr>
          <w:rFonts w:hint="eastAsia"/>
          <w:sz w:val="32"/>
          <w:szCs w:val="32"/>
        </w:rPr>
        <w:t>产生</w:t>
      </w:r>
      <w:r>
        <w:rPr>
          <w:sz w:val="32"/>
          <w:szCs w:val="32"/>
        </w:rPr>
        <w:t>、收集、运输、贮存、利用处置等环节环境风险可控的管理体系</w:t>
      </w:r>
      <w:r>
        <w:rPr>
          <w:rFonts w:hint="eastAsia"/>
          <w:sz w:val="32"/>
          <w:szCs w:val="32"/>
        </w:rPr>
        <w:t>，加强临时贮存设施建设和管理。</w:t>
      </w:r>
    </w:p>
    <w:p>
      <w:pPr>
        <w:rPr>
          <w:sz w:val="32"/>
          <w:szCs w:val="32"/>
        </w:rPr>
      </w:pPr>
      <w:r>
        <w:rPr>
          <w:rFonts w:ascii="FZKai-Z03" w:eastAsia="FZKai-Z03" w:hAnsi="FZKai-Z03" w:hint="eastAsia"/>
          <w:sz w:val="32"/>
          <w:szCs w:val="32"/>
        </w:rPr>
        <w:t>加强循环利用，保障处置安全。</w:t>
      </w:r>
      <w:r>
        <w:rPr>
          <w:rFonts w:hint="eastAsia"/>
          <w:sz w:val="32"/>
          <w:szCs w:val="32"/>
        </w:rPr>
        <w:t>加强江津工业园区“一区四园”工业固体废物内部循环，侧重配置资源化再利用项目，加强工业固体废物绿色循环再生，</w:t>
      </w:r>
      <w:r>
        <w:rPr>
          <w:sz w:val="32"/>
          <w:szCs w:val="32"/>
        </w:rPr>
        <w:t>拓宽资源化利用途径</w:t>
      </w:r>
      <w:r>
        <w:rPr>
          <w:rFonts w:hint="eastAsia"/>
          <w:sz w:val="32"/>
          <w:szCs w:val="32"/>
        </w:rPr>
        <w:t>，加强工业固体废物区域协同循环利用；合理配置工业固体废物填埋处置场，守住环境安全底线。</w:t>
      </w:r>
    </w:p>
    <w:p>
      <w:pPr>
        <w:rPr>
          <w:sz w:val="32"/>
          <w:szCs w:val="32"/>
        </w:rPr>
      </w:pPr>
      <w:r>
        <w:rPr>
          <w:rFonts w:ascii="FZKai-Z03" w:eastAsia="FZKai-Z03" w:hAnsi="FZKai-Z03" w:hint="eastAsia"/>
          <w:sz w:val="32"/>
          <w:szCs w:val="32"/>
        </w:rPr>
        <w:t>提升监管能力</w:t>
      </w:r>
      <w:r>
        <w:rPr>
          <w:rFonts w:ascii="FZKai-Z03" w:eastAsia="FZKai-Z03" w:hAnsi="FZKai-Z03"/>
          <w:sz w:val="32"/>
          <w:szCs w:val="32"/>
        </w:rPr>
        <w:t>，防控</w:t>
      </w:r>
      <w:r>
        <w:rPr>
          <w:rFonts w:ascii="FZKai-Z03" w:eastAsia="FZKai-Z03" w:hAnsi="FZKai-Z03" w:hint="eastAsia"/>
          <w:sz w:val="32"/>
          <w:szCs w:val="32"/>
        </w:rPr>
        <w:t>环境</w:t>
      </w:r>
      <w:r>
        <w:rPr>
          <w:rFonts w:ascii="FZKai-Z03" w:eastAsia="FZKai-Z03" w:hAnsi="FZKai-Z03"/>
          <w:sz w:val="32"/>
          <w:szCs w:val="32"/>
        </w:rPr>
        <w:t>风险。</w:t>
      </w:r>
      <w:r>
        <w:rPr>
          <w:rFonts w:hint="eastAsia"/>
          <w:sz w:val="32"/>
          <w:szCs w:val="32"/>
        </w:rPr>
        <w:t>加强部门联动，形成监管合力，开展信息化、应急处置、环境执法、风险评估和预警能力建设，强化工业固体废物环境应急响应能力，</w:t>
      </w:r>
      <w:r>
        <w:rPr>
          <w:sz w:val="32"/>
          <w:szCs w:val="32"/>
        </w:rPr>
        <w:t>有效管控固体废物各领域、各环节环境风险。</w:t>
      </w:r>
    </w:p>
    <w:p>
      <w:pPr>
        <w:pStyle w:val="1"/>
        <w:ind w:firstLineChars="200" w:firstLine="634"/>
        <w:jc w:val="both"/>
        <w:rPr>
          <w:rFonts w:ascii="FZKai-Z03" w:eastAsia="FZKai-Z03" w:hAnsi="FZKai-Z03"/>
          <w:sz w:val="32"/>
          <w:szCs w:val="32"/>
        </w:rPr>
      </w:pPr>
      <w:bookmarkStart w:id="11" w:name="_Toc109310866"/>
      <w:r>
        <w:rPr>
          <w:rFonts w:ascii="FZKai-Z03" w:eastAsia="FZKai-Z03" w:hAnsi="FZKai-Z03" w:hint="eastAsia"/>
          <w:sz w:val="32"/>
          <w:szCs w:val="32"/>
        </w:rPr>
        <w:t>（三）规划范围和期限</w:t>
      </w:r>
      <w:bookmarkEnd w:id="11"/>
    </w:p>
    <w:p>
      <w:r>
        <w:rPr>
          <w:rFonts w:hint="eastAsia"/>
          <w:sz w:val="32"/>
          <w:szCs w:val="32"/>
        </w:rPr>
        <w:t>江津区固体废物污染防治规划范围为江津区行政管辖区域，包括辖区内5个街道和25个镇（表1）。建设时限为2</w:t>
      </w:r>
      <w:r>
        <w:rPr>
          <w:sz w:val="32"/>
          <w:szCs w:val="32"/>
        </w:rPr>
        <w:t>021</w:t>
      </w:r>
      <w:r>
        <w:rPr>
          <w:rFonts w:hint="eastAsia"/>
          <w:sz w:val="32"/>
          <w:szCs w:val="32"/>
        </w:rPr>
        <w:t>年至2025年，以2020年为基准年，展望至2</w:t>
      </w:r>
      <w:r>
        <w:rPr>
          <w:sz w:val="32"/>
          <w:szCs w:val="32"/>
        </w:rPr>
        <w:t>035</w:t>
      </w:r>
      <w:r>
        <w:rPr>
          <w:rFonts w:hint="eastAsia"/>
          <w:sz w:val="32"/>
          <w:szCs w:val="32"/>
        </w:rPr>
        <w:t>年</w:t>
      </w:r>
      <w:r>
        <w:rPr>
          <w:sz w:val="32"/>
          <w:szCs w:val="32"/>
        </w:rPr>
        <w:t>。</w:t>
      </w:r>
    </w:p>
    <w:p>
      <w:pPr>
        <w:ind w:firstLineChars="0" w:firstLine="0"/>
        <w:jc w:val="center"/>
        <w:rPr>
          <w:rFonts w:ascii="FZFangSong-Z02" w:hAnsi="FZFangSong-Z02"/>
          <w:sz w:val="28"/>
          <w:szCs w:val="28"/>
        </w:rPr>
      </w:pPr>
      <w:r>
        <w:rPr>
          <w:rFonts w:ascii="FZFangSong-Z02" w:hAnsi="FZFangSong-Z02" w:hint="eastAsia"/>
          <w:sz w:val="28"/>
          <w:szCs w:val="28"/>
        </w:rPr>
        <w:t>表1 江津区行政区域概况</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71"/>
        <w:gridCol w:w="7734"/>
      </w:tblGrid>
      <w:tr>
        <w:tc>
          <w:tcPr>
            <w:tcW w:w="1271" w:type="dxa"/>
            <w:vAlign w:val="center"/>
          </w:tcPr>
          <w:p>
            <w:pPr>
              <w:adjustRightInd w:val="0"/>
              <w:snapToGrid w:val="0"/>
              <w:ind w:firstLineChars="0" w:firstLine="0"/>
              <w:jc w:val="center"/>
              <w:rPr>
                <w:rFonts w:cs="Times New Roman"/>
                <w:kern w:val="0"/>
                <w:sz w:val="24"/>
                <w:szCs w:val="24"/>
              </w:rPr>
            </w:pPr>
            <w:r>
              <w:rPr>
                <w:rFonts w:cs="Times New Roman" w:hint="eastAsia"/>
                <w:kern w:val="0"/>
                <w:sz w:val="24"/>
                <w:szCs w:val="24"/>
              </w:rPr>
              <w:t>街道</w:t>
            </w:r>
          </w:p>
        </w:tc>
        <w:tc>
          <w:tcPr>
            <w:tcW w:w="7734" w:type="dxa"/>
            <w:vAlign w:val="center"/>
          </w:tcPr>
          <w:p>
            <w:pPr>
              <w:adjustRightInd w:val="0"/>
              <w:snapToGrid w:val="0"/>
              <w:ind w:firstLineChars="0" w:firstLine="0"/>
              <w:rPr>
                <w:rFonts w:cs="Times New Roman"/>
                <w:kern w:val="0"/>
                <w:sz w:val="24"/>
                <w:szCs w:val="24"/>
              </w:rPr>
            </w:pPr>
            <w:r>
              <w:rPr>
                <w:rFonts w:cs="Times New Roman" w:hint="eastAsia"/>
                <w:kern w:val="0"/>
                <w:sz w:val="24"/>
                <w:szCs w:val="24"/>
              </w:rPr>
              <w:t>几江街道、德感街道、双福街道、鼎山街道、圣泉街道</w:t>
            </w:r>
          </w:p>
        </w:tc>
      </w:tr>
      <w:tr>
        <w:tc>
          <w:tcPr>
            <w:tcW w:w="1271" w:type="dxa"/>
            <w:vAlign w:val="center"/>
          </w:tcPr>
          <w:p>
            <w:pPr>
              <w:adjustRightInd w:val="0"/>
              <w:snapToGrid w:val="0"/>
              <w:ind w:firstLineChars="0" w:firstLine="0"/>
              <w:jc w:val="center"/>
              <w:rPr>
                <w:rFonts w:cs="Times New Roman"/>
                <w:kern w:val="0"/>
                <w:sz w:val="24"/>
                <w:szCs w:val="24"/>
              </w:rPr>
            </w:pPr>
            <w:r>
              <w:rPr>
                <w:rFonts w:cs="Times New Roman" w:hint="eastAsia"/>
                <w:kern w:val="0"/>
                <w:sz w:val="24"/>
                <w:szCs w:val="24"/>
              </w:rPr>
              <w:t>镇</w:t>
            </w:r>
          </w:p>
        </w:tc>
        <w:tc>
          <w:tcPr>
            <w:tcW w:w="7734" w:type="dxa"/>
            <w:vAlign w:val="center"/>
          </w:tcPr>
          <w:p>
            <w:pPr>
              <w:adjustRightInd w:val="0"/>
              <w:snapToGrid w:val="0"/>
              <w:ind w:firstLineChars="0" w:firstLine="0"/>
              <w:rPr>
                <w:rFonts w:cs="Times New Roman"/>
                <w:kern w:val="0"/>
                <w:sz w:val="24"/>
                <w:szCs w:val="24"/>
              </w:rPr>
            </w:pPr>
            <w:r>
              <w:rPr>
                <w:rFonts w:cs="Times New Roman" w:hint="eastAsia"/>
                <w:kern w:val="0"/>
                <w:sz w:val="24"/>
                <w:szCs w:val="24"/>
              </w:rPr>
              <w:t>珞璜镇、白沙镇、油溪镇、李市镇、先锋镇、慈云镇、杜市镇、石蟆镇、蔡家镇、吴滩镇、贾嗣镇、永兴镇、龙华镇、石门镇、柏林镇、朱杨镇、嘉平镇、中山镇、塘河镇、西湖镇、夏坝镇、广兴镇、四面山镇、四屏镇、支坪镇</w:t>
            </w:r>
          </w:p>
        </w:tc>
      </w:tr>
    </w:tbl>
    <w:p>
      <w:pPr>
        <w:pStyle w:val="1"/>
        <w:ind w:firstLineChars="200" w:firstLine="634"/>
        <w:jc w:val="both"/>
        <w:rPr>
          <w:rFonts w:ascii="FZKai-Z03" w:eastAsia="FZKai-Z03" w:hAnsi="FZKai-Z03"/>
          <w:sz w:val="32"/>
          <w:szCs w:val="32"/>
        </w:rPr>
      </w:pPr>
      <w:bookmarkStart w:id="12" w:name="_Toc109310867"/>
      <w:r>
        <w:rPr>
          <w:rFonts w:ascii="FZKai-Z03" w:eastAsia="FZKai-Z03" w:hAnsi="FZKai-Z03" w:hint="eastAsia"/>
          <w:sz w:val="32"/>
          <w:szCs w:val="32"/>
        </w:rPr>
        <w:t>（四）规划目标和指标</w:t>
      </w:r>
      <w:bookmarkEnd w:id="12"/>
    </w:p>
    <w:p>
      <w:pPr>
        <w:rPr>
          <w:sz w:val="32"/>
          <w:szCs w:val="32"/>
        </w:rPr>
      </w:pPr>
      <w:r>
        <w:rPr>
          <w:sz w:val="32"/>
          <w:szCs w:val="32"/>
        </w:rPr>
        <w:t>以</w:t>
      </w:r>
      <w:r>
        <w:rPr>
          <w:rFonts w:hint="eastAsia"/>
          <w:sz w:val="32"/>
          <w:szCs w:val="32"/>
        </w:rPr>
        <w:t>江津区“</w:t>
      </w:r>
      <w:r>
        <w:rPr>
          <w:sz w:val="32"/>
          <w:szCs w:val="32"/>
        </w:rPr>
        <w:t>无废城市</w:t>
      </w:r>
      <w:r>
        <w:rPr>
          <w:rFonts w:hint="eastAsia"/>
          <w:sz w:val="32"/>
          <w:szCs w:val="32"/>
        </w:rPr>
        <w:t>”</w:t>
      </w:r>
      <w:r>
        <w:rPr>
          <w:sz w:val="32"/>
          <w:szCs w:val="32"/>
        </w:rPr>
        <w:t>建设为</w:t>
      </w:r>
      <w:r>
        <w:rPr>
          <w:rFonts w:hint="eastAsia"/>
          <w:sz w:val="32"/>
          <w:szCs w:val="32"/>
        </w:rPr>
        <w:t>蓝本</w:t>
      </w:r>
      <w:r>
        <w:rPr>
          <w:sz w:val="32"/>
          <w:szCs w:val="32"/>
        </w:rPr>
        <w:t>，以改善环境质量为核心，</w:t>
      </w:r>
      <w:r>
        <w:rPr>
          <w:rFonts w:hint="eastAsia"/>
          <w:sz w:val="32"/>
          <w:szCs w:val="32"/>
        </w:rPr>
        <w:t>积极开展工业固体废物源头减量，持续提升工业固体废物资源化利用水平，加快推进工业固体废物回收体系建设和处置能力建设，不断提高工业固体废物管理系统化、科学化、法制化、精细化、信息化水平，最终实现工业固体废物产生量最小、资源化利用充分、处置安全的目标，切实保障江津区生态环境安全。</w:t>
      </w:r>
    </w:p>
    <w:p>
      <w:pPr>
        <w:rPr>
          <w:sz w:val="32"/>
          <w:szCs w:val="32"/>
        </w:rPr>
      </w:pPr>
      <w:r>
        <w:rPr>
          <w:rFonts w:hint="eastAsia"/>
          <w:sz w:val="32"/>
          <w:szCs w:val="32"/>
        </w:rPr>
        <w:t>——</w:t>
      </w:r>
      <w:r>
        <w:rPr>
          <w:sz w:val="32"/>
          <w:szCs w:val="32"/>
        </w:rPr>
        <w:t>到2025年，工业固体废物产生强度实现</w:t>
      </w:r>
      <w:r>
        <w:rPr>
          <w:rFonts w:hint="eastAsia"/>
          <w:sz w:val="32"/>
          <w:szCs w:val="32"/>
        </w:rPr>
        <w:t>零增长或</w:t>
      </w:r>
      <w:r>
        <w:rPr>
          <w:sz w:val="32"/>
          <w:szCs w:val="32"/>
        </w:rPr>
        <w:t>负增长，</w:t>
      </w:r>
      <w:r>
        <w:rPr>
          <w:rFonts w:hint="eastAsia"/>
          <w:sz w:val="32"/>
          <w:szCs w:val="32"/>
        </w:rPr>
        <w:t>工业固体废物分类收集体系全面覆盖完善，</w:t>
      </w:r>
      <w:r>
        <w:rPr>
          <w:sz w:val="32"/>
          <w:szCs w:val="32"/>
        </w:rPr>
        <w:t>一般工业固体废物综合利用率达到88%</w:t>
      </w:r>
      <w:r>
        <w:rPr>
          <w:rFonts w:hint="eastAsia"/>
          <w:sz w:val="32"/>
          <w:szCs w:val="32"/>
        </w:rPr>
        <w:t>以上</w:t>
      </w:r>
      <w:r>
        <w:rPr>
          <w:sz w:val="32"/>
          <w:szCs w:val="32"/>
        </w:rPr>
        <w:t>，</w:t>
      </w:r>
      <w:r>
        <w:rPr>
          <w:rFonts w:hint="eastAsia"/>
          <w:sz w:val="32"/>
          <w:szCs w:val="32"/>
        </w:rPr>
        <w:t>固废倾倒事件基本杜绝</w:t>
      </w:r>
      <w:r>
        <w:rPr>
          <w:sz w:val="32"/>
          <w:szCs w:val="32"/>
        </w:rPr>
        <w:t>。</w:t>
      </w:r>
    </w:p>
    <w:p>
      <w:pPr>
        <w:rPr>
          <w:sz w:val="32"/>
          <w:szCs w:val="32"/>
        </w:rPr>
      </w:pPr>
      <w:r>
        <w:rPr>
          <w:rFonts w:hint="eastAsia"/>
          <w:sz w:val="32"/>
          <w:szCs w:val="32"/>
        </w:rPr>
        <w:t>——</w:t>
      </w:r>
      <w:r>
        <w:rPr>
          <w:sz w:val="32"/>
          <w:szCs w:val="32"/>
        </w:rPr>
        <w:t>到2035年，工业固体废物管理水平达到国内领先，工业固体废物综合利用产业高质量发展新格局基本形成，</w:t>
      </w:r>
      <w:r>
        <w:rPr>
          <w:rFonts w:hint="eastAsia"/>
          <w:sz w:val="32"/>
          <w:szCs w:val="32"/>
        </w:rPr>
        <w:t>工业固体废物填埋量持续下降，</w:t>
      </w:r>
      <w:r>
        <w:rPr>
          <w:sz w:val="32"/>
          <w:szCs w:val="32"/>
        </w:rPr>
        <w:t>人民群众生态环境满意程度不断提高。</w:t>
      </w:r>
      <w:r>
        <w:rPr>
          <w:rFonts w:ascii="FZKai-Z03" w:eastAsia="FZKai-Z03" w:cs="宋体" w:hAnsi="FZKai-Z03" w:hint="eastAsia"/>
          <w:sz w:val="32"/>
          <w:szCs w:val="32"/>
        </w:rPr>
        <w:t xml:space="preserve"> </w:t>
      </w:r>
    </w:p>
    <w:p>
      <w:pPr>
        <w:rPr>
          <w:sz w:val="32"/>
          <w:szCs w:val="32"/>
        </w:rPr>
      </w:pPr>
      <w:r>
        <w:rPr>
          <w:rFonts w:hint="eastAsia"/>
          <w:sz w:val="32"/>
          <w:szCs w:val="32"/>
        </w:rPr>
        <w:t>根据江津区工业固体废物情况</w:t>
      </w:r>
      <w:r>
        <w:rPr>
          <w:sz w:val="32"/>
          <w:szCs w:val="32"/>
        </w:rPr>
        <w:t>，</w:t>
      </w:r>
      <w:r>
        <w:rPr>
          <w:rFonts w:hint="eastAsia"/>
          <w:sz w:val="32"/>
          <w:szCs w:val="32"/>
        </w:rPr>
        <w:t>江津区“</w:t>
      </w:r>
      <w:r>
        <w:rPr>
          <w:sz w:val="32"/>
          <w:szCs w:val="32"/>
        </w:rPr>
        <w:t>十四五</w:t>
      </w:r>
      <w:r>
        <w:rPr>
          <w:rFonts w:hint="eastAsia"/>
          <w:sz w:val="32"/>
          <w:szCs w:val="32"/>
        </w:rPr>
        <w:t>”</w:t>
      </w:r>
      <w:r>
        <w:rPr>
          <w:sz w:val="32"/>
          <w:szCs w:val="32"/>
        </w:rPr>
        <w:t>工业固体废物污染</w:t>
      </w:r>
      <w:r>
        <w:rPr>
          <w:rFonts w:hint="eastAsia"/>
          <w:sz w:val="32"/>
          <w:szCs w:val="32"/>
        </w:rPr>
        <w:t>环境</w:t>
      </w:r>
      <w:r>
        <w:rPr>
          <w:sz w:val="32"/>
          <w:szCs w:val="32"/>
        </w:rPr>
        <w:t>防治具体指标为</w:t>
      </w:r>
      <w:r>
        <w:rPr>
          <w:rFonts w:hint="eastAsia"/>
          <w:sz w:val="32"/>
          <w:szCs w:val="32"/>
        </w:rPr>
        <w:t>下表所示（指标解释详见附件1）。</w:t>
      </w:r>
    </w:p>
    <w:p>
      <w:pPr>
        <w:ind w:firstLineChars="0" w:firstLine="0"/>
        <w:jc w:val="center"/>
        <w:rPr>
          <w:rFonts w:ascii="FZFangSong-Z02" w:hAnsi="FZFangSong-Z02"/>
          <w:sz w:val="28"/>
          <w:szCs w:val="28"/>
        </w:rPr>
      </w:pPr>
      <w:r>
        <w:rPr>
          <w:rFonts w:ascii="FZFangSong-Z02" w:hAnsi="FZFangSong-Z02"/>
          <w:sz w:val="28"/>
          <w:szCs w:val="28"/>
        </w:rPr>
        <w:t>表2</w:t>
      </w:r>
      <w:r>
        <w:rPr>
          <w:rFonts w:ascii="FZFangSong-Z02" w:hAnsi="FZFangSong-Z02" w:hint="eastAsia"/>
          <w:sz w:val="28"/>
          <w:szCs w:val="28"/>
        </w:rPr>
        <w:t xml:space="preserve"> “</w:t>
      </w:r>
      <w:r>
        <w:rPr>
          <w:rFonts w:ascii="FZFangSong-Z02" w:hAnsi="FZFangSong-Z02"/>
          <w:sz w:val="28"/>
          <w:szCs w:val="28"/>
        </w:rPr>
        <w:t>十四五</w:t>
      </w:r>
      <w:r>
        <w:rPr>
          <w:rFonts w:ascii="FZFangSong-Z02" w:hAnsi="FZFangSong-Z02" w:hint="eastAsia"/>
          <w:sz w:val="28"/>
          <w:szCs w:val="28"/>
        </w:rPr>
        <w:t>”</w:t>
      </w:r>
      <w:r>
        <w:rPr>
          <w:rFonts w:ascii="FZFangSong-Z02" w:hAnsi="FZFangSong-Z02"/>
          <w:sz w:val="28"/>
          <w:szCs w:val="28"/>
        </w:rPr>
        <w:t>工业固体废物污染</w:t>
      </w:r>
      <w:r>
        <w:rPr>
          <w:rFonts w:ascii="FZFangSong-Z02" w:hAnsi="FZFangSong-Z02" w:hint="eastAsia"/>
          <w:sz w:val="28"/>
          <w:szCs w:val="28"/>
        </w:rPr>
        <w:t>环境</w:t>
      </w:r>
      <w:r>
        <w:rPr>
          <w:rFonts w:ascii="FZFangSong-Z02" w:hAnsi="FZFangSong-Z02"/>
          <w:sz w:val="28"/>
          <w:szCs w:val="28"/>
        </w:rPr>
        <w:t>防治指标</w:t>
      </w:r>
      <w:r>
        <w:rPr>
          <w:rFonts w:ascii="FZFangSong-Z02" w:hAnsi="FZFangSong-Z02" w:hint="eastAsia"/>
          <w:sz w:val="28"/>
          <w:szCs w:val="28"/>
        </w:rPr>
        <w:t>与目标设置</w:t>
      </w:r>
    </w:p>
    <w:tbl>
      <w:tblPr>
        <w:jc w:val="center"/>
        <w:tblW w:w="7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36"/>
        <w:gridCol w:w="1741"/>
        <w:gridCol w:w="1759"/>
        <w:gridCol w:w="15"/>
      </w:tblGrid>
      <w:tr>
        <w:trPr>
          <w:trHeight w:val="944"/>
          <w:gridAfter w:val="1"/>
          <w:wAfter w:w="15" w:type="dxa"/>
        </w:trPr>
        <w:tc>
          <w:tcPr>
            <w:tcW w:w="4436" w:type="dxa"/>
            <w:vAlign w:val="center"/>
          </w:tcPr>
          <w:p>
            <w:pPr>
              <w:adjustRightInd w:val="0"/>
              <w:snapToGrid w:val="0"/>
              <w:spacing w:line="360" w:lineRule="exact"/>
              <w:ind w:firstLineChars="0" w:firstLine="0"/>
              <w:jc w:val="center"/>
              <w:rPr>
                <w:rFonts w:ascii="FZFangSong-Z02" w:cs="Times New Roman" w:hAnsi="FZFangSong-Z02"/>
                <w:b/>
                <w:bCs/>
                <w:sz w:val="24"/>
                <w:szCs w:val="24"/>
              </w:rPr>
            </w:pPr>
            <w:r>
              <w:rPr>
                <w:rFonts w:ascii="FZFangSong-Z02" w:cs="Times New Roman" w:hAnsi="FZFangSong-Z02" w:hint="eastAsia"/>
                <w:b/>
                <w:bCs/>
                <w:sz w:val="24"/>
                <w:szCs w:val="24"/>
              </w:rPr>
              <w:t>指标名称</w:t>
            </w:r>
          </w:p>
        </w:tc>
        <w:tc>
          <w:tcPr>
            <w:tcW w:w="1741" w:type="dxa"/>
            <w:vAlign w:val="center"/>
          </w:tcPr>
          <w:p>
            <w:pPr>
              <w:adjustRightInd w:val="0"/>
              <w:snapToGrid w:val="0"/>
              <w:spacing w:line="360" w:lineRule="exact"/>
              <w:ind w:firstLineChars="0" w:firstLine="0"/>
              <w:jc w:val="center"/>
              <w:rPr>
                <w:rFonts w:ascii="FZFangSong-Z02" w:cs="Times New Roman" w:hAnsi="FZFangSong-Z02"/>
                <w:b/>
                <w:bCs/>
                <w:sz w:val="24"/>
                <w:szCs w:val="24"/>
              </w:rPr>
            </w:pPr>
            <w:r>
              <w:rPr>
                <w:rFonts w:ascii="FZFangSong-Z02" w:cs="Times New Roman" w:hAnsi="FZFangSong-Z02" w:hint="eastAsia"/>
                <w:b/>
                <w:bCs/>
                <w:sz w:val="24"/>
                <w:szCs w:val="24"/>
              </w:rPr>
              <w:t>现状值</w:t>
            </w:r>
          </w:p>
          <w:p>
            <w:pPr>
              <w:adjustRightInd w:val="0"/>
              <w:snapToGrid w:val="0"/>
              <w:spacing w:line="360" w:lineRule="exact"/>
              <w:ind w:firstLineChars="0" w:firstLine="0"/>
              <w:jc w:val="center"/>
              <w:rPr>
                <w:rFonts w:ascii="FZFangSong-Z02" w:cs="Times New Roman" w:hAnsi="FZFangSong-Z02"/>
                <w:b/>
                <w:bCs/>
                <w:sz w:val="24"/>
                <w:szCs w:val="24"/>
              </w:rPr>
            </w:pPr>
            <w:r>
              <w:rPr>
                <w:rFonts w:ascii="FZFangSong-Z02" w:cs="Times New Roman" w:hAnsi="FZFangSong-Z02" w:hint="eastAsia"/>
                <w:b/>
                <w:bCs/>
                <w:sz w:val="24"/>
                <w:szCs w:val="24"/>
              </w:rPr>
              <w:t>2020年</w:t>
            </w:r>
          </w:p>
        </w:tc>
        <w:tc>
          <w:tcPr>
            <w:tcW w:w="1759" w:type="dxa"/>
            <w:vAlign w:val="center"/>
          </w:tcPr>
          <w:p>
            <w:pPr>
              <w:adjustRightInd w:val="0"/>
              <w:snapToGrid w:val="0"/>
              <w:spacing w:line="360" w:lineRule="exact"/>
              <w:ind w:firstLineChars="0" w:firstLine="0"/>
              <w:jc w:val="center"/>
              <w:rPr>
                <w:rFonts w:ascii="FZFangSong-Z02" w:cs="Times New Roman" w:hAnsi="FZFangSong-Z02"/>
                <w:b/>
                <w:bCs/>
                <w:sz w:val="24"/>
                <w:szCs w:val="24"/>
              </w:rPr>
            </w:pPr>
            <w:r>
              <w:rPr>
                <w:rFonts w:ascii="FZFangSong-Z02" w:cs="Times New Roman" w:hAnsi="FZFangSong-Z02" w:hint="eastAsia"/>
                <w:b/>
                <w:bCs/>
                <w:sz w:val="24"/>
                <w:szCs w:val="24"/>
              </w:rPr>
              <w:t>规划目标</w:t>
            </w:r>
          </w:p>
          <w:p>
            <w:pPr>
              <w:adjustRightInd w:val="0"/>
              <w:snapToGrid w:val="0"/>
              <w:spacing w:line="360" w:lineRule="exact"/>
              <w:ind w:firstLineChars="0" w:firstLine="0"/>
              <w:jc w:val="center"/>
              <w:rPr>
                <w:rFonts w:ascii="FZFangSong-Z02" w:cs="Times New Roman" w:hAnsi="FZFangSong-Z02"/>
                <w:b/>
                <w:bCs/>
                <w:sz w:val="24"/>
                <w:szCs w:val="24"/>
              </w:rPr>
            </w:pPr>
            <w:r>
              <w:rPr>
                <w:rFonts w:ascii="FZFangSong-Z02" w:cs="Times New Roman" w:hAnsi="FZFangSong-Z02" w:hint="eastAsia"/>
                <w:b/>
                <w:bCs/>
                <w:sz w:val="24"/>
                <w:szCs w:val="24"/>
              </w:rPr>
              <w:t>2025年</w:t>
            </w:r>
          </w:p>
        </w:tc>
      </w:tr>
      <w:tr>
        <w:trPr>
          <w:trHeight w:val="480"/>
        </w:trPr>
        <w:tc>
          <w:tcPr>
            <w:tcW w:w="7951" w:type="dxa"/>
            <w:gridSpan w:val="4"/>
            <w:vAlign w:val="center"/>
          </w:tcPr>
          <w:p>
            <w:pPr>
              <w:adjustRightInd w:val="0"/>
              <w:snapToGrid w:val="0"/>
              <w:spacing w:line="360" w:lineRule="exact"/>
              <w:ind w:firstLineChars="0" w:firstLine="0"/>
              <w:jc w:val="left"/>
              <w:rPr>
                <w:rFonts w:ascii="FZKai-Z03" w:eastAsia="FZKai-Z03" w:cs="Times New Roman" w:hAnsi="FZKai-Z03"/>
                <w:kern w:val="0"/>
                <w:sz w:val="24"/>
                <w:szCs w:val="24"/>
              </w:rPr>
            </w:pPr>
            <w:r>
              <w:rPr>
                <w:rFonts w:ascii="FZKai-Z03" w:eastAsia="FZKai-Z03" w:cs="Times New Roman" w:hAnsi="FZKai-Z03" w:hint="eastAsia"/>
                <w:sz w:val="24"/>
                <w:szCs w:val="24"/>
              </w:rPr>
              <w:t>（一）源头减量指标</w:t>
            </w:r>
          </w:p>
        </w:tc>
      </w:tr>
      <w:tr>
        <w:trPr>
          <w:trHeight w:val="480"/>
          <w:gridAfter w:val="1"/>
          <w:wAfter w:w="15" w:type="dxa"/>
        </w:trPr>
        <w:tc>
          <w:tcPr>
            <w:tcW w:w="4436" w:type="dxa"/>
            <w:vAlign w:val="center"/>
          </w:tcPr>
          <w:p>
            <w:pPr>
              <w:adjustRightInd w:val="0"/>
              <w:snapToGrid w:val="0"/>
              <w:spacing w:line="360" w:lineRule="exact"/>
              <w:ind w:firstLineChars="0" w:firstLine="0"/>
              <w:jc w:val="left"/>
              <w:rPr>
                <w:rFonts w:eastAsia="FangSong" w:cs="Times New Roman"/>
                <w:kern w:val="0"/>
                <w:sz w:val="24"/>
                <w:szCs w:val="24"/>
              </w:rPr>
            </w:pPr>
            <w:r>
              <w:rPr>
                <w:rFonts w:eastAsia="FangSong" w:cs="Times New Roman" w:hint="eastAsia"/>
                <w:kern w:val="0"/>
                <w:sz w:val="24"/>
                <w:szCs w:val="24"/>
              </w:rPr>
              <w:t>1</w:t>
            </w:r>
            <w:r>
              <w:rPr>
                <w:rFonts w:eastAsia="FangSong" w:cs="Times New Roman"/>
                <w:kern w:val="0"/>
                <w:sz w:val="24"/>
                <w:szCs w:val="24"/>
              </w:rPr>
              <w:t>.</w:t>
            </w:r>
            <w:r>
              <w:rPr>
                <w:rFonts w:eastAsia="FangSong" w:cs="Times New Roman" w:hint="eastAsia"/>
                <w:kern w:val="0"/>
                <w:sz w:val="24"/>
                <w:szCs w:val="24"/>
              </w:rPr>
              <w:t>工业固体废物产生强度</w:t>
            </w:r>
          </w:p>
        </w:tc>
        <w:tc>
          <w:tcPr>
            <w:tcW w:w="1741" w:type="dxa"/>
            <w:vAlign w:val="center"/>
          </w:tcPr>
          <w:p>
            <w:pPr>
              <w:adjustRightInd w:val="0"/>
              <w:snapToGrid w:val="0"/>
              <w:spacing w:line="360" w:lineRule="exact"/>
              <w:ind w:firstLineChars="0" w:firstLine="0"/>
              <w:jc w:val="center"/>
              <w:rPr>
                <w:rFonts w:eastAsia="FangSong" w:cs="Times New Roman"/>
                <w:kern w:val="0"/>
                <w:sz w:val="24"/>
                <w:szCs w:val="24"/>
              </w:rPr>
            </w:pPr>
            <w:r>
              <w:rPr>
                <w:rFonts w:eastAsia="FangSong" w:cs="Times New Roman" w:hint="eastAsia"/>
                <w:kern w:val="0"/>
                <w:sz w:val="24"/>
                <w:szCs w:val="24"/>
              </w:rPr>
              <w:t>0</w:t>
            </w:r>
            <w:r>
              <w:rPr>
                <w:rFonts w:eastAsia="FangSong" w:cs="Times New Roman"/>
                <w:kern w:val="0"/>
                <w:sz w:val="24"/>
                <w:szCs w:val="24"/>
              </w:rPr>
              <w:t>.49</w:t>
            </w:r>
            <w:r>
              <w:rPr>
                <w:rFonts w:eastAsia="FangSong" w:cs="Times New Roman" w:hint="eastAsia"/>
                <w:kern w:val="0"/>
                <w:sz w:val="24"/>
                <w:szCs w:val="24"/>
              </w:rPr>
              <w:t>吨/万元</w:t>
            </w:r>
          </w:p>
        </w:tc>
        <w:tc>
          <w:tcPr>
            <w:tcW w:w="1759" w:type="dxa"/>
            <w:vAlign w:val="center"/>
          </w:tcPr>
          <w:p>
            <w:pPr>
              <w:adjustRightInd w:val="0"/>
              <w:snapToGrid w:val="0"/>
              <w:spacing w:line="360" w:lineRule="exact"/>
              <w:ind w:firstLineChars="0" w:firstLine="0"/>
              <w:jc w:val="center"/>
              <w:rPr>
                <w:rFonts w:eastAsia="FangSong_GB2312" w:cs="Times New Roman"/>
                <w:b/>
                <w:bCs/>
                <w:sz w:val="24"/>
                <w:szCs w:val="24"/>
              </w:rPr>
            </w:pPr>
            <w:r>
              <w:rPr>
                <w:rFonts w:eastAsia="FangSong" w:cs="Times New Roman" w:hint="eastAsia"/>
                <w:kern w:val="0"/>
                <w:sz w:val="24"/>
                <w:szCs w:val="24"/>
              </w:rPr>
              <w:t>≤0</w:t>
            </w:r>
            <w:r>
              <w:rPr>
                <w:rFonts w:eastAsia="FangSong" w:cs="Times New Roman"/>
                <w:kern w:val="0"/>
                <w:sz w:val="24"/>
                <w:szCs w:val="24"/>
              </w:rPr>
              <w:t>.48</w:t>
            </w:r>
            <w:r>
              <w:rPr>
                <w:rFonts w:eastAsia="FangSong" w:cs="Times New Roman" w:hint="eastAsia"/>
                <w:kern w:val="0"/>
                <w:sz w:val="24"/>
                <w:szCs w:val="24"/>
              </w:rPr>
              <w:t>吨/万元</w:t>
            </w:r>
          </w:p>
        </w:tc>
      </w:tr>
      <w:tr>
        <w:trPr>
          <w:trHeight w:val="480"/>
        </w:trPr>
        <w:tc>
          <w:tcPr>
            <w:tcW w:w="7951" w:type="dxa"/>
            <w:gridSpan w:val="4"/>
            <w:vAlign w:val="center"/>
          </w:tcPr>
          <w:p>
            <w:pPr>
              <w:adjustRightInd w:val="0"/>
              <w:snapToGrid w:val="0"/>
              <w:spacing w:line="360" w:lineRule="exact"/>
              <w:ind w:firstLineChars="0" w:firstLine="0"/>
              <w:jc w:val="left"/>
              <w:rPr>
                <w:rFonts w:eastAsia="FangSong" w:cs="Times New Roman"/>
                <w:kern w:val="0"/>
                <w:sz w:val="24"/>
                <w:szCs w:val="24"/>
              </w:rPr>
            </w:pPr>
            <w:r>
              <w:rPr>
                <w:rFonts w:ascii="FZKai-Z03" w:eastAsia="FZKai-Z03" w:cs="Times New Roman" w:hAnsi="FZKai-Z03" w:hint="eastAsia"/>
                <w:sz w:val="24"/>
                <w:szCs w:val="24"/>
              </w:rPr>
              <w:t>（二）</w:t>
            </w:r>
            <w:r>
              <w:rPr>
                <w:rFonts w:ascii="FZKai-Z03" w:eastAsia="FZKai-Z03" w:cs="Times New Roman" w:hAnsi="FZKai-Z03"/>
                <w:sz w:val="24"/>
                <w:szCs w:val="24"/>
              </w:rPr>
              <w:t>资源化</w:t>
            </w:r>
            <w:r>
              <w:rPr>
                <w:rFonts w:ascii="FZKai-Z03" w:eastAsia="FZKai-Z03" w:cs="Times New Roman" w:hAnsi="FZKai-Z03" w:hint="eastAsia"/>
                <w:sz w:val="24"/>
                <w:szCs w:val="24"/>
              </w:rPr>
              <w:t>利用指标</w:t>
            </w:r>
          </w:p>
        </w:tc>
      </w:tr>
      <w:tr>
        <w:trPr>
          <w:trHeight w:val="480"/>
          <w:gridAfter w:val="1"/>
          <w:wAfter w:w="15" w:type="dxa"/>
        </w:trPr>
        <w:tc>
          <w:tcPr>
            <w:tcW w:w="4436" w:type="dxa"/>
            <w:vAlign w:val="center"/>
          </w:tcPr>
          <w:p>
            <w:pPr>
              <w:adjustRightInd w:val="0"/>
              <w:snapToGrid w:val="0"/>
              <w:spacing w:line="360" w:lineRule="exact"/>
              <w:ind w:firstLineChars="0" w:firstLine="0"/>
              <w:jc w:val="left"/>
              <w:rPr>
                <w:rFonts w:eastAsia="FangSong" w:cs="Times New Roman"/>
                <w:kern w:val="0"/>
                <w:sz w:val="24"/>
                <w:szCs w:val="24"/>
              </w:rPr>
            </w:pPr>
            <w:r>
              <w:rPr>
                <w:rFonts w:eastAsia="FangSong" w:cs="Times New Roman"/>
                <w:kern w:val="0"/>
                <w:sz w:val="24"/>
                <w:szCs w:val="24"/>
              </w:rPr>
              <w:t>2.</w:t>
            </w:r>
            <w:r>
              <w:rPr>
                <w:rFonts w:eastAsia="FangSong" w:cs="Times New Roman" w:hint="eastAsia"/>
                <w:kern w:val="0"/>
                <w:sz w:val="24"/>
                <w:szCs w:val="24"/>
              </w:rPr>
              <w:t>一般工业固体废物综合利用率</w:t>
            </w:r>
          </w:p>
        </w:tc>
        <w:tc>
          <w:tcPr>
            <w:tcW w:w="1741" w:type="dxa"/>
            <w:vAlign w:val="center"/>
          </w:tcPr>
          <w:p>
            <w:pPr>
              <w:adjustRightInd w:val="0"/>
              <w:snapToGrid w:val="0"/>
              <w:spacing w:line="360" w:lineRule="exact"/>
              <w:ind w:firstLineChars="0" w:firstLine="0"/>
              <w:jc w:val="center"/>
              <w:rPr>
                <w:rFonts w:eastAsia="FangSong" w:cs="Times New Roman"/>
                <w:kern w:val="0"/>
                <w:sz w:val="24"/>
                <w:szCs w:val="24"/>
              </w:rPr>
            </w:pPr>
            <w:r>
              <w:rPr>
                <w:rFonts w:eastAsia="FangSong" w:cs="Times New Roman" w:hint="eastAsia"/>
                <w:kern w:val="0"/>
                <w:sz w:val="24"/>
                <w:szCs w:val="24"/>
              </w:rPr>
              <w:t>8</w:t>
            </w:r>
            <w:r>
              <w:rPr>
                <w:rFonts w:eastAsia="FangSong" w:cs="Times New Roman"/>
                <w:kern w:val="0"/>
                <w:sz w:val="24"/>
                <w:szCs w:val="24"/>
              </w:rPr>
              <w:t>6.69</w:t>
            </w:r>
            <w:r>
              <w:rPr>
                <w:rFonts w:eastAsia="FangSong" w:cs="Times New Roman" w:hint="eastAsia"/>
                <w:kern w:val="0"/>
                <w:sz w:val="24"/>
                <w:szCs w:val="24"/>
              </w:rPr>
              <w:t>%</w:t>
            </w:r>
          </w:p>
        </w:tc>
        <w:tc>
          <w:tcPr>
            <w:tcW w:w="1759" w:type="dxa"/>
            <w:vAlign w:val="center"/>
          </w:tcPr>
          <w:p>
            <w:pPr>
              <w:adjustRightInd w:val="0"/>
              <w:snapToGrid w:val="0"/>
              <w:spacing w:line="360" w:lineRule="exact"/>
              <w:ind w:firstLineChars="0" w:firstLine="0"/>
              <w:jc w:val="center"/>
              <w:rPr>
                <w:rFonts w:eastAsia="FangSong_GB2312" w:cs="Times New Roman"/>
                <w:sz w:val="24"/>
                <w:szCs w:val="24"/>
              </w:rPr>
            </w:pPr>
            <w:r>
              <w:rPr>
                <w:rFonts w:eastAsia="FangSong_GB2312" w:cs="Times New Roman" w:hint="eastAsia"/>
                <w:sz w:val="24"/>
                <w:szCs w:val="24"/>
              </w:rPr>
              <w:t>8</w:t>
            </w:r>
            <w:r>
              <w:rPr>
                <w:rFonts w:eastAsia="FangSong_GB2312" w:cs="Times New Roman"/>
                <w:sz w:val="24"/>
                <w:szCs w:val="24"/>
              </w:rPr>
              <w:t>8</w:t>
            </w:r>
            <w:r>
              <w:rPr>
                <w:rFonts w:eastAsia="FangSong_GB2312" w:cs="Times New Roman" w:hint="eastAsia"/>
                <w:sz w:val="24"/>
                <w:szCs w:val="24"/>
              </w:rPr>
              <w:t>%</w:t>
            </w:r>
          </w:p>
        </w:tc>
      </w:tr>
      <w:tr>
        <w:trPr>
          <w:trHeight w:val="480"/>
        </w:trPr>
        <w:tc>
          <w:tcPr>
            <w:tcW w:w="7951" w:type="dxa"/>
            <w:gridSpan w:val="4"/>
            <w:vAlign w:val="center"/>
          </w:tcPr>
          <w:p>
            <w:pPr>
              <w:adjustRightInd w:val="0"/>
              <w:snapToGrid w:val="0"/>
              <w:spacing w:line="360" w:lineRule="exact"/>
              <w:ind w:firstLineChars="0" w:firstLine="0"/>
              <w:jc w:val="left"/>
              <w:rPr>
                <w:rFonts w:eastAsia="FangSong" w:cs="Times New Roman"/>
                <w:kern w:val="0"/>
                <w:sz w:val="24"/>
                <w:szCs w:val="24"/>
              </w:rPr>
            </w:pPr>
            <w:r>
              <w:rPr>
                <w:rFonts w:ascii="FZKai-Z03" w:eastAsia="FZKai-Z03" w:cs="Times New Roman" w:hAnsi="FZKai-Z03" w:hint="eastAsia"/>
                <w:sz w:val="24"/>
                <w:szCs w:val="24"/>
              </w:rPr>
              <w:t>（三）保障能力</w:t>
            </w:r>
            <w:r>
              <w:rPr>
                <w:rFonts w:ascii="FZKai-Z03" w:eastAsia="FZKai-Z03" w:cs="Times New Roman" w:hAnsi="FZKai-Z03"/>
                <w:sz w:val="24"/>
                <w:szCs w:val="24"/>
              </w:rPr>
              <w:t>指标</w:t>
            </w:r>
          </w:p>
        </w:tc>
      </w:tr>
      <w:tr>
        <w:trPr>
          <w:trHeight w:val="494"/>
          <w:gridAfter w:val="1"/>
          <w:wAfter w:w="15" w:type="dxa"/>
        </w:trPr>
        <w:tc>
          <w:tcPr>
            <w:tcW w:w="4436" w:type="dxa"/>
            <w:vAlign w:val="center"/>
          </w:tcPr>
          <w:p>
            <w:pPr>
              <w:adjustRightInd w:val="0"/>
              <w:snapToGrid w:val="0"/>
              <w:spacing w:line="360" w:lineRule="exact"/>
              <w:ind w:firstLineChars="0" w:firstLine="0"/>
              <w:jc w:val="left"/>
              <w:rPr>
                <w:rFonts w:eastAsia="FangSong" w:cs="Times New Roman"/>
                <w:kern w:val="0"/>
                <w:sz w:val="24"/>
                <w:szCs w:val="24"/>
              </w:rPr>
            </w:pPr>
            <w:r>
              <w:rPr>
                <w:rFonts w:eastAsia="FangSong" w:cs="Times New Roman"/>
                <w:kern w:val="0"/>
                <w:sz w:val="24"/>
                <w:szCs w:val="24"/>
              </w:rPr>
              <w:t>3.</w:t>
            </w:r>
            <w:r>
              <w:rPr>
                <w:rFonts w:eastAsia="FangSong" w:cs="Times New Roman" w:hint="eastAsia"/>
                <w:kern w:val="0"/>
                <w:sz w:val="24"/>
                <w:szCs w:val="24"/>
              </w:rPr>
              <w:t>危险废物规范化管理抽查合格率</w:t>
            </w:r>
          </w:p>
        </w:tc>
        <w:tc>
          <w:tcPr>
            <w:tcW w:w="1741" w:type="dxa"/>
            <w:vAlign w:val="center"/>
          </w:tcPr>
          <w:p>
            <w:pPr>
              <w:adjustRightInd w:val="0"/>
              <w:snapToGrid w:val="0"/>
              <w:spacing w:line="360" w:lineRule="exact"/>
              <w:ind w:firstLineChars="0" w:firstLine="0"/>
              <w:jc w:val="center"/>
              <w:rPr>
                <w:rFonts w:eastAsia="FangSong" w:cs="Times New Roman"/>
                <w:kern w:val="0"/>
                <w:sz w:val="24"/>
                <w:szCs w:val="24"/>
              </w:rPr>
            </w:pPr>
            <w:r>
              <w:rPr>
                <w:rFonts w:eastAsia="FangSong" w:cs="Times New Roman"/>
                <w:kern w:val="0"/>
                <w:sz w:val="24"/>
                <w:szCs w:val="24"/>
              </w:rPr>
              <w:t>95%（产废单位）、100% （经营单位）</w:t>
            </w:r>
          </w:p>
        </w:tc>
        <w:tc>
          <w:tcPr>
            <w:tcW w:w="1759" w:type="dxa"/>
            <w:vAlign w:val="center"/>
          </w:tcPr>
          <w:p>
            <w:pPr>
              <w:adjustRightInd w:val="0"/>
              <w:snapToGrid w:val="0"/>
              <w:spacing w:line="360" w:lineRule="exact"/>
              <w:ind w:firstLineChars="0" w:firstLine="0"/>
              <w:jc w:val="center"/>
              <w:rPr>
                <w:rFonts w:eastAsia="FangSong" w:cs="Times New Roman"/>
                <w:kern w:val="0"/>
                <w:sz w:val="24"/>
                <w:szCs w:val="24"/>
              </w:rPr>
            </w:pPr>
            <w:r>
              <w:rPr>
                <w:rFonts w:eastAsia="FangSong" w:cs="Times New Roman"/>
                <w:kern w:val="0"/>
                <w:sz w:val="24"/>
                <w:szCs w:val="24"/>
              </w:rPr>
              <w:t>95%（产废单位）、100% （经营单位）</w:t>
            </w:r>
          </w:p>
        </w:tc>
      </w:tr>
    </w:tbl>
    <w:p>
      <w:pPr>
        <w:pStyle w:val="1"/>
        <w:ind w:firstLineChars="200" w:firstLine="634"/>
        <w:jc w:val="both"/>
        <w:rPr>
          <w:rFonts w:ascii="FZHei-B01" w:eastAsia="FZHei-B01" w:hAnsi="FZHei-B01"/>
          <w:sz w:val="32"/>
          <w:szCs w:val="32"/>
        </w:rPr>
      </w:pPr>
      <w:bookmarkStart w:id="13" w:name="_Toc109310868"/>
      <w:r>
        <w:rPr>
          <w:rFonts w:ascii="FZHei-B01" w:eastAsia="FZHei-B01" w:hAnsi="FZHei-B01" w:hint="eastAsia"/>
          <w:sz w:val="32"/>
          <w:szCs w:val="32"/>
        </w:rPr>
        <w:t>三、主要任务</w:t>
      </w:r>
      <w:bookmarkEnd w:id="13"/>
    </w:p>
    <w:p>
      <w:pPr>
        <w:pStyle w:val="1"/>
        <w:ind w:firstLineChars="200" w:firstLine="634"/>
        <w:jc w:val="both"/>
        <w:rPr>
          <w:rFonts w:ascii="FZKai-Z03" w:eastAsia="FZKai-Z03" w:hAnsi="FZKai-Z03"/>
          <w:sz w:val="32"/>
          <w:szCs w:val="32"/>
        </w:rPr>
      </w:pPr>
      <w:bookmarkStart w:id="14" w:name="_Toc109310869"/>
      <w:r>
        <w:rPr>
          <w:rFonts w:ascii="FZKai-Z03" w:eastAsia="FZKai-Z03" w:hAnsi="FZKai-Z03" w:hint="eastAsia"/>
          <w:sz w:val="32"/>
          <w:szCs w:val="32"/>
        </w:rPr>
        <w:t>（一）推广源头减量工艺，促进工业产业升级</w:t>
      </w:r>
      <w:bookmarkEnd w:id="14"/>
    </w:p>
    <w:p>
      <w:pPr>
        <w:pStyle w:val="3"/>
        <w:rPr>
          <w:rFonts w:ascii="FZFangSong-Z02" w:eastAsia="FZFangSong-Z02" w:hAnsi="FZFangSong-Z02"/>
          <w:sz w:val="32"/>
        </w:rPr>
      </w:pPr>
      <w:r>
        <w:rPr>
          <w:rFonts w:ascii="FZFangSong-Z02" w:eastAsia="FZFangSong-Z02" w:hAnsi="FZFangSong-Z02" w:hint="eastAsia"/>
          <w:sz w:val="32"/>
        </w:rPr>
        <w:t>1</w:t>
      </w:r>
      <w:r>
        <w:rPr>
          <w:rFonts w:ascii="FZFangSong-Z02" w:eastAsia="FZFangSong-Z02" w:hAnsi="FZFangSong-Z02"/>
          <w:sz w:val="32"/>
        </w:rPr>
        <w:t>.</w:t>
      </w:r>
      <w:r>
        <w:rPr>
          <w:rFonts w:ascii="FZFangSong-Z02" w:eastAsia="FZFangSong-Z02" w:hAnsi="FZFangSong-Z02" w:hint="eastAsia"/>
          <w:sz w:val="32"/>
        </w:rPr>
        <w:t>强化工业固体废物环评审查</w:t>
      </w:r>
    </w:p>
    <w:p>
      <w:pPr>
        <w:rPr>
          <w:sz w:val="32"/>
          <w:szCs w:val="32"/>
        </w:rPr>
      </w:pPr>
      <w:r>
        <w:rPr>
          <w:rFonts w:hint="eastAsia"/>
          <w:sz w:val="32"/>
          <w:szCs w:val="32"/>
        </w:rPr>
        <w:t>落实生态保护红线、环境质量底线、资源利用上线硬约束，针对流域、区域、行业特点，聚焦突出问题和保护目标，实施生态环境分区管控。严格执行长江经济带发展负面清单、重庆市产业投资准入等规定，严控高污染、高环境风险项目和过剩产能项目上马。深化“放管服”改革，完善重大项目环评审批提前对接跟踪服务机制，拓展“网上办”“掌上办”政务服务。依法开展新改扩建项目环境影响评价，</w:t>
      </w:r>
      <w:r>
        <w:rPr>
          <w:sz w:val="32"/>
          <w:szCs w:val="32"/>
        </w:rPr>
        <w:t>新建项目严格执行《建设项目危险废物环境影响评价指南》及《危险废物处置工程技术导则》。</w:t>
      </w:r>
      <w:r>
        <w:rPr>
          <w:rFonts w:hint="eastAsia"/>
          <w:sz w:val="32"/>
          <w:szCs w:val="32"/>
        </w:rPr>
        <w:t>严格工业固体废物污染环境防治设施“三同时”管理，</w:t>
      </w:r>
      <w:r>
        <w:rPr>
          <w:sz w:val="32"/>
          <w:szCs w:val="32"/>
        </w:rPr>
        <w:t>强化工业固体废物污染</w:t>
      </w:r>
      <w:r>
        <w:rPr>
          <w:rFonts w:hint="eastAsia"/>
          <w:sz w:val="32"/>
          <w:szCs w:val="32"/>
        </w:rPr>
        <w:t>环境</w:t>
      </w:r>
      <w:r>
        <w:rPr>
          <w:sz w:val="32"/>
          <w:szCs w:val="32"/>
        </w:rPr>
        <w:t>防治内容审查，从严把关项目</w:t>
      </w:r>
      <w:r>
        <w:rPr>
          <w:rFonts w:hint="eastAsia"/>
          <w:sz w:val="32"/>
          <w:szCs w:val="32"/>
        </w:rPr>
        <w:t>的</w:t>
      </w:r>
      <w:r>
        <w:rPr>
          <w:sz w:val="32"/>
          <w:szCs w:val="32"/>
        </w:rPr>
        <w:t>固废类别、数量和处置去向，严格控制产生需填埋处置工业固体废物的建设项目。</w:t>
      </w:r>
    </w:p>
    <w:p>
      <w:pPr>
        <w:pStyle w:val="3"/>
        <w:rPr>
          <w:rFonts w:ascii="FZFangSong-Z02" w:eastAsia="FZFangSong-Z02" w:hAnsi="FZFangSong-Z02"/>
          <w:sz w:val="32"/>
        </w:rPr>
      </w:pPr>
      <w:r>
        <w:rPr>
          <w:rFonts w:ascii="FZFangSong-Z02" w:eastAsia="FZFangSong-Z02" w:hAnsi="FZFangSong-Z02" w:hint="eastAsia"/>
          <w:sz w:val="32"/>
        </w:rPr>
        <w:t>2</w:t>
      </w:r>
      <w:r>
        <w:rPr>
          <w:rFonts w:ascii="FZFangSong-Z02" w:eastAsia="FZFangSong-Z02" w:hAnsi="FZFangSong-Z02"/>
          <w:sz w:val="32"/>
        </w:rPr>
        <w:t>.</w:t>
      </w:r>
      <w:r>
        <w:rPr>
          <w:rFonts w:ascii="FZFangSong-Z02" w:eastAsia="FZFangSong-Z02" w:hAnsi="FZFangSong-Z02" w:hint="eastAsia"/>
          <w:sz w:val="32"/>
        </w:rPr>
        <w:t>深化产业升级优化工业生产力</w:t>
      </w:r>
    </w:p>
    <w:p>
      <w:pPr>
        <w:rPr>
          <w:sz w:val="32"/>
          <w:szCs w:val="32"/>
        </w:rPr>
      </w:pPr>
      <w:r>
        <w:rPr>
          <w:rFonts w:hint="eastAsia"/>
          <w:sz w:val="32"/>
          <w:szCs w:val="32"/>
        </w:rPr>
        <w:t>坚持工业集约集聚集中和转型升级，调整优化“一区四园”布局，理顺江津工业园区与西部（重庆</w:t>
      </w:r>
      <w:r>
        <w:rPr>
          <w:sz w:val="32"/>
          <w:szCs w:val="32"/>
        </w:rPr>
        <w:t>）</w:t>
      </w:r>
      <w:r>
        <w:rPr>
          <w:rFonts w:hint="eastAsia"/>
          <w:sz w:val="32"/>
          <w:szCs w:val="32"/>
        </w:rPr>
        <w:t>科学城（重庆高新区）、江津综合保税区、滨江新城的体制机制关系，适时调整优化江津工业园区未来发展重心。深入实施“中国制造2025”、“重庆市绿色制造2025”，促进造纸、汽车、电子、化工、铸造、建材、有色、涂装、包装印刷、印染等行业的升级改造和绿色转型</w:t>
      </w:r>
      <w:r>
        <w:rPr>
          <w:rFonts w:ascii="FZFangSong-Z02" w:hAnsi="FZFangSong-Z02" w:hint="eastAsia"/>
          <w:sz w:val="32"/>
          <w:szCs w:val="32"/>
          <w:u w:color="FF0000"/>
        </w:rPr>
        <w:t>，实施“一企一策”，制定绿色发展、低碳循环的综合整治方案</w:t>
      </w:r>
      <w:r>
        <w:rPr>
          <w:rFonts w:hint="eastAsia"/>
          <w:sz w:val="32"/>
          <w:szCs w:val="32"/>
        </w:rPr>
        <w:t>。到2</w:t>
      </w:r>
      <w:r>
        <w:rPr>
          <w:sz w:val="32"/>
          <w:szCs w:val="32"/>
        </w:rPr>
        <w:t>023</w:t>
      </w:r>
      <w:r>
        <w:rPr>
          <w:rFonts w:hint="eastAsia"/>
          <w:sz w:val="32"/>
          <w:szCs w:val="32"/>
        </w:rPr>
        <w:t>年，新增绿色工厂</w:t>
      </w:r>
      <w:r>
        <w:rPr>
          <w:sz w:val="32"/>
          <w:szCs w:val="32"/>
        </w:rPr>
        <w:t>3</w:t>
      </w:r>
      <w:r>
        <w:rPr>
          <w:rFonts w:hint="eastAsia"/>
          <w:sz w:val="32"/>
          <w:szCs w:val="32"/>
        </w:rPr>
        <w:t>个，到2</w:t>
      </w:r>
      <w:r>
        <w:rPr>
          <w:sz w:val="32"/>
          <w:szCs w:val="32"/>
        </w:rPr>
        <w:t>025</w:t>
      </w:r>
      <w:r>
        <w:rPr>
          <w:rFonts w:hint="eastAsia"/>
          <w:sz w:val="32"/>
          <w:szCs w:val="32"/>
        </w:rPr>
        <w:t>年，新增绿色工厂</w:t>
      </w:r>
      <w:r>
        <w:rPr>
          <w:sz w:val="32"/>
          <w:szCs w:val="32"/>
        </w:rPr>
        <w:t>10</w:t>
      </w:r>
      <w:r>
        <w:rPr>
          <w:rFonts w:hint="eastAsia"/>
          <w:sz w:val="32"/>
          <w:szCs w:val="32"/>
        </w:rPr>
        <w:t>个，力争创建绿色园区</w:t>
      </w:r>
      <w:r>
        <w:rPr>
          <w:sz w:val="32"/>
          <w:szCs w:val="32"/>
        </w:rPr>
        <w:t>1</w:t>
      </w:r>
      <w:r>
        <w:rPr>
          <w:rFonts w:hint="eastAsia"/>
          <w:sz w:val="32"/>
          <w:szCs w:val="32"/>
        </w:rPr>
        <w:t>个。</w:t>
      </w:r>
      <w:r>
        <w:rPr>
          <w:sz w:val="32"/>
          <w:szCs w:val="32"/>
        </w:rPr>
        <w:t>对全区企业空间布局、产业政策、排污情况进行摸排分析，对</w:t>
      </w:r>
      <w:r>
        <w:rPr>
          <w:rFonts w:hint="eastAsia"/>
          <w:sz w:val="32"/>
          <w:szCs w:val="32"/>
        </w:rPr>
        <w:t>产生工业固体废物</w:t>
      </w:r>
      <w:r>
        <w:rPr>
          <w:sz w:val="32"/>
          <w:szCs w:val="32"/>
        </w:rPr>
        <w:t>企业进行分类整治</w:t>
      </w:r>
      <w:r>
        <w:rPr>
          <w:rFonts w:hint="eastAsia"/>
          <w:sz w:val="32"/>
          <w:szCs w:val="32"/>
        </w:rPr>
        <w:t>，加快低效用地企业转型</w:t>
      </w:r>
      <w:r>
        <w:rPr>
          <w:sz w:val="32"/>
          <w:szCs w:val="32"/>
        </w:rPr>
        <w:t>。</w:t>
      </w:r>
      <w:r>
        <w:rPr>
          <w:rFonts w:hint="eastAsia"/>
          <w:sz w:val="32"/>
          <w:szCs w:val="32"/>
        </w:rPr>
        <w:t>到2</w:t>
      </w:r>
      <w:r>
        <w:rPr>
          <w:sz w:val="32"/>
          <w:szCs w:val="32"/>
        </w:rPr>
        <w:t>025</w:t>
      </w:r>
      <w:r>
        <w:rPr>
          <w:rFonts w:hint="eastAsia"/>
          <w:sz w:val="32"/>
          <w:szCs w:val="32"/>
        </w:rPr>
        <w:t>年，工业固体废物产生强度≤0</w:t>
      </w:r>
      <w:r>
        <w:rPr>
          <w:sz w:val="32"/>
          <w:szCs w:val="32"/>
        </w:rPr>
        <w:t>.48</w:t>
      </w:r>
      <w:r>
        <w:rPr>
          <w:rFonts w:hint="eastAsia"/>
          <w:sz w:val="32"/>
          <w:szCs w:val="32"/>
        </w:rPr>
        <w:t>吨/万元。</w:t>
      </w:r>
    </w:p>
    <w:p>
      <w:pPr>
        <w:pStyle w:val="3"/>
        <w:rPr>
          <w:rFonts w:ascii="FZFangSong-Z02" w:eastAsia="FZFangSong-Z02" w:hAnsi="FZFangSong-Z02"/>
          <w:sz w:val="32"/>
        </w:rPr>
      </w:pPr>
      <w:r>
        <w:rPr>
          <w:rFonts w:ascii="FZFangSong-Z02" w:eastAsia="FZFangSong-Z02" w:hAnsi="FZFangSong-Z02" w:hint="eastAsia"/>
          <w:sz w:val="32"/>
        </w:rPr>
        <w:t>3</w:t>
      </w:r>
      <w:r>
        <w:rPr>
          <w:rFonts w:ascii="FZFangSong-Z02" w:eastAsia="FZFangSong-Z02" w:hAnsi="FZFangSong-Z02"/>
          <w:sz w:val="32"/>
        </w:rPr>
        <w:t>.</w:t>
      </w:r>
      <w:r>
        <w:rPr>
          <w:rFonts w:ascii="FZFangSong-Z02" w:eastAsia="FZFangSong-Z02" w:hAnsi="FZFangSong-Z02" w:hint="eastAsia"/>
          <w:sz w:val="32"/>
        </w:rPr>
        <w:t>提升清洁生产水平</w:t>
      </w:r>
    </w:p>
    <w:p>
      <w:pPr>
        <w:rPr>
          <w:sz w:val="32"/>
          <w:szCs w:val="32"/>
        </w:rPr>
      </w:pPr>
      <w:r>
        <w:rPr>
          <w:rFonts w:cs="Times New Roman" w:hint="eastAsia"/>
          <w:sz w:val="32"/>
          <w:szCs w:val="32"/>
        </w:rPr>
        <w:t>依法公布强制性清洁生产审核名单，调查和诊断能耗高、物耗高、污染重的原因，实施清洁生产方案。</w:t>
      </w:r>
      <w:r>
        <w:rPr>
          <w:rFonts w:ascii="FZFangSong-Z02" w:hAnsi="FZFangSong-Z02" w:hint="eastAsia"/>
          <w:sz w:val="32"/>
          <w:szCs w:val="32"/>
          <w:u w:color="FF0000"/>
        </w:rPr>
        <w:t>聚焦电力、消费品、装备制造、汽摩、材料、电子等重点产业，推广清洁化生产工艺，实施清洁生产审核，</w:t>
      </w:r>
      <w:r>
        <w:rPr>
          <w:rFonts w:cs="Times New Roman" w:hint="eastAsia"/>
          <w:sz w:val="32"/>
          <w:szCs w:val="32"/>
        </w:rPr>
        <w:t>促进</w:t>
      </w:r>
      <w:r>
        <w:rPr>
          <w:rFonts w:cs="Times New Roman"/>
          <w:sz w:val="32"/>
          <w:szCs w:val="32"/>
        </w:rPr>
        <w:t>资源能源利用高效化。</w:t>
      </w:r>
      <w:r>
        <w:rPr>
          <w:rFonts w:hint="eastAsia"/>
          <w:sz w:val="32"/>
          <w:szCs w:val="32"/>
        </w:rPr>
        <w:t>“十四五”期间，强制性清洁生产工业企业完成率稳定1</w:t>
      </w:r>
      <w:r>
        <w:rPr>
          <w:sz w:val="32"/>
          <w:szCs w:val="32"/>
        </w:rPr>
        <w:t>00</w:t>
      </w:r>
      <w:r>
        <w:rPr>
          <w:rFonts w:hint="eastAsia"/>
          <w:sz w:val="32"/>
          <w:szCs w:val="32"/>
        </w:rPr>
        <w:t>%。探索</w:t>
      </w:r>
      <w:r>
        <w:rPr>
          <w:sz w:val="32"/>
          <w:szCs w:val="32"/>
        </w:rPr>
        <w:t>绿色设计和绿色供应链建设，促进固体废物减量和循环利用。</w:t>
      </w:r>
      <w:r>
        <w:rPr>
          <w:rFonts w:hint="eastAsia"/>
          <w:sz w:val="32"/>
          <w:szCs w:val="32"/>
        </w:rPr>
        <w:t>支持推广减少工业固体废物产生量和降低工业固体废物危害性的生产工艺和设备，促进从源头上减少工业固体废物产生量、降低危害性。</w:t>
      </w:r>
    </w:p>
    <w:p>
      <w:pPr>
        <w:pStyle w:val="3"/>
        <w:rPr>
          <w:rFonts w:ascii="FZFangSong-Z02" w:eastAsia="FZFangSong-Z02" w:hAnsi="FZFangSong-Z02"/>
          <w:sz w:val="32"/>
        </w:rPr>
      </w:pPr>
      <w:r>
        <w:rPr>
          <w:rFonts w:ascii="FZFangSong-Z02" w:eastAsia="FZFangSong-Z02" w:hAnsi="FZFangSong-Z02" w:hint="eastAsia"/>
          <w:sz w:val="32"/>
        </w:rPr>
        <w:t>4</w:t>
      </w:r>
      <w:r>
        <w:rPr>
          <w:rFonts w:ascii="FZFangSong-Z02" w:eastAsia="FZFangSong-Z02" w:hAnsi="FZFangSong-Z02"/>
          <w:sz w:val="32"/>
        </w:rPr>
        <w:t>.</w:t>
      </w:r>
      <w:r>
        <w:rPr>
          <w:rFonts w:ascii="FZFangSong-Z02" w:eastAsia="FZFangSong-Z02" w:hAnsi="FZFangSong-Z02" w:hint="eastAsia"/>
          <w:sz w:val="32"/>
        </w:rPr>
        <w:t>持续推进绿色矿山建设</w:t>
      </w:r>
    </w:p>
    <w:p>
      <w:pPr>
        <w:rPr>
          <w:sz w:val="32"/>
          <w:szCs w:val="32"/>
        </w:rPr>
      </w:pPr>
      <w:r>
        <w:rPr>
          <w:rFonts w:hint="eastAsia"/>
          <w:sz w:val="32"/>
          <w:szCs w:val="32"/>
        </w:rPr>
        <w:t>坚持“边开采、边治理”原则，开展废弃矿山生态修复治理工作，</w:t>
      </w:r>
      <w:r>
        <w:rPr>
          <w:sz w:val="32"/>
          <w:szCs w:val="32"/>
        </w:rPr>
        <w:t>2025</w:t>
      </w:r>
      <w:r>
        <w:rPr>
          <w:rFonts w:hint="eastAsia"/>
          <w:sz w:val="32"/>
          <w:szCs w:val="32"/>
        </w:rPr>
        <w:t>年底前，对江津区现存未治理废弃矿山按照生态修复工作要求全部“销账归零”。到</w:t>
      </w:r>
      <w:r>
        <w:rPr>
          <w:rFonts w:cs="Times New Roman"/>
          <w:sz w:val="32"/>
          <w:szCs w:val="32"/>
        </w:rPr>
        <w:t>2022</w:t>
      </w:r>
      <w:r>
        <w:rPr>
          <w:rFonts w:hint="eastAsia"/>
          <w:sz w:val="32"/>
          <w:szCs w:val="32"/>
        </w:rPr>
        <w:t>年底前，完成</w:t>
      </w:r>
      <w:r>
        <w:rPr>
          <w:rFonts w:cs="Times New Roman"/>
          <w:sz w:val="32"/>
          <w:szCs w:val="32"/>
        </w:rPr>
        <w:t>10</w:t>
      </w:r>
      <w:r>
        <w:rPr>
          <w:rFonts w:hint="eastAsia"/>
          <w:sz w:val="32"/>
          <w:szCs w:val="32"/>
        </w:rPr>
        <w:t>座其他生产矿山绿色建设。到</w:t>
      </w:r>
      <w:r>
        <w:rPr>
          <w:rFonts w:cs="Times New Roman"/>
          <w:sz w:val="32"/>
          <w:szCs w:val="32"/>
        </w:rPr>
        <w:t>2025</w:t>
      </w:r>
      <w:r>
        <w:rPr>
          <w:rFonts w:cs="Times New Roman" w:hint="eastAsia"/>
          <w:sz w:val="32"/>
          <w:szCs w:val="32"/>
        </w:rPr>
        <w:t>年</w:t>
      </w:r>
      <w:r>
        <w:rPr>
          <w:rFonts w:hint="eastAsia"/>
          <w:sz w:val="32"/>
          <w:szCs w:val="32"/>
        </w:rPr>
        <w:t>底前，完成</w:t>
      </w:r>
      <w:r>
        <w:rPr>
          <w:rFonts w:cs="Times New Roman"/>
          <w:sz w:val="32"/>
          <w:szCs w:val="32"/>
        </w:rPr>
        <w:t>5</w:t>
      </w:r>
      <w:r>
        <w:rPr>
          <w:rFonts w:hint="eastAsia"/>
          <w:sz w:val="32"/>
          <w:szCs w:val="32"/>
        </w:rPr>
        <w:t>个绿色矿山建设。</w:t>
      </w:r>
    </w:p>
    <w:p>
      <w:pPr>
        <w:pStyle w:val="1"/>
        <w:ind w:firstLineChars="200" w:firstLine="634"/>
        <w:jc w:val="both"/>
        <w:rPr>
          <w:rFonts w:ascii="FZKai-Z03" w:eastAsia="FZKai-Z03" w:hAnsi="FZKai-Z03"/>
          <w:sz w:val="32"/>
          <w:szCs w:val="32"/>
        </w:rPr>
      </w:pPr>
      <w:bookmarkStart w:id="15" w:name="_Toc109310870"/>
      <w:r>
        <w:rPr>
          <w:rFonts w:ascii="FZKai-Z03" w:eastAsia="FZKai-Z03" w:hAnsi="FZKai-Z03" w:hint="eastAsia"/>
          <w:sz w:val="32"/>
          <w:szCs w:val="32"/>
        </w:rPr>
        <w:t>（二）深化实施分类收集，加强贮存运输管理</w:t>
      </w:r>
      <w:bookmarkEnd w:id="15"/>
    </w:p>
    <w:p>
      <w:pPr>
        <w:pStyle w:val="3"/>
        <w:rPr>
          <w:rFonts w:ascii="FZFangSong-Z02" w:eastAsia="FZFangSong-Z02" w:hAnsi="FZFangSong-Z02"/>
          <w:sz w:val="32"/>
        </w:rPr>
      </w:pPr>
      <w:r>
        <w:rPr>
          <w:rFonts w:ascii="FZFangSong-Z02" w:eastAsia="FZFangSong-Z02" w:hAnsi="FZFangSong-Z02" w:hint="eastAsia"/>
          <w:sz w:val="32"/>
        </w:rPr>
        <w:t>1</w:t>
      </w:r>
      <w:r>
        <w:rPr>
          <w:rFonts w:ascii="FZFangSong-Z02" w:eastAsia="FZFangSong-Z02" w:hAnsi="FZFangSong-Z02"/>
          <w:sz w:val="32"/>
        </w:rPr>
        <w:t>.</w:t>
      </w:r>
      <w:r>
        <w:rPr>
          <w:rFonts w:ascii="FZFangSong-Z02" w:eastAsia="FZFangSong-Z02" w:hAnsi="FZFangSong-Z02" w:hint="eastAsia"/>
          <w:sz w:val="32"/>
        </w:rPr>
        <w:t>健全工业固体废物收集体系</w:t>
      </w:r>
    </w:p>
    <w:p>
      <w:pPr>
        <w:rPr>
          <w:sz w:val="32"/>
          <w:szCs w:val="32"/>
        </w:rPr>
      </w:pPr>
      <w:r>
        <w:rPr>
          <w:rFonts w:hint="eastAsia"/>
          <w:sz w:val="32"/>
          <w:szCs w:val="32"/>
        </w:rPr>
        <w:t>贯彻落实</w:t>
      </w:r>
      <w:r>
        <w:rPr>
          <w:sz w:val="32"/>
          <w:szCs w:val="32"/>
        </w:rPr>
        <w:t>《</w:t>
      </w:r>
      <w:r>
        <w:rPr>
          <w:rFonts w:hint="eastAsia"/>
          <w:sz w:val="32"/>
          <w:szCs w:val="32"/>
        </w:rPr>
        <w:t>国家</w:t>
      </w:r>
      <w:r>
        <w:rPr>
          <w:sz w:val="32"/>
          <w:szCs w:val="32"/>
        </w:rPr>
        <w:t>危险废物名录》（2021年版）和《一般固体废物分类与代码》（GB/T39198-2020）</w:t>
      </w:r>
      <w:r>
        <w:rPr>
          <w:rFonts w:hint="eastAsia"/>
          <w:sz w:val="32"/>
          <w:szCs w:val="32"/>
        </w:rPr>
        <w:t>要求</w:t>
      </w:r>
      <w:r>
        <w:rPr>
          <w:sz w:val="32"/>
          <w:szCs w:val="32"/>
        </w:rPr>
        <w:t>，</w:t>
      </w:r>
      <w:r>
        <w:rPr>
          <w:rFonts w:hint="eastAsia"/>
          <w:sz w:val="32"/>
          <w:szCs w:val="32"/>
        </w:rPr>
        <w:t>指导辖区内</w:t>
      </w:r>
      <w:r>
        <w:rPr>
          <w:sz w:val="32"/>
          <w:szCs w:val="32"/>
        </w:rPr>
        <w:t>企业</w:t>
      </w:r>
      <w:r>
        <w:rPr>
          <w:rFonts w:hint="eastAsia"/>
          <w:sz w:val="32"/>
          <w:szCs w:val="32"/>
        </w:rPr>
        <w:t>建立健全工业固体废物污染防治责任制度，建立工业固体废物管理台账，</w:t>
      </w:r>
      <w:r>
        <w:rPr>
          <w:rFonts w:cs="Times New Roman"/>
          <w:sz w:val="32"/>
          <w:szCs w:val="32"/>
        </w:rPr>
        <w:t>按固体废物特性和类别分开收集一般工业固体废物</w:t>
      </w:r>
      <w:r>
        <w:rPr>
          <w:rFonts w:cs="Times New Roman" w:hint="eastAsia"/>
          <w:sz w:val="32"/>
          <w:szCs w:val="32"/>
        </w:rPr>
        <w:t>和</w:t>
      </w:r>
      <w:r>
        <w:rPr>
          <w:rFonts w:cs="Times New Roman"/>
          <w:sz w:val="32"/>
          <w:szCs w:val="32"/>
        </w:rPr>
        <w:t>工业危险废物，实行安全分类存放</w:t>
      </w:r>
      <w:r>
        <w:rPr>
          <w:rFonts w:cs="Times New Roman" w:hint="eastAsia"/>
          <w:sz w:val="32"/>
          <w:szCs w:val="32"/>
        </w:rPr>
        <w:t>和管理</w:t>
      </w:r>
      <w:r>
        <w:rPr>
          <w:rFonts w:hint="eastAsia"/>
          <w:sz w:val="32"/>
          <w:szCs w:val="32"/>
        </w:rPr>
        <w:t>。</w:t>
      </w:r>
      <w:r>
        <w:rPr>
          <w:rFonts w:hint="eastAsia"/>
          <w:sz w:val="32"/>
          <w:szCs w:val="32"/>
          <w:u w:color="FF0000"/>
        </w:rPr>
        <w:t>健全粉煤灰、脱硫石膏、炉渣和污泥等大宗工业固废回收利用体系，进一步提高大宗工业固体废物回收率。鼓励专业收集转运和利用处置单位建设区域性收集网点和贮存设施，打通包装物、边角料等一般工业固体废物的回收渠道，提升工业固体废物综合利用率。</w:t>
      </w:r>
    </w:p>
    <w:p>
      <w:pPr>
        <w:pStyle w:val="3"/>
        <w:rPr>
          <w:rFonts w:ascii="FZFangSong-Z02" w:eastAsia="FZFangSong-Z02" w:hAnsi="FZFangSong-Z02"/>
          <w:sz w:val="32"/>
        </w:rPr>
      </w:pPr>
      <w:r>
        <w:rPr>
          <w:rFonts w:ascii="FZFangSong-Z02" w:eastAsia="FZFangSong-Z02" w:hAnsi="FZFangSong-Z02" w:hint="eastAsia"/>
          <w:sz w:val="32"/>
        </w:rPr>
        <w:t>2</w:t>
      </w:r>
      <w:r>
        <w:rPr>
          <w:rFonts w:ascii="FZFangSong-Z02" w:eastAsia="FZFangSong-Z02" w:hAnsi="FZFangSong-Z02"/>
          <w:sz w:val="32"/>
        </w:rPr>
        <w:t>.</w:t>
      </w:r>
      <w:r>
        <w:rPr>
          <w:rFonts w:ascii="FZFangSong-Z02" w:eastAsia="FZFangSong-Z02" w:hAnsi="FZFangSong-Z02" w:hint="eastAsia"/>
          <w:sz w:val="32"/>
        </w:rPr>
        <w:t>完善小微企业和非工业源危险废物收集体系</w:t>
      </w:r>
    </w:p>
    <w:p>
      <w:pPr>
        <w:rPr>
          <w:sz w:val="32"/>
          <w:szCs w:val="32"/>
        </w:rPr>
      </w:pPr>
      <w:r>
        <w:rPr>
          <w:sz w:val="32"/>
          <w:szCs w:val="32"/>
        </w:rPr>
        <w:t>加大</w:t>
      </w:r>
      <w:r>
        <w:rPr>
          <w:rFonts w:hint="eastAsia"/>
          <w:sz w:val="32"/>
          <w:szCs w:val="32"/>
        </w:rPr>
        <w:t>非工业</w:t>
      </w:r>
      <w:r>
        <w:rPr>
          <w:sz w:val="32"/>
          <w:szCs w:val="32"/>
        </w:rPr>
        <w:t>源危险废物摸底和分类，建立</w:t>
      </w:r>
      <w:r>
        <w:rPr>
          <w:rFonts w:hint="eastAsia"/>
          <w:sz w:val="32"/>
          <w:szCs w:val="32"/>
        </w:rPr>
        <w:t>非工业</w:t>
      </w:r>
      <w:r>
        <w:rPr>
          <w:sz w:val="32"/>
          <w:szCs w:val="32"/>
        </w:rPr>
        <w:t>源危险废物名单</w:t>
      </w:r>
      <w:r>
        <w:rPr>
          <w:rFonts w:hint="eastAsia"/>
          <w:sz w:val="32"/>
          <w:szCs w:val="32"/>
        </w:rPr>
        <w:t>。依托区内危险废物收集单位，建立小微企业和非工业源危险废物收集体系，开展小微企业废油、废包装物、机动车维修企业废油、废滤芯和</w:t>
      </w:r>
      <w:r>
        <w:rPr>
          <w:sz w:val="32"/>
          <w:szCs w:val="32"/>
        </w:rPr>
        <w:t>废铅蓄电池</w:t>
      </w:r>
      <w:r>
        <w:rPr>
          <w:rFonts w:hint="eastAsia"/>
          <w:sz w:val="32"/>
          <w:szCs w:val="32"/>
        </w:rPr>
        <w:t>、实验室分析用的废酸废碱和建筑工地的废油漆桶等危险废物的分类收集。</w:t>
      </w:r>
      <w:r>
        <w:rPr>
          <w:rFonts w:cs="Times New Roman" w:hint="eastAsia"/>
          <w:sz w:val="32"/>
          <w:szCs w:val="32"/>
        </w:rPr>
        <w:t>配合“无废城市”建设，</w:t>
      </w:r>
      <w:r>
        <w:rPr>
          <w:sz w:val="32"/>
          <w:szCs w:val="32"/>
          <w:lang w:val="zh-CN"/>
        </w:rPr>
        <w:t>推进垃圾分类回收与再生资源回收“两网融合”，拓展</w:t>
      </w:r>
      <w:r>
        <w:rPr>
          <w:rFonts w:hint="eastAsia"/>
          <w:sz w:val="32"/>
          <w:szCs w:val="32"/>
          <w:lang w:val="zh-CN"/>
        </w:rPr>
        <w:t>非工业源危险废物</w:t>
      </w:r>
      <w:r>
        <w:rPr>
          <w:sz w:val="32"/>
          <w:szCs w:val="32"/>
          <w:lang w:val="zh-CN"/>
        </w:rPr>
        <w:t>多元化回收渠道</w:t>
      </w:r>
      <w:r>
        <w:rPr>
          <w:sz w:val="32"/>
          <w:szCs w:val="32"/>
        </w:rPr>
        <w:t>。</w:t>
      </w:r>
      <w:r>
        <w:rPr>
          <w:rFonts w:hint="eastAsia"/>
          <w:sz w:val="32"/>
          <w:szCs w:val="32"/>
        </w:rPr>
        <w:t>2</w:t>
      </w:r>
      <w:r>
        <w:rPr>
          <w:sz w:val="32"/>
          <w:szCs w:val="32"/>
        </w:rPr>
        <w:t>025</w:t>
      </w:r>
      <w:r>
        <w:rPr>
          <w:rFonts w:hint="eastAsia"/>
          <w:sz w:val="32"/>
          <w:szCs w:val="32"/>
        </w:rPr>
        <w:t>年，非工业源危险废物收集处置体系覆盖率达到1</w:t>
      </w:r>
      <w:r>
        <w:rPr>
          <w:sz w:val="32"/>
          <w:szCs w:val="32"/>
        </w:rPr>
        <w:t>00</w:t>
      </w:r>
      <w:r>
        <w:rPr>
          <w:rFonts w:hint="eastAsia"/>
          <w:sz w:val="32"/>
          <w:szCs w:val="32"/>
        </w:rPr>
        <w:t>%。</w:t>
      </w:r>
    </w:p>
    <w:p>
      <w:pPr>
        <w:pStyle w:val="3"/>
        <w:rPr>
          <w:rFonts w:ascii="FZFangSong-Z02" w:eastAsia="FZFangSong-Z02" w:hAnsi="FZFangSong-Z02"/>
          <w:sz w:val="32"/>
        </w:rPr>
      </w:pPr>
      <w:r>
        <w:rPr>
          <w:rFonts w:ascii="FZFangSong-Z02" w:eastAsia="FZFangSong-Z02" w:hAnsi="FZFangSong-Z02" w:hint="eastAsia"/>
          <w:sz w:val="32"/>
        </w:rPr>
        <w:t>3</w:t>
      </w:r>
      <w:r>
        <w:rPr>
          <w:rFonts w:ascii="FZFangSong-Z02" w:eastAsia="FZFangSong-Z02" w:hAnsi="FZFangSong-Z02"/>
          <w:sz w:val="32"/>
        </w:rPr>
        <w:t>.</w:t>
      </w:r>
      <w:r>
        <w:rPr>
          <w:rFonts w:ascii="FZFangSong-Z02" w:eastAsia="FZFangSong-Z02" w:hAnsi="FZFangSong-Z02" w:hint="eastAsia"/>
          <w:sz w:val="32"/>
        </w:rPr>
        <w:t>加强贮存设施建设和管理</w:t>
      </w:r>
    </w:p>
    <w:p>
      <w:pPr>
        <w:rPr>
          <w:sz w:val="32"/>
          <w:szCs w:val="32"/>
        </w:rPr>
      </w:pPr>
      <w:r>
        <w:rPr>
          <w:rFonts w:hint="eastAsia"/>
          <w:sz w:val="32"/>
          <w:szCs w:val="32"/>
        </w:rPr>
        <w:t>落实</w:t>
      </w:r>
      <w:r>
        <w:rPr>
          <w:sz w:val="32"/>
          <w:szCs w:val="32"/>
        </w:rPr>
        <w:t>《危险废物贮存污染控制标准》和《一般工业固体废物贮存和填埋污染控制标准》要求</w:t>
      </w:r>
      <w:r>
        <w:rPr>
          <w:rFonts w:hint="eastAsia"/>
          <w:sz w:val="32"/>
          <w:szCs w:val="32"/>
        </w:rPr>
        <w:t>，</w:t>
      </w:r>
      <w:r>
        <w:rPr>
          <w:sz w:val="32"/>
          <w:szCs w:val="32"/>
        </w:rPr>
        <w:t>分类指导产生</w:t>
      </w:r>
      <w:r>
        <w:rPr>
          <w:rFonts w:hint="eastAsia"/>
          <w:sz w:val="32"/>
          <w:szCs w:val="32"/>
        </w:rPr>
        <w:t>工业</w:t>
      </w:r>
      <w:r>
        <w:rPr>
          <w:sz w:val="32"/>
          <w:szCs w:val="32"/>
        </w:rPr>
        <w:t>固体废物</w:t>
      </w:r>
      <w:r>
        <w:rPr>
          <w:rFonts w:hint="eastAsia"/>
          <w:sz w:val="32"/>
          <w:szCs w:val="32"/>
        </w:rPr>
        <w:t>产生单位和利用处置单位</w:t>
      </w:r>
      <w:r>
        <w:rPr>
          <w:sz w:val="32"/>
          <w:szCs w:val="32"/>
        </w:rPr>
        <w:t>建设具备防扬散、防流失、防渗漏或者其他防止污染环境的固体废物污染</w:t>
      </w:r>
      <w:r>
        <w:rPr>
          <w:rFonts w:hint="eastAsia"/>
          <w:sz w:val="32"/>
          <w:szCs w:val="32"/>
        </w:rPr>
        <w:t>环境</w:t>
      </w:r>
      <w:r>
        <w:rPr>
          <w:sz w:val="32"/>
          <w:szCs w:val="32"/>
        </w:rPr>
        <w:t>防治贮存设施，防止渗漏液等衍生废物、废水和泄漏的液态废物、产生的粉尘和挥发性有机物等污染环境。推动医疗机构、机动车维修、高校实验室等单位按照重庆市非工业源危险废物规范化管理要求建设危险废物暂存间并落实相关的管理制度，分类贮存收集危险废物，做好设施的维护和检查工作。</w:t>
      </w:r>
    </w:p>
    <w:p>
      <w:pPr>
        <w:pStyle w:val="3"/>
        <w:rPr>
          <w:rFonts w:ascii="FZFangSong-Z02" w:eastAsia="FZFangSong-Z02" w:hAnsi="FZFangSong-Z02"/>
          <w:sz w:val="32"/>
        </w:rPr>
      </w:pPr>
      <w:r>
        <w:rPr>
          <w:rFonts w:ascii="FZFangSong-Z02" w:eastAsia="FZFangSong-Z02" w:hAnsi="FZFangSong-Z02" w:hint="eastAsia"/>
          <w:sz w:val="32"/>
        </w:rPr>
        <w:t>4</w:t>
      </w:r>
      <w:r>
        <w:rPr>
          <w:rFonts w:ascii="FZFangSong-Z02" w:eastAsia="FZFangSong-Z02" w:hAnsi="FZFangSong-Z02"/>
          <w:sz w:val="32"/>
        </w:rPr>
        <w:t>.</w:t>
      </w:r>
      <w:r>
        <w:rPr>
          <w:rFonts w:ascii="FZFangSong-Z02" w:eastAsia="FZFangSong-Z02" w:hAnsi="FZFangSong-Z02" w:hint="eastAsia"/>
          <w:sz w:val="32"/>
        </w:rPr>
        <w:t>加强工业固体废物运输和转运管理</w:t>
      </w:r>
    </w:p>
    <w:p>
      <w:pPr>
        <w:rPr>
          <w:sz w:val="32"/>
          <w:szCs w:val="32"/>
        </w:rPr>
      </w:pPr>
      <w:r>
        <w:rPr>
          <w:rFonts w:hint="eastAsia"/>
          <w:sz w:val="32"/>
          <w:szCs w:val="32"/>
        </w:rPr>
        <w:t>加强工业固体废物产生企业和利用处置企业转移固体废物的指导和管理，发生工业固体废物跨省转移时应执行跨省转移制度。加强</w:t>
      </w:r>
      <w:r>
        <w:rPr>
          <w:rFonts w:ascii="FZFangSong-Z02" w:hAnsi="FZFangSong-Z02" w:hint="eastAsia"/>
          <w:sz w:val="32"/>
          <w:szCs w:val="32"/>
          <w:u w:color="FF0000"/>
        </w:rPr>
        <w:t>粉煤灰、脱硫石膏、炉渣和污泥等大宗工业固体废物运输的监管，</w:t>
      </w:r>
      <w:r>
        <w:rPr>
          <w:sz w:val="32"/>
          <w:szCs w:val="32"/>
        </w:rPr>
        <w:t>防止运输过程中对环境造成污染</w:t>
      </w:r>
      <w:r>
        <w:rPr>
          <w:rFonts w:hint="eastAsia"/>
          <w:sz w:val="32"/>
          <w:szCs w:val="32"/>
        </w:rPr>
        <w:t>。</w:t>
      </w:r>
      <w:r>
        <w:rPr>
          <w:sz w:val="32"/>
          <w:szCs w:val="32"/>
        </w:rPr>
        <w:t>加强危险废物运输管理，将危险废物运输车辆、船舶纳入日常检查内容，严控非法转运</w:t>
      </w:r>
      <w:r>
        <w:rPr>
          <w:rFonts w:hint="eastAsia"/>
          <w:sz w:val="32"/>
          <w:szCs w:val="32"/>
        </w:rPr>
        <w:t>。</w:t>
      </w:r>
    </w:p>
    <w:p>
      <w:pPr>
        <w:pStyle w:val="1"/>
        <w:ind w:firstLineChars="200" w:firstLine="634"/>
        <w:jc w:val="both"/>
        <w:rPr>
          <w:rFonts w:ascii="FZKai-Z03" w:eastAsia="FZKai-Z03" w:hAnsi="FZKai-Z03"/>
          <w:sz w:val="32"/>
          <w:szCs w:val="32"/>
        </w:rPr>
      </w:pPr>
      <w:bookmarkStart w:id="16" w:name="_Toc109310871"/>
      <w:r>
        <w:rPr>
          <w:rFonts w:ascii="FZKai-Z03" w:eastAsia="FZKai-Z03" w:hAnsi="FZKai-Z03" w:hint="eastAsia"/>
          <w:sz w:val="32"/>
          <w:szCs w:val="32"/>
        </w:rPr>
        <w:t>（三）推动园区提档升级，强化资源循环利用</w:t>
      </w:r>
      <w:bookmarkEnd w:id="16"/>
    </w:p>
    <w:p>
      <w:pPr>
        <w:pStyle w:val="3"/>
        <w:rPr>
          <w:rFonts w:ascii="FZFangSong-Z02" w:eastAsia="FZFangSong-Z02" w:hAnsi="FZFangSong-Z02"/>
          <w:sz w:val="32"/>
        </w:rPr>
      </w:pPr>
      <w:r>
        <w:rPr>
          <w:rFonts w:ascii="FZFangSong-Z02" w:eastAsia="FZFangSong-Z02" w:hAnsi="FZFangSong-Z02" w:hint="eastAsia"/>
          <w:sz w:val="32"/>
        </w:rPr>
        <w:t>1</w:t>
      </w:r>
      <w:r>
        <w:rPr>
          <w:rFonts w:ascii="FZFangSong-Z02" w:eastAsia="FZFangSong-Z02" w:hAnsi="FZFangSong-Z02"/>
          <w:sz w:val="32"/>
        </w:rPr>
        <w:t>.</w:t>
      </w:r>
      <w:r>
        <w:rPr>
          <w:rFonts w:ascii="FZFangSong-Z02" w:eastAsia="FZFangSong-Z02" w:hAnsi="FZFangSong-Z02" w:hint="eastAsia"/>
          <w:sz w:val="32"/>
        </w:rPr>
        <w:t>加强工业园区工业固体废物循环利用</w:t>
      </w:r>
    </w:p>
    <w:p>
      <w:pPr>
        <w:rPr>
          <w:rFonts w:ascii="FZFangSong-Z02" w:hAnsi="FZFangSong-Z02"/>
          <w:sz w:val="32"/>
          <w:szCs w:val="32"/>
          <w:u w:color="FF0000"/>
        </w:rPr>
      </w:pPr>
      <w:r>
        <w:rPr>
          <w:rFonts w:hint="eastAsia"/>
          <w:sz w:val="32"/>
          <w:szCs w:val="32"/>
        </w:rPr>
        <w:t>贯彻落实国家及重庆市</w:t>
      </w:r>
      <w:r>
        <w:rPr>
          <w:sz w:val="32"/>
          <w:szCs w:val="32"/>
        </w:rPr>
        <w:t>资源节约集约循环利用政策</w:t>
      </w:r>
      <w:r>
        <w:rPr>
          <w:rFonts w:hint="eastAsia"/>
          <w:sz w:val="32"/>
          <w:szCs w:val="32"/>
        </w:rPr>
        <w:t>，</w:t>
      </w:r>
      <w:r>
        <w:rPr>
          <w:sz w:val="32"/>
          <w:szCs w:val="32"/>
        </w:rPr>
        <w:t>推动资源利用方式根本转变</w:t>
      </w:r>
      <w:r>
        <w:rPr>
          <w:rFonts w:hint="eastAsia"/>
          <w:sz w:val="32"/>
          <w:szCs w:val="32"/>
        </w:rPr>
        <w:t>，结合工业领域减污降碳要求，加快探索“无废园区”建设路径。推进江津“一区四园”建立工业园区</w:t>
      </w:r>
      <w:r>
        <w:rPr>
          <w:sz w:val="32"/>
          <w:szCs w:val="32"/>
        </w:rPr>
        <w:t>循环型工业体系</w:t>
      </w:r>
      <w:r>
        <w:rPr>
          <w:rFonts w:hint="eastAsia"/>
          <w:sz w:val="32"/>
          <w:szCs w:val="32"/>
        </w:rPr>
        <w:t>，</w:t>
      </w:r>
      <w:r>
        <w:rPr>
          <w:sz w:val="32"/>
          <w:szCs w:val="32"/>
        </w:rPr>
        <w:t>促进生产、流通、消费过程再利用、资源化</w:t>
      </w:r>
      <w:r>
        <w:rPr>
          <w:rFonts w:hint="eastAsia"/>
          <w:sz w:val="32"/>
          <w:szCs w:val="32"/>
        </w:rPr>
        <w:t>，</w:t>
      </w:r>
      <w:r>
        <w:rPr>
          <w:sz w:val="32"/>
          <w:szCs w:val="32"/>
        </w:rPr>
        <w:t>提高</w:t>
      </w:r>
      <w:r>
        <w:rPr>
          <w:rFonts w:hint="eastAsia"/>
          <w:sz w:val="32"/>
          <w:szCs w:val="32"/>
        </w:rPr>
        <w:t>江津区</w:t>
      </w:r>
      <w:r>
        <w:rPr>
          <w:sz w:val="32"/>
          <w:szCs w:val="32"/>
        </w:rPr>
        <w:t>资源产出率</w:t>
      </w:r>
      <w:r>
        <w:rPr>
          <w:rFonts w:hint="eastAsia"/>
          <w:sz w:val="32"/>
          <w:szCs w:val="32"/>
        </w:rPr>
        <w:t>，到2</w:t>
      </w:r>
      <w:r>
        <w:rPr>
          <w:sz w:val="32"/>
          <w:szCs w:val="32"/>
        </w:rPr>
        <w:t>025</w:t>
      </w:r>
      <w:r>
        <w:rPr>
          <w:rFonts w:hint="eastAsia"/>
          <w:sz w:val="32"/>
          <w:szCs w:val="32"/>
        </w:rPr>
        <w:t>年，完成1个</w:t>
      </w:r>
      <w:r>
        <w:rPr>
          <w:sz w:val="32"/>
          <w:szCs w:val="32"/>
        </w:rPr>
        <w:t>生态工业园区</w:t>
      </w:r>
      <w:r>
        <w:rPr>
          <w:rFonts w:hint="eastAsia"/>
          <w:sz w:val="32"/>
          <w:szCs w:val="32"/>
        </w:rPr>
        <w:t>或“无废园区”</w:t>
      </w:r>
      <w:r>
        <w:rPr>
          <w:sz w:val="32"/>
          <w:szCs w:val="32"/>
        </w:rPr>
        <w:t>建设</w:t>
      </w:r>
      <w:r>
        <w:rPr>
          <w:rFonts w:hint="eastAsia"/>
          <w:sz w:val="32"/>
          <w:szCs w:val="32"/>
        </w:rPr>
        <w:t>。开展园区工业企业分类</w:t>
      </w:r>
      <w:r>
        <w:rPr>
          <w:sz w:val="32"/>
          <w:szCs w:val="32"/>
        </w:rPr>
        <w:t>管理</w:t>
      </w:r>
      <w:r>
        <w:rPr>
          <w:rFonts w:hint="eastAsia"/>
          <w:sz w:val="32"/>
          <w:szCs w:val="32"/>
        </w:rPr>
        <w:t>，</w:t>
      </w:r>
      <w:r>
        <w:rPr>
          <w:sz w:val="32"/>
          <w:szCs w:val="32"/>
        </w:rPr>
        <w:t>对技术落后、存在</w:t>
      </w:r>
      <w:r>
        <w:rPr>
          <w:rFonts w:hint="eastAsia"/>
          <w:sz w:val="32"/>
          <w:szCs w:val="32"/>
        </w:rPr>
        <w:t>固体废物污染</w:t>
      </w:r>
      <w:r>
        <w:rPr>
          <w:sz w:val="32"/>
          <w:szCs w:val="32"/>
        </w:rPr>
        <w:t>隐患的企业要求限期完成整改</w:t>
      </w:r>
      <w:r>
        <w:rPr>
          <w:rFonts w:hint="eastAsia"/>
          <w:sz w:val="32"/>
          <w:szCs w:val="32"/>
        </w:rPr>
        <w:t>。</w:t>
      </w:r>
      <w:r>
        <w:rPr>
          <w:sz w:val="32"/>
          <w:szCs w:val="32"/>
        </w:rPr>
        <w:t>利用</w:t>
      </w:r>
      <w:r>
        <w:rPr>
          <w:rFonts w:hint="eastAsia"/>
          <w:sz w:val="32"/>
          <w:szCs w:val="32"/>
        </w:rPr>
        <w:t>政策和</w:t>
      </w:r>
      <w:r>
        <w:rPr>
          <w:sz w:val="32"/>
          <w:szCs w:val="32"/>
        </w:rPr>
        <w:t>市场</w:t>
      </w:r>
      <w:r>
        <w:rPr>
          <w:rFonts w:hint="eastAsia"/>
          <w:sz w:val="32"/>
          <w:szCs w:val="32"/>
        </w:rPr>
        <w:t>因素</w:t>
      </w:r>
      <w:r>
        <w:rPr>
          <w:sz w:val="32"/>
          <w:szCs w:val="32"/>
        </w:rPr>
        <w:t>，重点</w:t>
      </w:r>
      <w:r>
        <w:rPr>
          <w:rFonts w:cs="Times New Roman"/>
          <w:sz w:val="32"/>
          <w:szCs w:val="32"/>
        </w:rPr>
        <w:t>提高工业固体废弃物、废旧金属等综合利用水平，加快固体废物资源化进程，提高综合利用率</w:t>
      </w:r>
      <w:r>
        <w:rPr>
          <w:rFonts w:cs="Times New Roman" w:hint="eastAsia"/>
          <w:sz w:val="32"/>
          <w:szCs w:val="32"/>
        </w:rPr>
        <w:t>。</w:t>
      </w:r>
      <w:r>
        <w:rPr>
          <w:rFonts w:hint="eastAsia"/>
          <w:sz w:val="32"/>
          <w:szCs w:val="32"/>
        </w:rPr>
        <w:t>推进</w:t>
      </w:r>
      <w:r>
        <w:rPr>
          <w:sz w:val="32"/>
          <w:szCs w:val="32"/>
        </w:rPr>
        <w:t>园区资源共享、信息共享，实现企业</w:t>
      </w:r>
      <w:r>
        <w:rPr>
          <w:rFonts w:hint="eastAsia"/>
          <w:sz w:val="32"/>
          <w:szCs w:val="32"/>
        </w:rPr>
        <w:t>工业固体废物处理</w:t>
      </w:r>
      <w:r>
        <w:rPr>
          <w:sz w:val="32"/>
          <w:szCs w:val="32"/>
        </w:rPr>
        <w:t>优化升级</w:t>
      </w:r>
      <w:r>
        <w:rPr>
          <w:rFonts w:hint="eastAsia"/>
          <w:sz w:val="32"/>
          <w:szCs w:val="32"/>
        </w:rPr>
        <w:t>，</w:t>
      </w:r>
      <w:r>
        <w:rPr>
          <w:sz w:val="32"/>
          <w:szCs w:val="32"/>
        </w:rPr>
        <w:t>加强</w:t>
      </w:r>
      <w:r>
        <w:rPr>
          <w:rFonts w:hint="eastAsia"/>
          <w:sz w:val="32"/>
          <w:szCs w:val="32"/>
        </w:rPr>
        <w:t>江津工业园区与中心城区工业园区的工业固体废物</w:t>
      </w:r>
      <w:r>
        <w:rPr>
          <w:sz w:val="32"/>
          <w:szCs w:val="32"/>
        </w:rPr>
        <w:t>利用及处置</w:t>
      </w:r>
      <w:r>
        <w:rPr>
          <w:rFonts w:hint="eastAsia"/>
          <w:sz w:val="32"/>
          <w:szCs w:val="32"/>
        </w:rPr>
        <w:t>单位</w:t>
      </w:r>
      <w:r>
        <w:rPr>
          <w:sz w:val="32"/>
          <w:szCs w:val="32"/>
        </w:rPr>
        <w:t>联动，</w:t>
      </w:r>
      <w:r>
        <w:rPr>
          <w:rFonts w:hint="eastAsia"/>
          <w:sz w:val="32"/>
          <w:szCs w:val="32"/>
        </w:rPr>
        <w:t>探索建立江津、高新、大渡口、永川等区固体废物全过程污染防控体系，实现固体废物全过程高效管理。</w:t>
      </w:r>
    </w:p>
    <w:p>
      <w:pPr>
        <w:pStyle w:val="3"/>
        <w:rPr>
          <w:rFonts w:ascii="FZFangSong-Z02" w:eastAsia="FZFangSong-Z02" w:hAnsi="FZFangSong-Z02"/>
          <w:sz w:val="32"/>
        </w:rPr>
      </w:pPr>
      <w:r>
        <w:rPr>
          <w:rFonts w:ascii="FZFangSong-Z02" w:eastAsia="FZFangSong-Z02" w:hAnsi="FZFangSong-Z02" w:hint="eastAsia"/>
          <w:sz w:val="32"/>
        </w:rPr>
        <w:t>2</w:t>
      </w:r>
      <w:r>
        <w:rPr>
          <w:rFonts w:ascii="FZFangSong-Z02" w:eastAsia="FZFangSong-Z02" w:hAnsi="FZFangSong-Z02"/>
          <w:sz w:val="32"/>
        </w:rPr>
        <w:t>.</w:t>
      </w:r>
      <w:r>
        <w:rPr>
          <w:rFonts w:ascii="FZFangSong-Z02" w:eastAsia="FZFangSong-Z02" w:hAnsi="FZFangSong-Z02" w:hint="eastAsia"/>
          <w:sz w:val="32"/>
        </w:rPr>
        <w:t>提升一般工业固体废物资源化利用水平</w:t>
      </w:r>
    </w:p>
    <w:p>
      <w:pPr>
        <w:rPr>
          <w:sz w:val="32"/>
          <w:szCs w:val="32"/>
        </w:rPr>
      </w:pPr>
      <w:r>
        <w:rPr>
          <w:rFonts w:hint="eastAsia"/>
          <w:sz w:val="32"/>
          <w:szCs w:val="32"/>
        </w:rPr>
        <w:t>开展粉煤灰、脱硫石膏、炉渣等大宗工业固废资源化利用情况评估，针对利用不充分、综合利用产品附加值低等问题制定措施，建设固体废物资源化利用设施，202</w:t>
      </w:r>
      <w:r>
        <w:rPr>
          <w:sz w:val="32"/>
          <w:szCs w:val="32"/>
        </w:rPr>
        <w:t>2</w:t>
      </w:r>
      <w:r>
        <w:rPr>
          <w:rFonts w:hint="eastAsia"/>
          <w:sz w:val="32"/>
          <w:szCs w:val="32"/>
        </w:rPr>
        <w:t>年底前建设水泥窑协同处置一般固废项目（二期），2025年建成粉煤灰和脱硫石膏再生利用项目。探索汽车整车制造行业开展生产者责任延伸制度，促进报废汽车拆解提档升级，提升废钢、废轮胎、废塑料资源化利用技术水平，于</w:t>
      </w:r>
      <w:r>
        <w:rPr>
          <w:sz w:val="32"/>
          <w:szCs w:val="32"/>
        </w:rPr>
        <w:t>202</w:t>
      </w:r>
      <w:r>
        <w:rPr>
          <w:rFonts w:hint="eastAsia"/>
          <w:sz w:val="32"/>
          <w:szCs w:val="32"/>
        </w:rPr>
        <w:t>5年底实施报废汽车回收项目，延伸报废汽车资源化产业链。开展水泥生产企业技术升级，提升水泥窑协同处置一般工业固体废物能力和效率，提高一般工业固体废物综合利用率。引导企业开展一般工业固体废物资源综合利用评价，促进一般工业固体废物资源综合利用产业规范化、绿色化、规模化、高技术化发展。大力发展再生资源利用骨干企业，促进产业间固体废物资源化利用和循环再生，提高资源利用再生效率。到2</w:t>
      </w:r>
      <w:r>
        <w:rPr>
          <w:sz w:val="32"/>
          <w:szCs w:val="32"/>
        </w:rPr>
        <w:t>025</w:t>
      </w:r>
      <w:r>
        <w:rPr>
          <w:rFonts w:hint="eastAsia"/>
          <w:sz w:val="32"/>
          <w:szCs w:val="32"/>
        </w:rPr>
        <w:t>年，一般工业固体废物综合利用率力争达到8</w:t>
      </w:r>
      <w:r>
        <w:rPr>
          <w:sz w:val="32"/>
          <w:szCs w:val="32"/>
        </w:rPr>
        <w:t>8</w:t>
      </w:r>
      <w:r>
        <w:rPr>
          <w:rFonts w:hint="eastAsia"/>
          <w:sz w:val="32"/>
          <w:szCs w:val="32"/>
        </w:rPr>
        <w:t>%。</w:t>
      </w:r>
    </w:p>
    <w:p>
      <w:pPr>
        <w:pStyle w:val="3"/>
        <w:rPr>
          <w:rFonts w:ascii="FZFangSong-Z02" w:eastAsia="FZFangSong-Z02" w:hAnsi="FZFangSong-Z02"/>
          <w:sz w:val="32"/>
        </w:rPr>
      </w:pPr>
      <w:r>
        <w:rPr>
          <w:rFonts w:ascii="FZFangSong-Z02" w:eastAsia="FZFangSong-Z02" w:hAnsi="FZFangSong-Z02" w:hint="eastAsia"/>
          <w:sz w:val="32"/>
        </w:rPr>
        <w:t>3</w:t>
      </w:r>
      <w:r>
        <w:rPr>
          <w:rFonts w:ascii="FZFangSong-Z02" w:eastAsia="FZFangSong-Z02" w:hAnsi="FZFangSong-Z02"/>
          <w:sz w:val="32"/>
        </w:rPr>
        <w:t>.</w:t>
      </w:r>
      <w:r>
        <w:rPr>
          <w:rFonts w:ascii="FZFangSong-Z02" w:eastAsia="FZFangSong-Z02" w:hAnsi="FZFangSong-Z02" w:hint="eastAsia"/>
          <w:sz w:val="32"/>
        </w:rPr>
        <w:t>推进工业危险废物资源化利用</w:t>
      </w:r>
    </w:p>
    <w:p>
      <w:pPr>
        <w:rPr>
          <w:sz w:val="32"/>
          <w:szCs w:val="32"/>
        </w:rPr>
      </w:pPr>
      <w:r>
        <w:rPr>
          <w:rFonts w:hint="eastAsia"/>
          <w:sz w:val="32"/>
          <w:szCs w:val="32"/>
        </w:rPr>
        <w:t>加强危险废物处置技术支撑，加大“产学研”的投入，</w:t>
      </w:r>
      <w:r>
        <w:rPr>
          <w:sz w:val="32"/>
          <w:szCs w:val="32"/>
        </w:rPr>
        <w:t>在管理模式及技术手段上进行提升创新，</w:t>
      </w:r>
      <w:r>
        <w:rPr>
          <w:rFonts w:hint="eastAsia"/>
          <w:sz w:val="32"/>
          <w:szCs w:val="32"/>
        </w:rPr>
        <w:t>减少工业危险废物填埋量。</w:t>
      </w:r>
      <w:r>
        <w:rPr>
          <w:sz w:val="32"/>
          <w:szCs w:val="32"/>
        </w:rPr>
        <w:t>提高</w:t>
      </w:r>
      <w:r>
        <w:rPr>
          <w:rFonts w:hint="eastAsia"/>
          <w:sz w:val="32"/>
          <w:szCs w:val="32"/>
        </w:rPr>
        <w:t>工业危险废物</w:t>
      </w:r>
      <w:r>
        <w:rPr>
          <w:sz w:val="32"/>
          <w:szCs w:val="32"/>
        </w:rPr>
        <w:t>资源化利用能力，适时引进先进的管理模式及技术，促进先进制造业、消费品工业、高科技产业</w:t>
      </w:r>
      <w:r>
        <w:rPr>
          <w:rFonts w:hint="eastAsia"/>
          <w:sz w:val="32"/>
          <w:szCs w:val="32"/>
        </w:rPr>
        <w:t>危险废物资源化利用。依托区内危险废物经营单位现有处置技术，推进铝灰铝渣、</w:t>
      </w:r>
      <w:r>
        <w:rPr>
          <w:sz w:val="32"/>
          <w:szCs w:val="32"/>
        </w:rPr>
        <w:t>废活性炭、废酸、含镍废物、含铜废物等类别危险废物的资源化利用</w:t>
      </w:r>
      <w:r>
        <w:rPr>
          <w:rFonts w:hint="eastAsia"/>
          <w:sz w:val="32"/>
          <w:szCs w:val="32"/>
        </w:rPr>
        <w:t>。</w:t>
      </w:r>
      <w:r>
        <w:rPr>
          <w:sz w:val="32"/>
          <w:szCs w:val="32"/>
        </w:rPr>
        <w:t>在环境风险可控前提下，探索开展废酸、废树脂粉等危险废物“点对点”定向利用的危险废物经营许可豁免管理试点。</w:t>
      </w:r>
      <w:bookmarkStart w:id="17" w:name="_Toc109310872"/>
    </w:p>
    <w:p>
      <w:pPr>
        <w:pStyle w:val="1"/>
        <w:ind w:firstLineChars="200" w:firstLine="634"/>
        <w:jc w:val="both"/>
        <w:rPr>
          <w:rFonts w:ascii="FZKai-Z03" w:eastAsia="FZKai-Z03" w:hAnsi="FZKai-Z03"/>
          <w:sz w:val="32"/>
          <w:szCs w:val="32"/>
        </w:rPr>
      </w:pPr>
      <w:r>
        <w:rPr>
          <w:rFonts w:ascii="FZKai-Z03" w:eastAsia="FZKai-Z03" w:hAnsi="FZKai-Z03" w:hint="eastAsia"/>
          <w:bCs w:val="0"/>
          <w:sz w:val="32"/>
          <w:szCs w:val="32"/>
        </w:rPr>
        <w:t>（四）优化处置设施建设，保障固废处置安全</w:t>
      </w:r>
      <w:bookmarkEnd w:id="17"/>
    </w:p>
    <w:p>
      <w:pPr>
        <w:pStyle w:val="3"/>
        <w:rPr>
          <w:rFonts w:ascii="FZFangSong-Z02" w:eastAsia="FZFangSong-Z02" w:hAnsi="FZFangSong-Z02"/>
          <w:sz w:val="32"/>
        </w:rPr>
      </w:pPr>
      <w:r>
        <w:rPr>
          <w:rFonts w:ascii="FZFangSong-Z02" w:eastAsia="FZFangSong-Z02" w:hAnsi="FZFangSong-Z02" w:hint="eastAsia"/>
          <w:sz w:val="32"/>
        </w:rPr>
        <w:t>1</w:t>
      </w:r>
      <w:r>
        <w:rPr>
          <w:rFonts w:ascii="FZFangSong-Z02" w:eastAsia="FZFangSong-Z02" w:hAnsi="FZFangSong-Z02"/>
          <w:sz w:val="32"/>
        </w:rPr>
        <w:t>.</w:t>
      </w:r>
      <w:r>
        <w:rPr>
          <w:rFonts w:ascii="FZFangSong-Z02" w:eastAsia="FZFangSong-Z02" w:hAnsi="FZFangSong-Z02" w:hint="eastAsia"/>
          <w:sz w:val="32"/>
        </w:rPr>
        <w:t>鼓励企业自建工业固体废物利用处置设施</w:t>
      </w:r>
    </w:p>
    <w:p>
      <w:pPr>
        <w:rPr>
          <w:sz w:val="32"/>
          <w:szCs w:val="32"/>
        </w:rPr>
      </w:pPr>
      <w:r>
        <w:rPr>
          <w:sz w:val="32"/>
          <w:szCs w:val="32"/>
        </w:rPr>
        <w:t>鼓励</w:t>
      </w:r>
      <w:r>
        <w:rPr>
          <w:rFonts w:hint="eastAsia"/>
          <w:sz w:val="32"/>
          <w:szCs w:val="32"/>
        </w:rPr>
        <w:t>电力、造纸等工业固体废物</w:t>
      </w:r>
      <w:r>
        <w:rPr>
          <w:sz w:val="32"/>
          <w:szCs w:val="32"/>
        </w:rPr>
        <w:t>年产生量</w:t>
      </w:r>
      <w:r>
        <w:rPr>
          <w:rFonts w:hint="eastAsia"/>
          <w:sz w:val="32"/>
          <w:szCs w:val="32"/>
        </w:rPr>
        <w:t>较大的</w:t>
      </w:r>
      <w:r>
        <w:rPr>
          <w:sz w:val="32"/>
          <w:szCs w:val="32"/>
        </w:rPr>
        <w:t>企业</w:t>
      </w:r>
      <w:r>
        <w:rPr>
          <w:rFonts w:hint="eastAsia"/>
          <w:sz w:val="32"/>
          <w:szCs w:val="32"/>
        </w:rPr>
        <w:t>以资源化为主，不断引进、消化和吸收先进处理工艺，</w:t>
      </w:r>
      <w:r>
        <w:rPr>
          <w:sz w:val="32"/>
          <w:szCs w:val="32"/>
        </w:rPr>
        <w:t>配套建设</w:t>
      </w:r>
      <w:r>
        <w:rPr>
          <w:rFonts w:hint="eastAsia"/>
          <w:sz w:val="32"/>
          <w:szCs w:val="32"/>
        </w:rPr>
        <w:t>工业固体废物自行</w:t>
      </w:r>
      <w:r>
        <w:rPr>
          <w:sz w:val="32"/>
          <w:szCs w:val="32"/>
        </w:rPr>
        <w:t>利用处置设施。</w:t>
      </w:r>
      <w:r>
        <w:rPr>
          <w:rFonts w:hint="eastAsia"/>
          <w:sz w:val="32"/>
          <w:szCs w:val="32"/>
        </w:rPr>
        <w:t>鼓励危险废物年产生</w:t>
      </w:r>
      <w:r>
        <w:rPr>
          <w:sz w:val="32"/>
          <w:szCs w:val="32"/>
        </w:rPr>
        <w:t>1</w:t>
      </w:r>
      <w:r>
        <w:rPr>
          <w:rFonts w:hint="eastAsia"/>
          <w:sz w:val="32"/>
          <w:szCs w:val="32"/>
        </w:rPr>
        <w:t>万吨及以上企业、工业园区自行建设或优化升级危险废物利用处置设施，配套建设在线监测和远程视频监控体系。</w:t>
      </w:r>
      <w:r>
        <w:rPr>
          <w:sz w:val="32"/>
          <w:szCs w:val="32"/>
        </w:rPr>
        <w:t>定期开展自建处置设施专项整治工作，规范企业工业固体废物自行处置行为。</w:t>
      </w:r>
    </w:p>
    <w:p>
      <w:pPr>
        <w:pStyle w:val="3"/>
        <w:rPr>
          <w:rFonts w:ascii="FZFangSong-Z02" w:eastAsia="FZFangSong-Z02" w:hAnsi="FZFangSong-Z02"/>
          <w:sz w:val="32"/>
        </w:rPr>
      </w:pPr>
      <w:r>
        <w:rPr>
          <w:rFonts w:ascii="FZFangSong-Z02" w:eastAsia="FZFangSong-Z02" w:hAnsi="FZFangSong-Z02" w:hint="eastAsia"/>
          <w:sz w:val="32"/>
        </w:rPr>
        <w:t>2</w:t>
      </w:r>
      <w:r>
        <w:rPr>
          <w:rFonts w:ascii="FZFangSong-Z02" w:eastAsia="FZFangSong-Z02" w:hAnsi="FZFangSong-Z02"/>
          <w:sz w:val="32"/>
        </w:rPr>
        <w:t>.</w:t>
      </w:r>
      <w:r>
        <w:rPr>
          <w:rFonts w:ascii="FZFangSong-Z02" w:eastAsia="FZFangSong-Z02" w:hAnsi="FZFangSong-Z02" w:hint="eastAsia"/>
          <w:sz w:val="32"/>
        </w:rPr>
        <w:t>合理规划工业固体废物处置能力</w:t>
      </w:r>
    </w:p>
    <w:p>
      <w:pPr>
        <w:rPr>
          <w:sz w:val="32"/>
          <w:szCs w:val="32"/>
        </w:rPr>
      </w:pPr>
      <w:r>
        <w:rPr>
          <w:rFonts w:hint="eastAsia"/>
          <w:sz w:val="32"/>
          <w:szCs w:val="32"/>
        </w:rPr>
        <w:t>立足成渝地区双城经济圈建设，充分发挥江津与重庆市璧山、永川等区、四川省泸州市接壤优势，落实危险废物“白名单”制度，促进工业固体废物跨区域利用处置。依据区域发展定位、产业发展布局和工业固体废物产生量，合理规划处置设施建设。新增一般工业固体废物集中处置场1座，加快推进珞璜电厂污泥处置中心、园林科研院江津污泥处置中心项目建设。在2</w:t>
      </w:r>
      <w:r>
        <w:rPr>
          <w:sz w:val="32"/>
          <w:szCs w:val="32"/>
        </w:rPr>
        <w:t>025</w:t>
      </w:r>
      <w:r>
        <w:rPr>
          <w:rFonts w:hint="eastAsia"/>
          <w:sz w:val="32"/>
          <w:szCs w:val="32"/>
        </w:rPr>
        <w:t>年前建设江津区固体废弃物综合利用基地，实施危险废物的无害化处置；完成铝灰和含油金属屑综合利用项目建设。</w:t>
      </w:r>
      <w:r>
        <w:rPr>
          <w:sz w:val="32"/>
          <w:szCs w:val="32"/>
        </w:rPr>
        <w:t>实施</w:t>
      </w:r>
      <w:r>
        <w:rPr>
          <w:rFonts w:hint="eastAsia"/>
          <w:sz w:val="32"/>
          <w:szCs w:val="32"/>
        </w:rPr>
        <w:t>工业固体</w:t>
      </w:r>
      <w:r>
        <w:rPr>
          <w:sz w:val="32"/>
          <w:szCs w:val="32"/>
        </w:rPr>
        <w:t>废物利用处置行业整治提升行动</w:t>
      </w:r>
      <w:r>
        <w:rPr>
          <w:rFonts w:hint="eastAsia"/>
          <w:sz w:val="32"/>
          <w:szCs w:val="32"/>
        </w:rPr>
        <w:t>，</w:t>
      </w:r>
      <w:r>
        <w:rPr>
          <w:sz w:val="32"/>
          <w:szCs w:val="32"/>
        </w:rPr>
        <w:t>加大对行业优秀企业的政策扶持，优先支持其改建扩建，</w:t>
      </w:r>
      <w:r>
        <w:rPr>
          <w:rFonts w:hint="eastAsia"/>
          <w:sz w:val="32"/>
          <w:szCs w:val="32"/>
        </w:rPr>
        <w:t>建设至少</w:t>
      </w:r>
      <w:r>
        <w:rPr>
          <w:sz w:val="32"/>
          <w:szCs w:val="32"/>
        </w:rPr>
        <w:t>1</w:t>
      </w:r>
      <w:r>
        <w:rPr>
          <w:rFonts w:hint="eastAsia"/>
          <w:sz w:val="32"/>
          <w:szCs w:val="32"/>
        </w:rPr>
        <w:t>家“</w:t>
      </w:r>
      <w:r>
        <w:rPr>
          <w:sz w:val="32"/>
          <w:szCs w:val="32"/>
        </w:rPr>
        <w:t>排放清洁、技术先进、外观美丽、管理规范</w:t>
      </w:r>
      <w:r>
        <w:rPr>
          <w:rFonts w:hint="eastAsia"/>
          <w:sz w:val="32"/>
          <w:szCs w:val="32"/>
        </w:rPr>
        <w:t>”的固体废物回收利用处置骨干企业。</w:t>
      </w:r>
      <w:r>
        <w:rPr>
          <w:sz w:val="32"/>
          <w:szCs w:val="32"/>
        </w:rPr>
        <w:t xml:space="preserve"> </w:t>
      </w:r>
    </w:p>
    <w:p>
      <w:pPr>
        <w:pStyle w:val="3"/>
        <w:rPr>
          <w:rFonts w:ascii="FZFangSong-Z02" w:eastAsia="FZFangSong-Z02" w:hAnsi="FZFangSong-Z02"/>
          <w:sz w:val="32"/>
        </w:rPr>
      </w:pPr>
      <w:r>
        <w:rPr>
          <w:rFonts w:ascii="FZFangSong-Z02" w:eastAsia="FZFangSong-Z02" w:hAnsi="FZFangSong-Z02" w:hint="eastAsia"/>
          <w:sz w:val="32"/>
        </w:rPr>
        <w:t>3</w:t>
      </w:r>
      <w:r>
        <w:rPr>
          <w:rFonts w:ascii="FZFangSong-Z02" w:eastAsia="FZFangSong-Z02" w:hAnsi="FZFangSong-Z02"/>
          <w:sz w:val="32"/>
        </w:rPr>
        <w:t>.</w:t>
      </w:r>
      <w:r>
        <w:rPr>
          <w:rFonts w:ascii="FZFangSong-Z02" w:eastAsia="FZFangSong-Z02" w:hAnsi="FZFangSong-Z02" w:hint="eastAsia"/>
          <w:sz w:val="32"/>
        </w:rPr>
        <w:t>开展危险废物处置设施升级改造</w:t>
      </w:r>
    </w:p>
    <w:p>
      <w:pPr>
        <w:rPr>
          <w:rFonts w:ascii="FZKai-Z03" w:eastAsia="FZKai-Z03" w:hAnsi="FZKai-Z03"/>
          <w:sz w:val="32"/>
          <w:szCs w:val="32"/>
        </w:rPr>
      </w:pPr>
      <w:r>
        <w:rPr>
          <w:sz w:val="32"/>
          <w:szCs w:val="32"/>
          <w:lang w:val="zh-TW" w:eastAsia="zh-TW"/>
        </w:rPr>
        <w:t>以市场需求为导向，推进有价值危险废物资源化利用设施建设，提高危险废物资源化利用水平，减轻危险废物末端处置压力。鼓励现有资源化利用设施提档升级，</w:t>
      </w:r>
      <w:r>
        <w:rPr>
          <w:rFonts w:hint="eastAsia"/>
          <w:sz w:val="32"/>
          <w:szCs w:val="32"/>
          <w:lang w:val="zh-TW" w:eastAsia="zh-TW"/>
        </w:rPr>
        <w:t>实施危险废物综合利用技改项目和扩能工程</w:t>
      </w:r>
      <w:r>
        <w:rPr>
          <w:sz w:val="32"/>
          <w:szCs w:val="32"/>
          <w:lang w:val="zh-TW" w:eastAsia="zh-TW"/>
        </w:rPr>
        <w:t>。</w:t>
      </w:r>
      <w:r>
        <w:rPr>
          <w:rFonts w:hint="eastAsia"/>
          <w:sz w:val="32"/>
          <w:szCs w:val="32"/>
          <w:lang w:val="zh-TW" w:eastAsia="zh-TW"/>
        </w:rPr>
        <w:t>在2</w:t>
      </w:r>
      <w:r>
        <w:rPr>
          <w:sz w:val="32"/>
          <w:szCs w:val="32"/>
          <w:lang w:val="zh-TW" w:eastAsia="zh-TW"/>
        </w:rPr>
        <w:t>025</w:t>
      </w:r>
      <w:r>
        <w:rPr>
          <w:rFonts w:hint="eastAsia"/>
          <w:sz w:val="32"/>
          <w:szCs w:val="32"/>
          <w:lang w:val="zh-TW" w:eastAsia="zh-TW"/>
        </w:rPr>
        <w:t>年前</w:t>
      </w:r>
      <w:r>
        <w:rPr>
          <w:rFonts w:hint="eastAsia"/>
          <w:sz w:val="32"/>
          <w:szCs w:val="32"/>
        </w:rPr>
        <w:t>扩建江津区医疗废物处置中心，</w:t>
      </w:r>
      <w:bookmarkStart w:id="18" w:name="_Hlk69839284"/>
      <w:r>
        <w:rPr>
          <w:rFonts w:hint="eastAsia"/>
          <w:sz w:val="32"/>
          <w:szCs w:val="32"/>
        </w:rPr>
        <w:t>新建1条高温蒸煮生产线</w:t>
      </w:r>
      <w:bookmarkEnd w:id="18"/>
      <w:r>
        <w:rPr>
          <w:rFonts w:hint="eastAsia"/>
          <w:sz w:val="32"/>
          <w:szCs w:val="32"/>
        </w:rPr>
        <w:t>。开展部分危险废物经营单位技改项目，扩大废酸、废桶等危险废物处置能力。</w:t>
      </w:r>
      <w:r>
        <w:rPr>
          <w:sz w:val="32"/>
          <w:szCs w:val="32"/>
        </w:rPr>
        <w:t>鼓励专业化第三方机构从事</w:t>
      </w:r>
      <w:r>
        <w:rPr>
          <w:rFonts w:hint="eastAsia"/>
          <w:sz w:val="32"/>
          <w:szCs w:val="32"/>
        </w:rPr>
        <w:t>危险</w:t>
      </w:r>
      <w:r>
        <w:rPr>
          <w:sz w:val="32"/>
          <w:szCs w:val="32"/>
        </w:rPr>
        <w:t>废物资源化利用</w:t>
      </w:r>
      <w:r>
        <w:rPr>
          <w:rFonts w:hint="eastAsia"/>
          <w:sz w:val="32"/>
          <w:szCs w:val="32"/>
        </w:rPr>
        <w:t>处置</w:t>
      </w:r>
      <w:r>
        <w:rPr>
          <w:sz w:val="32"/>
          <w:szCs w:val="32"/>
        </w:rPr>
        <w:t>、环境污染治理与咨询服务。</w:t>
      </w:r>
      <w:r>
        <w:rPr>
          <w:rFonts w:hint="eastAsia"/>
          <w:sz w:val="32"/>
          <w:szCs w:val="32"/>
        </w:rPr>
        <w:t>组织实施</w:t>
      </w:r>
      <w:r>
        <w:rPr>
          <w:sz w:val="32"/>
          <w:szCs w:val="32"/>
        </w:rPr>
        <w:t>危险废物</w:t>
      </w:r>
      <w:r>
        <w:rPr>
          <w:rFonts w:hint="eastAsia"/>
          <w:sz w:val="32"/>
          <w:szCs w:val="32"/>
        </w:rPr>
        <w:t>经营单位</w:t>
      </w:r>
      <w:r>
        <w:rPr>
          <w:sz w:val="32"/>
          <w:szCs w:val="32"/>
        </w:rPr>
        <w:t>规范化</w:t>
      </w:r>
      <w:r>
        <w:rPr>
          <w:rFonts w:hint="eastAsia"/>
          <w:sz w:val="32"/>
          <w:szCs w:val="32"/>
        </w:rPr>
        <w:t>评估</w:t>
      </w:r>
      <w:r>
        <w:rPr>
          <w:sz w:val="32"/>
          <w:szCs w:val="32"/>
        </w:rPr>
        <w:t>工作，</w:t>
      </w:r>
      <w:r>
        <w:rPr>
          <w:rFonts w:hint="eastAsia"/>
          <w:sz w:val="32"/>
          <w:szCs w:val="32"/>
        </w:rPr>
        <w:t>推进</w:t>
      </w:r>
      <w:r>
        <w:rPr>
          <w:sz w:val="32"/>
          <w:szCs w:val="32"/>
        </w:rPr>
        <w:t>危险废物利用处置行业提升改造和扶优汰劣</w:t>
      </w:r>
      <w:r>
        <w:rPr>
          <w:rFonts w:hint="eastAsia"/>
          <w:sz w:val="32"/>
          <w:szCs w:val="32"/>
        </w:rPr>
        <w:t>。</w:t>
      </w:r>
    </w:p>
    <w:p>
      <w:pPr>
        <w:pStyle w:val="1"/>
        <w:ind w:firstLineChars="200" w:firstLine="634"/>
        <w:jc w:val="both"/>
        <w:rPr>
          <w:rFonts w:ascii="FZKai-Z03" w:eastAsia="FZKai-Z03" w:hAnsi="FZKai-Z03"/>
          <w:sz w:val="32"/>
          <w:szCs w:val="32"/>
        </w:rPr>
      </w:pPr>
      <w:bookmarkStart w:id="19" w:name="_Toc109310873"/>
      <w:r>
        <w:rPr>
          <w:rFonts w:ascii="FZKai-Z03" w:eastAsia="FZKai-Z03" w:hAnsi="FZKai-Z03" w:hint="eastAsia"/>
          <w:sz w:val="32"/>
          <w:szCs w:val="32"/>
        </w:rPr>
        <w:t>（五）开展监管能力建设，强化环境风险防控</w:t>
      </w:r>
      <w:bookmarkEnd w:id="19"/>
    </w:p>
    <w:p>
      <w:pPr>
        <w:pStyle w:val="3"/>
        <w:rPr>
          <w:rFonts w:ascii="FZFangSong-Z02" w:eastAsia="FZFangSong-Z02" w:hAnsi="FZFangSong-Z02"/>
          <w:sz w:val="32"/>
        </w:rPr>
      </w:pPr>
      <w:r>
        <w:rPr>
          <w:rFonts w:ascii="FZFangSong-Z02" w:eastAsia="FZFangSong-Z02" w:hAnsi="FZFangSong-Z02" w:hint="eastAsia"/>
          <w:sz w:val="32"/>
        </w:rPr>
        <w:t>1</w:t>
      </w:r>
      <w:r>
        <w:rPr>
          <w:rFonts w:ascii="FZFangSong-Z02" w:eastAsia="FZFangSong-Z02" w:hAnsi="FZFangSong-Z02"/>
          <w:sz w:val="32"/>
        </w:rPr>
        <w:t>.加强工业固体废物监管能力建设</w:t>
      </w:r>
    </w:p>
    <w:p>
      <w:pPr>
        <w:rPr>
          <w:rFonts w:eastAsia="KaiTi"/>
          <w:color w:val="000000"/>
          <w:kern w:val="0"/>
          <w:sz w:val="32"/>
          <w:szCs w:val="32"/>
        </w:rPr>
      </w:pPr>
      <w:r>
        <w:rPr>
          <w:rFonts w:hint="eastAsia"/>
          <w:sz w:val="32"/>
          <w:szCs w:val="32"/>
        </w:rPr>
        <w:t>配合</w:t>
      </w:r>
      <w:r>
        <w:rPr>
          <w:sz w:val="32"/>
          <w:szCs w:val="32"/>
        </w:rPr>
        <w:t>“无废城市”</w:t>
      </w:r>
      <w:r>
        <w:rPr>
          <w:rFonts w:hint="eastAsia"/>
          <w:sz w:val="32"/>
          <w:szCs w:val="32"/>
        </w:rPr>
        <w:t>建设</w:t>
      </w:r>
      <w:r>
        <w:rPr>
          <w:sz w:val="32"/>
          <w:szCs w:val="32"/>
        </w:rPr>
        <w:t>，建立健全跨领域、跨部门、跨区域的工业固体废物管理体系。加强工业</w:t>
      </w:r>
      <w:r>
        <w:rPr>
          <w:color w:val="000000"/>
          <w:kern w:val="0"/>
          <w:sz w:val="32"/>
          <w:szCs w:val="32"/>
        </w:rPr>
        <w:t>固体废物专业机构及</w:t>
      </w:r>
      <w:r>
        <w:rPr>
          <w:sz w:val="32"/>
          <w:szCs w:val="32"/>
        </w:rPr>
        <w:t>专业人才队伍建设，切实提升工业固体废物环境监管能力和</w:t>
      </w:r>
      <w:r>
        <w:rPr>
          <w:color w:val="000000"/>
          <w:kern w:val="0"/>
          <w:sz w:val="32"/>
          <w:szCs w:val="32"/>
        </w:rPr>
        <w:t>重难点问题解决能力</w:t>
      </w:r>
      <w:r>
        <w:rPr>
          <w:sz w:val="32"/>
          <w:szCs w:val="32"/>
        </w:rPr>
        <w:t>。每</w:t>
      </w:r>
      <w:r>
        <w:rPr>
          <w:color w:val="000000"/>
          <w:kern w:val="0"/>
          <w:sz w:val="32"/>
          <w:szCs w:val="32"/>
        </w:rPr>
        <w:t>年定期组织召开全区固体废物环境管理工作会，加强对生态环境保护督</w:t>
      </w:r>
      <w:r>
        <w:rPr>
          <w:rFonts w:hint="eastAsia"/>
          <w:color w:val="000000"/>
          <w:kern w:val="0"/>
          <w:sz w:val="32"/>
          <w:szCs w:val="32"/>
          <w:lang w:eastAsia="zh-CN"/>
        </w:rPr>
        <w:t>察</w:t>
      </w:r>
      <w:r>
        <w:rPr>
          <w:color w:val="000000"/>
          <w:kern w:val="0"/>
          <w:sz w:val="32"/>
          <w:szCs w:val="32"/>
        </w:rPr>
        <w:t>、环境影响评价、排污许可、环境执法和固体废物管理机构人员的技术培训和交流。</w:t>
      </w:r>
      <w:r>
        <w:rPr>
          <w:sz w:val="32"/>
          <w:szCs w:val="32"/>
        </w:rPr>
        <w:t>贯彻落实</w:t>
      </w:r>
      <w:r>
        <w:rPr>
          <w:rFonts w:ascii="Arial" w:cs="Arial" w:hAnsi="Arial"/>
          <w:color w:val="000000"/>
          <w:spacing w:val="15"/>
          <w:sz w:val="32"/>
          <w:szCs w:val="32"/>
          <w:shd w:val="clear" w:color="auto" w:fill="FFFFFF"/>
        </w:rPr>
        <w:t>《一般工业固体废物管理台账制定指南》</w:t>
      </w:r>
      <w:r>
        <w:rPr>
          <w:rFonts w:hint="eastAsia"/>
          <w:sz w:val="32"/>
          <w:szCs w:val="32"/>
        </w:rPr>
        <w:t>，推动辖区内</w:t>
      </w:r>
      <w:r>
        <w:rPr>
          <w:sz w:val="32"/>
          <w:szCs w:val="32"/>
        </w:rPr>
        <w:t>产生工业固体废物的单位建立工业固体废物管理台账，实现工业固体废物</w:t>
      </w:r>
      <w:r>
        <w:rPr>
          <w:rFonts w:hint="eastAsia"/>
          <w:sz w:val="32"/>
          <w:szCs w:val="32"/>
        </w:rPr>
        <w:t>的</w:t>
      </w:r>
      <w:r>
        <w:rPr>
          <w:sz w:val="32"/>
          <w:szCs w:val="32"/>
        </w:rPr>
        <w:t>可追溯、可查询。推进危险废物规范化环境管理，按照生态环境部《关于印发“十四五”全国危险废物规范化环境管理评估工作方案的通知》和重庆市相关要求，应用新的危险废物规范化环境管理评估指标体系</w:t>
      </w:r>
      <w:r>
        <w:rPr>
          <w:rFonts w:hint="eastAsia"/>
          <w:sz w:val="32"/>
          <w:szCs w:val="32"/>
        </w:rPr>
        <w:t>，通过</w:t>
      </w:r>
      <w:r>
        <w:rPr>
          <w:sz w:val="32"/>
          <w:szCs w:val="32"/>
        </w:rPr>
        <w:t>第三方</w:t>
      </w:r>
      <w:r>
        <w:rPr>
          <w:rFonts w:hint="eastAsia"/>
          <w:sz w:val="32"/>
          <w:szCs w:val="32"/>
        </w:rPr>
        <w:t>专业机构</w:t>
      </w:r>
      <w:r>
        <w:rPr>
          <w:sz w:val="32"/>
          <w:szCs w:val="32"/>
        </w:rPr>
        <w:t>开展工业危险废物产生单位和经营单位的抽查检查，抽查结果纳入</w:t>
      </w:r>
      <w:r>
        <w:rPr>
          <w:rFonts w:hint="eastAsia"/>
          <w:sz w:val="32"/>
          <w:szCs w:val="32"/>
        </w:rPr>
        <w:t>街镇</w:t>
      </w:r>
      <w:r>
        <w:rPr>
          <w:sz w:val="32"/>
          <w:szCs w:val="32"/>
        </w:rPr>
        <w:t>年度绩效考核指标体系，督促落实企业环境保护主体责任。</w:t>
      </w:r>
      <w:r>
        <w:rPr>
          <w:rFonts w:hint="eastAsia"/>
          <w:sz w:val="32"/>
          <w:szCs w:val="32"/>
        </w:rPr>
        <w:t>开展含油金属屑和铝灰等危险废物管理情况调研并整理企业问题清单，开展限期整改。</w:t>
      </w:r>
      <w:r>
        <w:rPr>
          <w:sz w:val="32"/>
          <w:szCs w:val="32"/>
        </w:rPr>
        <w:t>打造</w:t>
      </w:r>
      <w:r>
        <w:rPr>
          <w:rFonts w:hint="eastAsia"/>
          <w:sz w:val="32"/>
          <w:szCs w:val="32"/>
        </w:rPr>
        <w:t>重点行业</w:t>
      </w:r>
      <w:r>
        <w:rPr>
          <w:sz w:val="32"/>
          <w:szCs w:val="32"/>
        </w:rPr>
        <w:t>危险废物规范化标杆企业，开展危险废物贮存设施整改和管理制度优化，提升行业危险废物管理能力。深入开展危险废物精细化管理工作，将一、二类机动车维修企业、报废汽车单位、二级以上医疗机构、重点检验机构及危险废物集中收集贮存转运试点单位纳入精细化管理。</w:t>
      </w:r>
    </w:p>
    <w:p>
      <w:pPr>
        <w:pStyle w:val="3"/>
        <w:rPr>
          <w:rFonts w:ascii="FZFangSong-Z02" w:eastAsia="FZFangSong-Z02" w:hAnsi="FZFangSong-Z02"/>
          <w:sz w:val="32"/>
        </w:rPr>
      </w:pPr>
      <w:r>
        <w:rPr>
          <w:rFonts w:ascii="FZFangSong-Z02" w:eastAsia="FZFangSong-Z02" w:hAnsi="FZFangSong-Z02" w:hint="eastAsia"/>
          <w:sz w:val="32"/>
        </w:rPr>
        <w:t>2</w:t>
      </w:r>
      <w:r>
        <w:rPr>
          <w:rFonts w:ascii="FZFangSong-Z02" w:eastAsia="FZFangSong-Z02" w:hAnsi="FZFangSong-Z02"/>
          <w:sz w:val="32"/>
        </w:rPr>
        <w:t>.加强工业固体废物应急处置能力建设</w:t>
      </w:r>
    </w:p>
    <w:p>
      <w:pPr>
        <w:rPr>
          <w:sz w:val="32"/>
          <w:szCs w:val="32"/>
        </w:rPr>
      </w:pPr>
      <w:r>
        <w:rPr>
          <w:sz w:val="32"/>
          <w:szCs w:val="32"/>
        </w:rPr>
        <w:t>完善工业固体废物污染事故应急处置专业化队伍和应急处置网络。提高工业固体废物污染控制应急处理技术和装备水平，配置专业化的工业固体废物环境监测装备，重点配置能够快速现场检测分析工业固体废物危害性质的监测仪器与装备。加快推进工业固体废物</w:t>
      </w:r>
      <w:r>
        <w:rPr>
          <w:rFonts w:hint="eastAsia"/>
          <w:sz w:val="32"/>
          <w:szCs w:val="32"/>
        </w:rPr>
        <w:t>应急</w:t>
      </w:r>
      <w:r>
        <w:rPr>
          <w:sz w:val="32"/>
          <w:szCs w:val="32"/>
        </w:rPr>
        <w:t>管理，实现污染事故影响迁移的动态跟踪、危害评估和应急处置。积极应用工业固体废物风险防控与利用处置装备，通过现有渠道积极支持相关活动。开展多部门合作的工业固体废物突发环境事件的应急演练，完善现场处置指挥与协调制度以及信息报告和公开机制。将危险废物综合收集单位纳入工业固体废物突发环境事件应急处置社会化救援队伍。</w:t>
      </w:r>
    </w:p>
    <w:p>
      <w:pPr>
        <w:pStyle w:val="3"/>
        <w:rPr>
          <w:rFonts w:ascii="FZFangSong-Z02" w:eastAsia="FZFangSong-Z02" w:hAnsi="FZFangSong-Z02"/>
          <w:sz w:val="32"/>
        </w:rPr>
      </w:pPr>
      <w:r>
        <w:rPr>
          <w:rFonts w:ascii="FZFangSong-Z02" w:eastAsia="FZFangSong-Z02" w:hAnsi="FZFangSong-Z02" w:hint="eastAsia"/>
          <w:sz w:val="32"/>
        </w:rPr>
        <w:t>3</w:t>
      </w:r>
      <w:r>
        <w:rPr>
          <w:rFonts w:ascii="FZFangSong-Z02" w:eastAsia="FZFangSong-Z02" w:hAnsi="FZFangSong-Z02"/>
          <w:sz w:val="32"/>
        </w:rPr>
        <w:t>.加强工业固体废物环境执法能力建设</w:t>
      </w:r>
    </w:p>
    <w:p>
      <w:pPr>
        <w:rPr>
          <w:sz w:val="32"/>
          <w:szCs w:val="32"/>
        </w:rPr>
      </w:pPr>
      <w:r>
        <w:rPr>
          <w:sz w:val="32"/>
          <w:szCs w:val="32"/>
        </w:rPr>
        <w:t>强化生态环境保护综合执法队伍能力建设，加强专业人才队伍建设，配齐配强人员力量，切实提升工业固体废物环境监管和风险防控能力。加强工业固体废物管理信息共享与联动执法，定期对涉危险化学品、危险废物、港口码头、水源地、地灾点、水灾隐患开展环境安全排查整治专项行动，实行销号制度，严厉打击涉危险废物违法犯罪行为并加强预警监控。将工业固体废物日常环境监管纳入生态环境执法“双随机、一公开”内容，构成违法行为的依法查处。加强对工业固体废物申报造假、不执行危险废物转移联单制度、非法收集、贮存、利用、处置危险废物等违法行为的查处力度。开展危险废物专项治理，2022年以巩固提升重点行业危险废物规范化管理为重点，持续开展打击危险废物环境违法犯罪专项行动，依法严肃查处违规堆存、随意倾倒以及非法填埋危险废物等环境违法行为。强化行政执法与刑事司法、检察公益诉讼的协调联动，实施联合惩戒，发现、处置、侦破固体废物环境污染刑事立案率实现100%</w:t>
      </w:r>
      <w:r>
        <w:rPr>
          <w:rFonts w:hint="eastAsia"/>
          <w:sz w:val="32"/>
          <w:szCs w:val="32"/>
        </w:rPr>
        <w:t>，涉固体废物信访、投诉、举报案件办结率</w:t>
      </w:r>
      <w:r>
        <w:rPr>
          <w:sz w:val="32"/>
          <w:szCs w:val="32"/>
        </w:rPr>
        <w:t>100%。</w:t>
      </w:r>
    </w:p>
    <w:p>
      <w:pPr>
        <w:pStyle w:val="3"/>
        <w:rPr>
          <w:rFonts w:ascii="FZFangSong-Z02" w:eastAsia="FZFangSong-Z02" w:hAnsi="FZFangSong-Z02"/>
          <w:sz w:val="32"/>
        </w:rPr>
      </w:pPr>
      <w:r>
        <w:rPr>
          <w:rFonts w:ascii="FZFangSong-Z02" w:eastAsia="FZFangSong-Z02" w:hAnsi="FZFangSong-Z02" w:hint="eastAsia"/>
          <w:sz w:val="32"/>
        </w:rPr>
        <w:t>4</w:t>
      </w:r>
      <w:r>
        <w:rPr>
          <w:rFonts w:ascii="FZFangSong-Z02" w:eastAsia="FZFangSong-Z02" w:hAnsi="FZFangSong-Z02"/>
          <w:sz w:val="32"/>
        </w:rPr>
        <w:t>.加强企业环境风险评估和预警</w:t>
      </w:r>
      <w:r>
        <w:rPr>
          <w:rFonts w:ascii="FZFangSong-Z02" w:eastAsia="FZFangSong-Z02" w:hAnsi="FZFangSong-Z02" w:hint="eastAsia"/>
          <w:sz w:val="32"/>
        </w:rPr>
        <w:t>建设</w:t>
      </w:r>
    </w:p>
    <w:p>
      <w:pPr>
        <w:rPr>
          <w:sz w:val="32"/>
          <w:szCs w:val="32"/>
        </w:rPr>
      </w:pPr>
      <w:r>
        <w:rPr>
          <w:sz w:val="32"/>
          <w:szCs w:val="32"/>
        </w:rPr>
        <w:t>落实企业法人代表环境安全问责制，提高应对突发环境事件责任和意识。落实危险废物重点产生单位和经营单位突发环境事件风险评估制度，推进突发环境事件风险分类分级管理。</w:t>
      </w:r>
      <w:r>
        <w:rPr>
          <w:rFonts w:hint="eastAsia"/>
          <w:sz w:val="32"/>
          <w:szCs w:val="32"/>
        </w:rPr>
        <w:t>将工业固体废物纳入</w:t>
      </w:r>
      <w:r>
        <w:rPr>
          <w:sz w:val="32"/>
          <w:szCs w:val="32"/>
        </w:rPr>
        <w:t>区域环境风险防范预警体系，强化生态环境、经济信息、交通、公安等多部门的监控预警、信息通报、处置措施、应急资源等衔接与联动。结合防范化解生态环境领域重大风险攻坚工作，综合水文、气象、舆情等因素，加强环境风险评估分析与研判。</w:t>
      </w:r>
      <w:r>
        <w:rPr>
          <w:rFonts w:hint="eastAsia"/>
          <w:sz w:val="32"/>
          <w:szCs w:val="32"/>
        </w:rPr>
        <w:t>推动华能珞璜电厂罗家湾、核桃湾2个渣场（尾矿库）的综合整治工作，降低环境污染风险。</w:t>
      </w:r>
      <w:r>
        <w:rPr>
          <w:sz w:val="32"/>
          <w:szCs w:val="32"/>
        </w:rPr>
        <w:t>推动</w:t>
      </w:r>
      <w:r>
        <w:rPr>
          <w:rFonts w:hint="eastAsia"/>
          <w:sz w:val="32"/>
          <w:szCs w:val="32"/>
        </w:rPr>
        <w:t>工业</w:t>
      </w:r>
      <w:r>
        <w:rPr>
          <w:sz w:val="32"/>
          <w:szCs w:val="32"/>
        </w:rPr>
        <w:t>固体废物产生企业和危险废物经营单位落实污染物排放控制措施和环境管理要求，按规定开展自行监测，定期上报执行报告和开展信息公开，自觉接受监督检查，实现工业固体废物全面达标排放。</w:t>
      </w:r>
      <w:r>
        <w:rPr>
          <w:rFonts w:hint="eastAsia"/>
          <w:sz w:val="32"/>
          <w:szCs w:val="32"/>
        </w:rPr>
        <w:t>推动落实环境污染责任保险，从危险废物经营单位逐步扩展到固体废物经营单位和工业固体废物重点产废单位。</w:t>
      </w:r>
    </w:p>
    <w:p>
      <w:pPr>
        <w:pStyle w:val="3"/>
        <w:rPr>
          <w:rFonts w:ascii="FZFangSong-Z02" w:eastAsia="FZFangSong-Z02" w:hAnsi="FZFangSong-Z02"/>
          <w:sz w:val="32"/>
        </w:rPr>
      </w:pPr>
      <w:r>
        <w:rPr>
          <w:rFonts w:ascii="FZFangSong-Z02" w:eastAsia="FZFangSong-Z02" w:hAnsi="FZFangSong-Z02" w:hint="eastAsia"/>
          <w:sz w:val="32"/>
        </w:rPr>
        <w:t>5</w:t>
      </w:r>
      <w:r>
        <w:rPr>
          <w:rFonts w:ascii="FZFangSong-Z02" w:eastAsia="FZFangSong-Z02" w:hAnsi="FZFangSong-Z02"/>
          <w:sz w:val="32"/>
        </w:rPr>
        <w:t>.</w:t>
      </w:r>
      <w:r>
        <w:rPr>
          <w:rFonts w:ascii="FZFangSong-Z02" w:eastAsia="FZFangSong-Z02" w:hAnsi="FZFangSong-Z02" w:hint="eastAsia"/>
          <w:sz w:val="32"/>
        </w:rPr>
        <w:t>加强</w:t>
      </w:r>
      <w:r>
        <w:rPr>
          <w:rFonts w:ascii="FZFangSong-Z02" w:eastAsia="FZFangSong-Z02" w:hAnsi="FZFangSong-Z02"/>
          <w:sz w:val="32"/>
        </w:rPr>
        <w:t>企业环境信用</w:t>
      </w:r>
      <w:r>
        <w:rPr>
          <w:rFonts w:ascii="FZFangSong-Z02" w:eastAsia="FZFangSong-Z02" w:hAnsi="FZFangSong-Z02" w:hint="eastAsia"/>
          <w:sz w:val="32"/>
        </w:rPr>
        <w:t>评价建设</w:t>
      </w:r>
    </w:p>
    <w:p>
      <w:pPr>
        <w:rPr>
          <w:sz w:val="32"/>
          <w:szCs w:val="32"/>
        </w:rPr>
      </w:pPr>
      <w:r>
        <w:rPr>
          <w:sz w:val="32"/>
          <w:szCs w:val="32"/>
        </w:rPr>
        <w:t>严格落实《重庆市企业环境信用评价办法》，全面实施企业环境信用评价制度和动态调整机制，依法依规向社会公开工业固体废物产生企业环境信用信息。健全企业环境信用信息共享，强化信用评价结果运用，推行企业环境信用与政府采购、财税补贴、评先创优、水电价、信贷等挂钩机制。落实排污企业“红黑名单”制度、环境信用积分制度、失信惩戒机制。落实国家上市公司环境信息披露相关要求及配套激励约束机制，落实环境影响评价单位、社会化环境监测单位、危险废物经营单位等环保服务企业的信用评价制度。到2025年，纳入企业环境信用评价范围的工业固体废物相关企业数量</w:t>
      </w:r>
      <w:r>
        <w:rPr>
          <w:rFonts w:hint="eastAsia"/>
          <w:sz w:val="32"/>
          <w:szCs w:val="32"/>
        </w:rPr>
        <w:t>实现全覆盖</w:t>
      </w:r>
      <w:r>
        <w:rPr>
          <w:sz w:val="32"/>
          <w:szCs w:val="32"/>
        </w:rPr>
        <w:t>。</w:t>
      </w:r>
    </w:p>
    <w:p>
      <w:pPr>
        <w:pStyle w:val="3"/>
        <w:rPr>
          <w:rFonts w:ascii="FZFangSong-Z02" w:eastAsia="FZFangSong-Z02" w:hAnsi="FZFangSong-Z02"/>
          <w:sz w:val="32"/>
        </w:rPr>
      </w:pPr>
      <w:r>
        <w:rPr>
          <w:rFonts w:ascii="FZFangSong-Z02" w:eastAsia="FZFangSong-Z02" w:hAnsi="FZFangSong-Z02" w:hint="eastAsia"/>
          <w:sz w:val="32"/>
        </w:rPr>
        <w:t>6</w:t>
      </w:r>
      <w:r>
        <w:rPr>
          <w:rFonts w:ascii="FZFangSong-Z02" w:eastAsia="FZFangSong-Z02" w:hAnsi="FZFangSong-Z02"/>
          <w:sz w:val="32"/>
        </w:rPr>
        <w:t>.推动工业固体废物信息化建设</w:t>
      </w:r>
    </w:p>
    <w:p>
      <w:pPr>
        <w:rPr>
          <w:sz w:val="32"/>
          <w:szCs w:val="32"/>
        </w:rPr>
      </w:pPr>
      <w:r>
        <w:rPr>
          <w:rFonts w:hint="eastAsia"/>
          <w:sz w:val="32"/>
          <w:szCs w:val="32"/>
        </w:rPr>
        <w:t>深化应用重庆市固体废物管理信息系统，</w:t>
      </w:r>
      <w:r>
        <w:rPr>
          <w:sz w:val="32"/>
          <w:szCs w:val="32"/>
        </w:rPr>
        <w:t>自2022年起，推进年产生量100吨及以上的一般工业固体废物产生企业建立工业固体废物管理电子月台账，有序推进</w:t>
      </w:r>
      <w:r>
        <w:rPr>
          <w:rFonts w:hint="eastAsia"/>
          <w:sz w:val="32"/>
          <w:szCs w:val="32"/>
        </w:rPr>
        <w:t>工业固体</w:t>
      </w:r>
      <w:r>
        <w:rPr>
          <w:sz w:val="32"/>
          <w:szCs w:val="32"/>
        </w:rPr>
        <w:t>废物产生、收集、贮存、转移、利用、处置等全过程监控和信息化追溯。到2025年，实现固体废物管理信息系统企事业单位覆盖率达到95%。</w:t>
      </w:r>
    </w:p>
    <w:p>
      <w:pPr>
        <w:pStyle w:val="3"/>
        <w:rPr>
          <w:rFonts w:ascii="FZFangSong-Z02" w:eastAsia="FZFangSong-Z02" w:hAnsi="FZFangSong-Z02"/>
          <w:sz w:val="32"/>
        </w:rPr>
      </w:pPr>
      <w:r>
        <w:rPr>
          <w:rFonts w:ascii="FZFangSong-Z02" w:eastAsia="FZFangSong-Z02" w:hAnsi="FZFangSong-Z02" w:hint="eastAsia"/>
          <w:sz w:val="32"/>
        </w:rPr>
        <w:t>7</w:t>
      </w:r>
      <w:r>
        <w:rPr>
          <w:rFonts w:ascii="FZFangSong-Z02" w:eastAsia="FZFangSong-Z02" w:hAnsi="FZFangSong-Z02"/>
          <w:sz w:val="32"/>
        </w:rPr>
        <w:t>.</w:t>
      </w:r>
      <w:r>
        <w:rPr>
          <w:rFonts w:ascii="FZFangSong-Z02" w:eastAsia="FZFangSong-Z02" w:hAnsi="FZFangSong-Z02" w:hint="eastAsia"/>
          <w:sz w:val="32"/>
        </w:rPr>
        <w:t>加强</w:t>
      </w:r>
      <w:r>
        <w:rPr>
          <w:rFonts w:ascii="FZFangSong-Z02" w:eastAsia="FZFangSong-Z02" w:hAnsi="FZFangSong-Z02"/>
          <w:sz w:val="32"/>
        </w:rPr>
        <w:t>生态环境行业专家智库</w:t>
      </w:r>
      <w:r>
        <w:rPr>
          <w:rFonts w:ascii="FZFangSong-Z02" w:eastAsia="FZFangSong-Z02" w:hAnsi="FZFangSong-Z02" w:hint="eastAsia"/>
          <w:sz w:val="32"/>
        </w:rPr>
        <w:t>建设</w:t>
      </w:r>
    </w:p>
    <w:p>
      <w:pPr>
        <w:rPr>
          <w:sz w:val="32"/>
          <w:szCs w:val="32"/>
        </w:rPr>
      </w:pPr>
      <w:r>
        <w:rPr>
          <w:sz w:val="32"/>
          <w:szCs w:val="32"/>
        </w:rPr>
        <w:t>依托重庆市固体废物专家库、生态环境技术评估专家库、排污许可专家库、环境应急专家库等各类专家库和智库，对固体废物项目准入、清洁生产、危险废物规范化、危险废物经营许可证核查、风险评估及应急预案、固体废物排污许可等方面进行专家论证</w:t>
      </w:r>
      <w:r>
        <w:rPr>
          <w:rFonts w:hint="eastAsia"/>
          <w:sz w:val="32"/>
          <w:szCs w:val="32"/>
        </w:rPr>
        <w:t>。</w:t>
      </w:r>
    </w:p>
    <w:p>
      <w:pPr>
        <w:pStyle w:val="1"/>
        <w:ind w:firstLineChars="200" w:firstLine="634"/>
        <w:jc w:val="both"/>
        <w:rPr>
          <w:rFonts w:ascii="FZHei-B01" w:eastAsia="FZHei-B01" w:hAnsi="FZHei-B01"/>
          <w:sz w:val="32"/>
          <w:szCs w:val="32"/>
        </w:rPr>
      </w:pPr>
      <w:bookmarkStart w:id="20" w:name="_Toc109310874"/>
      <w:bookmarkStart w:id="21" w:name="_Toc81861355"/>
      <w:bookmarkStart w:id="22" w:name="_Toc81859815"/>
      <w:r>
        <w:rPr>
          <w:rFonts w:ascii="FZHei-B01" w:eastAsia="FZHei-B01" w:hAnsi="FZHei-B01" w:hint="eastAsia"/>
          <w:sz w:val="32"/>
          <w:szCs w:val="32"/>
        </w:rPr>
        <w:t>四、重点项目</w:t>
      </w:r>
      <w:bookmarkEnd w:id="20"/>
      <w:bookmarkEnd w:id="21"/>
      <w:bookmarkEnd w:id="22"/>
    </w:p>
    <w:p>
      <w:pPr>
        <w:rPr>
          <w:sz w:val="32"/>
          <w:szCs w:val="32"/>
        </w:rPr>
      </w:pPr>
      <w:bookmarkStart w:id="23" w:name="_Toc81861356"/>
      <w:bookmarkStart w:id="24" w:name="_Toc81859816"/>
      <w:bookmarkStart w:id="25" w:name="_Toc33003020"/>
      <w:r>
        <w:rPr>
          <w:rFonts w:hint="eastAsia"/>
          <w:sz w:val="32"/>
          <w:szCs w:val="32"/>
        </w:rPr>
        <w:t>“十四五”期间，江津区拟投资</w:t>
      </w:r>
      <w:r>
        <w:rPr>
          <w:sz w:val="32"/>
          <w:szCs w:val="32"/>
        </w:rPr>
        <w:t>62350</w:t>
      </w:r>
      <w:r>
        <w:rPr>
          <w:rFonts w:hint="eastAsia"/>
          <w:sz w:val="32"/>
          <w:szCs w:val="32"/>
        </w:rPr>
        <w:t>万元，共开展</w:t>
      </w:r>
      <w:r>
        <w:rPr>
          <w:sz w:val="32"/>
          <w:szCs w:val="32"/>
        </w:rPr>
        <w:t>13</w:t>
      </w:r>
      <w:r>
        <w:rPr>
          <w:rFonts w:hint="eastAsia"/>
          <w:sz w:val="32"/>
          <w:szCs w:val="32"/>
        </w:rPr>
        <w:t>个工业固体废物项目建设。其中工程项目</w:t>
      </w:r>
      <w:r>
        <w:rPr>
          <w:sz w:val="32"/>
          <w:szCs w:val="32"/>
        </w:rPr>
        <w:t>8</w:t>
      </w:r>
      <w:r>
        <w:rPr>
          <w:rFonts w:hint="eastAsia"/>
          <w:sz w:val="32"/>
          <w:szCs w:val="32"/>
        </w:rPr>
        <w:t>个，投资</w:t>
      </w:r>
      <w:r>
        <w:rPr>
          <w:sz w:val="32"/>
          <w:szCs w:val="32"/>
        </w:rPr>
        <w:t>61650</w:t>
      </w:r>
      <w:r>
        <w:rPr>
          <w:rFonts w:hint="eastAsia"/>
          <w:sz w:val="32"/>
          <w:szCs w:val="32"/>
        </w:rPr>
        <w:t>万元，占总投资的</w:t>
      </w:r>
      <w:r>
        <w:rPr>
          <w:sz w:val="32"/>
          <w:szCs w:val="32"/>
        </w:rPr>
        <w:t>98.88%</w:t>
      </w:r>
      <w:r>
        <w:rPr>
          <w:rFonts w:hint="eastAsia"/>
          <w:sz w:val="32"/>
          <w:szCs w:val="32"/>
        </w:rPr>
        <w:t>，主要来源于企业自筹；工业固体废物能力建设及配套政策项目</w:t>
      </w:r>
      <w:r>
        <w:rPr>
          <w:sz w:val="32"/>
          <w:szCs w:val="32"/>
        </w:rPr>
        <w:t>5</w:t>
      </w:r>
      <w:r>
        <w:rPr>
          <w:rFonts w:hint="eastAsia"/>
          <w:sz w:val="32"/>
          <w:szCs w:val="32"/>
        </w:rPr>
        <w:t>个，投资</w:t>
      </w:r>
      <w:r>
        <w:rPr>
          <w:sz w:val="32"/>
          <w:szCs w:val="32"/>
        </w:rPr>
        <w:t>700</w:t>
      </w:r>
      <w:r>
        <w:rPr>
          <w:rFonts w:hint="eastAsia"/>
          <w:sz w:val="32"/>
          <w:szCs w:val="32"/>
        </w:rPr>
        <w:t>万元，占总投资的</w:t>
      </w:r>
      <w:r>
        <w:rPr>
          <w:sz w:val="32"/>
          <w:szCs w:val="32"/>
        </w:rPr>
        <w:t>1.12%</w:t>
      </w:r>
      <w:r>
        <w:rPr>
          <w:rFonts w:hint="eastAsia"/>
          <w:sz w:val="32"/>
          <w:szCs w:val="32"/>
        </w:rPr>
        <w:t>，主要为区财政投入。详见附件</w:t>
      </w:r>
      <w:r>
        <w:rPr>
          <w:sz w:val="32"/>
          <w:szCs w:val="32"/>
        </w:rPr>
        <w:t>2</w:t>
      </w:r>
      <w:r>
        <w:rPr>
          <w:rFonts w:hint="eastAsia"/>
          <w:sz w:val="32"/>
          <w:szCs w:val="32"/>
        </w:rPr>
        <w:t>。</w:t>
      </w:r>
    </w:p>
    <w:p>
      <w:pPr>
        <w:pStyle w:val="1"/>
        <w:ind w:firstLineChars="200" w:firstLine="634"/>
        <w:jc w:val="both"/>
        <w:rPr>
          <w:rFonts w:ascii="FZHei-B01" w:eastAsia="FZHei-B01" w:hAnsi="FZHei-B01"/>
          <w:sz w:val="32"/>
          <w:szCs w:val="32"/>
        </w:rPr>
      </w:pPr>
      <w:bookmarkStart w:id="26" w:name="_Toc109310875"/>
      <w:r>
        <w:rPr>
          <w:rFonts w:ascii="FZHei-B01" w:eastAsia="FZHei-B01" w:hAnsi="FZHei-B01" w:hint="eastAsia"/>
          <w:sz w:val="32"/>
          <w:szCs w:val="32"/>
        </w:rPr>
        <w:t>五、保障措施</w:t>
      </w:r>
      <w:bookmarkEnd w:id="23"/>
      <w:bookmarkEnd w:id="24"/>
      <w:bookmarkEnd w:id="25"/>
      <w:bookmarkEnd w:id="26"/>
    </w:p>
    <w:p>
      <w:pPr>
        <w:pStyle w:val="1"/>
        <w:ind w:firstLineChars="200" w:firstLine="634"/>
        <w:jc w:val="both"/>
        <w:rPr>
          <w:rFonts w:ascii="FZKai-Z03" w:eastAsia="FZKai-Z03" w:hAnsi="FZKai-Z03"/>
          <w:sz w:val="32"/>
          <w:szCs w:val="32"/>
        </w:rPr>
      </w:pPr>
      <w:bookmarkStart w:id="27" w:name="_Toc81861357"/>
      <w:bookmarkStart w:id="28" w:name="_Toc81859817"/>
      <w:bookmarkStart w:id="29" w:name="_Toc109310876"/>
      <w:r>
        <w:rPr>
          <w:rFonts w:ascii="FZKai-Z03" w:eastAsia="FZKai-Z03" w:hAnsi="FZKai-Z03" w:hint="eastAsia"/>
          <w:sz w:val="32"/>
          <w:szCs w:val="32"/>
        </w:rPr>
        <w:t>（一）组织保障</w:t>
      </w:r>
      <w:bookmarkEnd w:id="27"/>
      <w:bookmarkEnd w:id="28"/>
      <w:bookmarkEnd w:id="29"/>
    </w:p>
    <w:p>
      <w:pPr>
        <w:rPr>
          <w:sz w:val="32"/>
          <w:szCs w:val="32"/>
        </w:rPr>
      </w:pPr>
      <w:r>
        <w:rPr>
          <w:rFonts w:hint="eastAsia"/>
          <w:sz w:val="32"/>
          <w:szCs w:val="32"/>
        </w:rPr>
        <w:t>本规划经区人民政府审议批准实施。区生态环境局、发展改革委、经济信息委、商委、财政局、交通局等</w:t>
      </w:r>
      <w:r>
        <w:rPr>
          <w:sz w:val="32"/>
          <w:szCs w:val="32"/>
        </w:rPr>
        <w:t>部门要各司其职，加强协调配合，解决</w:t>
      </w:r>
      <w:r>
        <w:rPr>
          <w:rFonts w:hint="eastAsia"/>
          <w:sz w:val="32"/>
          <w:szCs w:val="32"/>
        </w:rPr>
        <w:t>规划实施</w:t>
      </w:r>
      <w:r>
        <w:rPr>
          <w:sz w:val="32"/>
          <w:szCs w:val="32"/>
        </w:rPr>
        <w:t>过程中出现的问题和困难，并按照职责分工切实做好职责范围内的监督管理</w:t>
      </w:r>
      <w:r>
        <w:rPr>
          <w:rFonts w:hint="eastAsia"/>
          <w:sz w:val="32"/>
          <w:szCs w:val="32"/>
        </w:rPr>
        <w:t>和</w:t>
      </w:r>
      <w:r>
        <w:rPr>
          <w:sz w:val="32"/>
          <w:szCs w:val="32"/>
        </w:rPr>
        <w:t>工业固体废物污染环境防治工作</w:t>
      </w:r>
      <w:r>
        <w:rPr>
          <w:rFonts w:hint="eastAsia"/>
          <w:sz w:val="32"/>
          <w:szCs w:val="32"/>
        </w:rPr>
        <w:t>。各镇街要</w:t>
      </w:r>
      <w:r>
        <w:rPr>
          <w:sz w:val="32"/>
          <w:szCs w:val="32"/>
        </w:rPr>
        <w:t>细化深化落实规划重点任务，明确措施、责任、期限，提高规划执行力。依法开展规划实施的监管和评估，到期组织开展规划终期评估，评估结果向</w:t>
      </w:r>
      <w:r>
        <w:rPr>
          <w:rFonts w:hint="eastAsia"/>
          <w:sz w:val="32"/>
          <w:szCs w:val="32"/>
        </w:rPr>
        <w:t>重庆市相关部门</w:t>
      </w:r>
      <w:r>
        <w:rPr>
          <w:sz w:val="32"/>
          <w:szCs w:val="32"/>
        </w:rPr>
        <w:t>报告，加强评估成果应用。</w:t>
      </w:r>
    </w:p>
    <w:p>
      <w:pPr>
        <w:pStyle w:val="1"/>
        <w:ind w:firstLineChars="200" w:firstLine="634"/>
        <w:jc w:val="both"/>
        <w:rPr>
          <w:rFonts w:ascii="FZKai-Z03" w:eastAsia="FZKai-Z03" w:hAnsi="FZKai-Z03"/>
          <w:sz w:val="32"/>
          <w:szCs w:val="32"/>
        </w:rPr>
      </w:pPr>
      <w:bookmarkStart w:id="30" w:name="_Toc81859818"/>
      <w:bookmarkStart w:id="31" w:name="_Toc81861358"/>
      <w:bookmarkStart w:id="32" w:name="_Toc109310877"/>
      <w:r>
        <w:rPr>
          <w:rFonts w:ascii="FZKai-Z03" w:eastAsia="FZKai-Z03" w:hAnsi="FZKai-Z03" w:hint="eastAsia"/>
          <w:sz w:val="32"/>
          <w:szCs w:val="32"/>
        </w:rPr>
        <w:t>（二）政策保障</w:t>
      </w:r>
      <w:bookmarkEnd w:id="30"/>
      <w:bookmarkEnd w:id="31"/>
      <w:bookmarkEnd w:id="32"/>
    </w:p>
    <w:p>
      <w:pPr>
        <w:rPr>
          <w:sz w:val="32"/>
          <w:szCs w:val="32"/>
        </w:rPr>
      </w:pPr>
      <w:r>
        <w:rPr>
          <w:rFonts w:hint="eastAsia"/>
          <w:sz w:val="32"/>
          <w:szCs w:val="32"/>
        </w:rPr>
        <w:t>以</w:t>
      </w:r>
      <w:r>
        <w:rPr>
          <w:sz w:val="32"/>
          <w:szCs w:val="32"/>
        </w:rPr>
        <w:t>国家、</w:t>
      </w:r>
      <w:r>
        <w:rPr>
          <w:rFonts w:hint="eastAsia"/>
          <w:sz w:val="32"/>
          <w:szCs w:val="32"/>
        </w:rPr>
        <w:t>重庆</w:t>
      </w:r>
      <w:r>
        <w:rPr>
          <w:sz w:val="32"/>
          <w:szCs w:val="32"/>
        </w:rPr>
        <w:t>市</w:t>
      </w:r>
      <w:r>
        <w:rPr>
          <w:rFonts w:hint="eastAsia"/>
          <w:sz w:val="32"/>
          <w:szCs w:val="32"/>
        </w:rPr>
        <w:t>工业固体废物污染环境防治相关法律法规和</w:t>
      </w:r>
      <w:r>
        <w:rPr>
          <w:sz w:val="32"/>
          <w:szCs w:val="32"/>
        </w:rPr>
        <w:t>政策</w:t>
      </w:r>
      <w:r>
        <w:rPr>
          <w:rFonts w:hint="eastAsia"/>
          <w:sz w:val="32"/>
          <w:szCs w:val="32"/>
        </w:rPr>
        <w:t>为</w:t>
      </w:r>
      <w:r>
        <w:rPr>
          <w:sz w:val="32"/>
          <w:szCs w:val="32"/>
        </w:rPr>
        <w:t>导向，围绕</w:t>
      </w:r>
      <w:r>
        <w:rPr>
          <w:rFonts w:cs="Times New Roman"/>
          <w:sz w:val="32"/>
          <w:szCs w:val="32"/>
        </w:rPr>
        <w:t>“高质量产业之区，高品质宜居之城”</w:t>
      </w:r>
      <w:r>
        <w:rPr>
          <w:rFonts w:cs="Times New Roman" w:hint="eastAsia"/>
          <w:sz w:val="32"/>
          <w:szCs w:val="32"/>
        </w:rPr>
        <w:t>为</w:t>
      </w:r>
      <w:r>
        <w:rPr>
          <w:sz w:val="32"/>
          <w:szCs w:val="32"/>
        </w:rPr>
        <w:t>建设目标，研究制定和深化落实有关配套政策。</w:t>
      </w:r>
      <w:r>
        <w:rPr>
          <w:rFonts w:hint="eastAsia"/>
          <w:sz w:val="32"/>
          <w:szCs w:val="32"/>
        </w:rPr>
        <w:t>根据</w:t>
      </w:r>
      <w:r>
        <w:rPr>
          <w:sz w:val="32"/>
          <w:szCs w:val="32"/>
        </w:rPr>
        <w:t>规划确定的主要目标</w:t>
      </w:r>
      <w:r>
        <w:rPr>
          <w:rFonts w:hint="eastAsia"/>
          <w:sz w:val="32"/>
          <w:szCs w:val="32"/>
        </w:rPr>
        <w:t>和指标</w:t>
      </w:r>
      <w:r>
        <w:rPr>
          <w:sz w:val="32"/>
          <w:szCs w:val="32"/>
        </w:rPr>
        <w:t>，统筹推进</w:t>
      </w:r>
      <w:r>
        <w:rPr>
          <w:rFonts w:hint="eastAsia"/>
          <w:sz w:val="32"/>
          <w:szCs w:val="32"/>
        </w:rPr>
        <w:t>主要任务</w:t>
      </w:r>
      <w:r>
        <w:rPr>
          <w:sz w:val="32"/>
          <w:szCs w:val="32"/>
        </w:rPr>
        <w:t>、分类实施重</w:t>
      </w:r>
      <w:r>
        <w:rPr>
          <w:rFonts w:hint="eastAsia"/>
          <w:sz w:val="32"/>
          <w:szCs w:val="32"/>
        </w:rPr>
        <w:t>点</w:t>
      </w:r>
      <w:r>
        <w:rPr>
          <w:sz w:val="32"/>
          <w:szCs w:val="32"/>
        </w:rPr>
        <w:t>项目。鼓励企业加大工业固体废物污染</w:t>
      </w:r>
      <w:r>
        <w:rPr>
          <w:rFonts w:hint="eastAsia"/>
          <w:sz w:val="32"/>
          <w:szCs w:val="32"/>
        </w:rPr>
        <w:t>环境</w:t>
      </w:r>
      <w:r>
        <w:rPr>
          <w:sz w:val="32"/>
          <w:szCs w:val="32"/>
        </w:rPr>
        <w:t>防治科技研发投入。加强工业固体废物产生、利用处置、污染防治等方面的应用研究，积极</w:t>
      </w:r>
      <w:r>
        <w:rPr>
          <w:rFonts w:hint="eastAsia"/>
          <w:sz w:val="32"/>
          <w:szCs w:val="32"/>
        </w:rPr>
        <w:t>推广先进适用技术，</w:t>
      </w:r>
      <w:r>
        <w:rPr>
          <w:sz w:val="32"/>
          <w:szCs w:val="32"/>
        </w:rPr>
        <w:t>引导</w:t>
      </w:r>
      <w:r>
        <w:rPr>
          <w:rFonts w:hint="eastAsia"/>
          <w:sz w:val="32"/>
          <w:szCs w:val="32"/>
        </w:rPr>
        <w:t>科研单位、重点企业</w:t>
      </w:r>
      <w:r>
        <w:rPr>
          <w:sz w:val="32"/>
          <w:szCs w:val="32"/>
        </w:rPr>
        <w:t>对工业固体废物综合利用技术攻关，推动产学研用相结合。</w:t>
      </w:r>
    </w:p>
    <w:p>
      <w:pPr>
        <w:pStyle w:val="1"/>
        <w:ind w:firstLineChars="200" w:firstLine="634"/>
        <w:jc w:val="both"/>
        <w:rPr>
          <w:rFonts w:ascii="FZKai-Z03" w:eastAsia="FZKai-Z03" w:hAnsi="FZKai-Z03"/>
          <w:sz w:val="32"/>
          <w:szCs w:val="32"/>
        </w:rPr>
      </w:pPr>
      <w:bookmarkStart w:id="33" w:name="_Toc81861359"/>
      <w:bookmarkStart w:id="34" w:name="_Toc81859819"/>
      <w:bookmarkStart w:id="35" w:name="_Toc109310878"/>
      <w:r>
        <w:rPr>
          <w:rFonts w:ascii="FZKai-Z03" w:eastAsia="FZKai-Z03" w:hAnsi="FZKai-Z03" w:hint="eastAsia"/>
          <w:sz w:val="32"/>
          <w:szCs w:val="32"/>
        </w:rPr>
        <w:t>（三）资金保障</w:t>
      </w:r>
      <w:bookmarkEnd w:id="33"/>
      <w:bookmarkEnd w:id="34"/>
      <w:bookmarkEnd w:id="35"/>
    </w:p>
    <w:p>
      <w:pPr>
        <w:rPr>
          <w:sz w:val="32"/>
          <w:szCs w:val="32"/>
        </w:rPr>
      </w:pPr>
      <w:r>
        <w:rPr>
          <w:sz w:val="32"/>
          <w:szCs w:val="32"/>
        </w:rPr>
        <w:t>坚持政府引导、市场为主的原则，完善政府、企业、社会多元化投入机制，拓宽融资渠道，加大</w:t>
      </w:r>
      <w:bookmarkStart w:id="36" w:name="_Hlk32694363"/>
      <w:r>
        <w:rPr>
          <w:sz w:val="32"/>
          <w:szCs w:val="32"/>
        </w:rPr>
        <w:t>对工业固体废物减量化技术、设备研发与</w:t>
      </w:r>
      <w:r>
        <w:rPr>
          <w:rFonts w:hint="eastAsia"/>
          <w:sz w:val="32"/>
          <w:szCs w:val="32"/>
        </w:rPr>
        <w:t>工业固体</w:t>
      </w:r>
      <w:r>
        <w:rPr>
          <w:sz w:val="32"/>
          <w:szCs w:val="32"/>
        </w:rPr>
        <w:t>废物</w:t>
      </w:r>
      <w:r>
        <w:rPr>
          <w:rFonts w:hint="eastAsia"/>
          <w:sz w:val="32"/>
          <w:szCs w:val="32"/>
        </w:rPr>
        <w:t>收运体系和处理</w:t>
      </w:r>
      <w:r>
        <w:rPr>
          <w:sz w:val="32"/>
          <w:szCs w:val="32"/>
        </w:rPr>
        <w:t>处置设施建设的投入</w:t>
      </w:r>
      <w:bookmarkEnd w:id="36"/>
      <w:r>
        <w:rPr>
          <w:sz w:val="32"/>
          <w:szCs w:val="32"/>
        </w:rPr>
        <w:t>。落实污染防治主体责任和污染者付费原则，为工业固体废物收运处置提供资金保障。积极争取国家补助或专项资金支持，区财政</w:t>
      </w:r>
      <w:r>
        <w:rPr>
          <w:rFonts w:hint="eastAsia"/>
          <w:sz w:val="32"/>
          <w:szCs w:val="32"/>
        </w:rPr>
        <w:t>要</w:t>
      </w:r>
      <w:r>
        <w:rPr>
          <w:sz w:val="32"/>
          <w:szCs w:val="32"/>
        </w:rPr>
        <w:t>统筹资金安排，支持规划确定的重点工程项目</w:t>
      </w:r>
      <w:r>
        <w:rPr>
          <w:rFonts w:hint="eastAsia"/>
          <w:sz w:val="32"/>
          <w:szCs w:val="32"/>
        </w:rPr>
        <w:t>和能力建设项目，</w:t>
      </w:r>
      <w:r>
        <w:rPr>
          <w:sz w:val="32"/>
          <w:szCs w:val="32"/>
        </w:rPr>
        <w:t>建立健全工业固体废物全过程管理体系，提升环境</w:t>
      </w:r>
      <w:r>
        <w:rPr>
          <w:rFonts w:hint="eastAsia"/>
          <w:sz w:val="32"/>
          <w:szCs w:val="32"/>
        </w:rPr>
        <w:t>管理</w:t>
      </w:r>
      <w:r>
        <w:rPr>
          <w:sz w:val="32"/>
          <w:szCs w:val="32"/>
        </w:rPr>
        <w:t>能力。</w:t>
      </w:r>
    </w:p>
    <w:p>
      <w:pPr>
        <w:pStyle w:val="1"/>
        <w:ind w:firstLineChars="200" w:firstLine="634"/>
        <w:jc w:val="both"/>
        <w:rPr>
          <w:rFonts w:ascii="FZKai-Z03" w:eastAsia="FZKai-Z03" w:hAnsi="FZKai-Z03"/>
          <w:sz w:val="32"/>
          <w:szCs w:val="32"/>
        </w:rPr>
      </w:pPr>
      <w:bookmarkStart w:id="37" w:name="_Toc81859820"/>
      <w:bookmarkStart w:id="38" w:name="_Toc81861360"/>
      <w:bookmarkStart w:id="39" w:name="_Toc109310879"/>
      <w:r>
        <w:rPr>
          <w:rFonts w:ascii="FZKai-Z03" w:eastAsia="FZKai-Z03" w:hAnsi="FZKai-Z03" w:hint="eastAsia"/>
          <w:sz w:val="32"/>
          <w:szCs w:val="32"/>
        </w:rPr>
        <w:t>（四）宣传保障</w:t>
      </w:r>
      <w:bookmarkEnd w:id="37"/>
      <w:bookmarkEnd w:id="38"/>
      <w:bookmarkEnd w:id="39"/>
    </w:p>
    <w:p>
      <w:pPr>
        <w:rPr>
          <w:sz w:val="32"/>
          <w:szCs w:val="32"/>
        </w:rPr>
      </w:pPr>
      <w:r>
        <w:rPr>
          <w:sz w:val="32"/>
          <w:szCs w:val="32"/>
        </w:rPr>
        <w:t>依法公开</w:t>
      </w:r>
      <w:r>
        <w:rPr>
          <w:rFonts w:hint="eastAsia"/>
          <w:sz w:val="32"/>
          <w:szCs w:val="32"/>
        </w:rPr>
        <w:t>工业固体废物污染环境防治</w:t>
      </w:r>
      <w:r>
        <w:rPr>
          <w:sz w:val="32"/>
          <w:szCs w:val="32"/>
        </w:rPr>
        <w:t>“十四五”规划，做好规划的法律法规、政策、制度的解读工作。健全政府、企业、群众的信息沟通和交流机制，充分发挥新闻媒体和群众社团的作用，提高规划实施的民主化和透明度</w:t>
      </w:r>
      <w:r>
        <w:rPr>
          <w:rFonts w:hint="eastAsia"/>
          <w:sz w:val="32"/>
          <w:szCs w:val="32"/>
        </w:rPr>
        <w:t>，</w:t>
      </w:r>
      <w:r>
        <w:rPr>
          <w:sz w:val="32"/>
          <w:szCs w:val="32"/>
        </w:rPr>
        <w:t>充分发挥社会组织和公众监督作用。加大</w:t>
      </w:r>
      <w:r>
        <w:rPr>
          <w:rFonts w:hint="eastAsia"/>
          <w:sz w:val="32"/>
          <w:szCs w:val="32"/>
        </w:rPr>
        <w:t>工业</w:t>
      </w:r>
      <w:r>
        <w:rPr>
          <w:sz w:val="32"/>
          <w:szCs w:val="32"/>
        </w:rPr>
        <w:t>固体废物环境管理宣传教育，依法加强</w:t>
      </w:r>
      <w:r>
        <w:rPr>
          <w:rFonts w:hint="eastAsia"/>
          <w:sz w:val="32"/>
          <w:szCs w:val="32"/>
        </w:rPr>
        <w:t>工业</w:t>
      </w:r>
      <w:r>
        <w:rPr>
          <w:sz w:val="32"/>
          <w:szCs w:val="32"/>
        </w:rPr>
        <w:t>固体废物产生、利用与处置信息公开</w:t>
      </w:r>
      <w:r>
        <w:rPr>
          <w:rFonts w:hint="eastAsia"/>
          <w:sz w:val="32"/>
          <w:szCs w:val="32"/>
        </w:rPr>
        <w:t>，</w:t>
      </w:r>
      <w:r>
        <w:rPr>
          <w:sz w:val="32"/>
          <w:szCs w:val="32"/>
        </w:rPr>
        <w:t>有效化解“邻避效应”，引导形成“邻利效应”。挖掘规划实施过程中取得的亮点成绩、典型案例、重要成效、创新工作方式等，向公众宣传</w:t>
      </w:r>
      <w:bookmarkStart w:id="40" w:name="_Toc81859821"/>
      <w:bookmarkStart w:id="41" w:name="_Toc81861361"/>
      <w:bookmarkStart w:id="42" w:name="_Toc33003025"/>
      <w:r>
        <w:rPr>
          <w:rFonts w:hint="eastAsia"/>
          <w:sz w:val="32"/>
          <w:szCs w:val="32"/>
        </w:rPr>
        <w:t>。</w:t>
      </w:r>
    </w:p>
    <w:p>
      <w:pPr>
        <w:pStyle w:val="1"/>
        <w:ind w:firstLineChars="200" w:firstLine="634"/>
        <w:jc w:val="both"/>
        <w:rPr>
          <w:rFonts w:ascii="FZHei-B01" w:eastAsia="FZHei-B01" w:hAnsi="FZHei-B01"/>
          <w:sz w:val="32"/>
          <w:szCs w:val="32"/>
        </w:rPr>
      </w:pPr>
      <w:bookmarkStart w:id="43" w:name="_Toc109310880"/>
      <w:r>
        <w:rPr>
          <w:rFonts w:ascii="FZHei-B01" w:eastAsia="FZHei-B01" w:hAnsi="FZHei-B01" w:hint="eastAsia"/>
          <w:sz w:val="32"/>
          <w:szCs w:val="32"/>
        </w:rPr>
        <w:t>六、附件</w:t>
      </w:r>
      <w:bookmarkEnd w:id="43"/>
    </w:p>
    <w:p>
      <w:pPr>
        <w:rPr>
          <w:sz w:val="32"/>
          <w:szCs w:val="32"/>
        </w:rPr>
      </w:pPr>
      <w:r>
        <w:rPr>
          <w:rFonts w:hint="eastAsia"/>
          <w:sz w:val="32"/>
          <w:szCs w:val="32"/>
        </w:rPr>
        <w:t>附件：1.指标解释</w:t>
      </w:r>
    </w:p>
    <w:p>
      <w:pPr>
        <w:ind w:leftChars="530" w:left="1889" w:hangingChars="100" w:hanging="316"/>
        <w:rPr>
          <w:sz w:val="32"/>
          <w:szCs w:val="32"/>
        </w:rPr>
      </w:pPr>
      <w:r>
        <w:rPr>
          <w:rFonts w:hint="eastAsia"/>
          <w:sz w:val="32"/>
          <w:szCs w:val="32"/>
        </w:rPr>
        <w:t>2.江津区“十四五”工业固体废物污染环境防治  规划重点项目表</w:t>
      </w:r>
    </w:p>
    <w:p>
      <w:pPr>
        <w:ind w:leftChars="208" w:left="1884" w:hangingChars="400" w:hanging="1267"/>
        <w:rPr>
          <w:sz w:val="32"/>
          <w:szCs w:val="32"/>
        </w:rPr>
      </w:pPr>
      <w:r>
        <w:rPr>
          <w:rFonts w:hint="eastAsia"/>
          <w:sz w:val="32"/>
          <w:szCs w:val="32"/>
        </w:rPr>
        <w:t xml:space="preserve">      3.江津区“十四五”工业固体废物污染环境防治  规划任务分工表</w:t>
      </w:r>
    </w:p>
    <w:p>
      <w:pPr>
        <w:ind w:firstLineChars="67" w:firstLine="199"/>
        <w:sectPr>
          <w:headerReference w:type="default" r:id="rId12"/>
          <w:footerReference w:type="default" r:id="rId13"/>
          <w:footnotePr/>
          <w:pgSz w:w="11906" w:h="16838"/>
          <w:pgMar w:top="2098" w:right="1474" w:bottom="1985" w:left="1588" w:header="851" w:footer="992" w:gutter="0"/>
          <w:pgNumType w:start="1"/>
          <w:docGrid w:type="linesAndChars" w:linePitch="634" w:charSpace="-644"/>
        </w:sectPr>
      </w:pPr>
    </w:p>
    <w:p>
      <w:pPr>
        <w:pStyle w:val="2"/>
        <w:jc w:val="both"/>
        <w:rPr>
          <w:rFonts w:ascii="FZFangSong-Z02" w:eastAsia="FZFangSong-Z02" w:hAnsi="FZFangSong-Z02"/>
          <w:b w:val="0"/>
          <w:bCs w:val="0"/>
        </w:rPr>
      </w:pPr>
      <w:bookmarkStart w:id="44" w:name="_Toc109310881"/>
      <w:bookmarkStart w:id="45" w:name="_Toc85034069"/>
      <w:bookmarkEnd w:id="40"/>
      <w:bookmarkEnd w:id="41"/>
      <w:bookmarkEnd w:id="42"/>
      <w:r>
        <w:rPr>
          <w:rFonts w:ascii="FZFangSong-Z02" w:eastAsia="FZFangSong-Z02" w:hAnsi="FZFangSong-Z02" w:hint="eastAsia"/>
          <w:b w:val="0"/>
          <w:bCs w:val="0"/>
        </w:rPr>
        <w:t>附件1</w:t>
      </w:r>
    </w:p>
    <w:p>
      <w:pPr>
        <w:pStyle w:val="2"/>
        <w:ind w:firstLineChars="200" w:firstLine="640"/>
        <w:jc w:val="both"/>
        <w:rPr>
          <w:rFonts w:ascii="FZFangSong-Z02" w:eastAsia="FZFangSong-Z02" w:hAnsi="FZFangSong-Z02"/>
          <w:b w:val="0"/>
          <w:bCs w:val="0"/>
        </w:rPr>
      </w:pPr>
      <w:r>
        <w:rPr>
          <w:rFonts w:ascii="FZFangSong-Z02" w:eastAsia="FZFangSong-Z02" w:hAnsi="FZFangSong-Z02" w:hint="eastAsia"/>
          <w:b w:val="0"/>
          <w:bCs w:val="0"/>
        </w:rPr>
        <w:t>指标解释</w:t>
      </w:r>
      <w:bookmarkEnd w:id="44"/>
      <w:bookmarkEnd w:id="45"/>
    </w:p>
    <w:p>
      <w:pPr>
        <w:spacing w:line="520" w:lineRule="exact"/>
        <w:rPr>
          <w:sz w:val="32"/>
          <w:szCs w:val="32"/>
        </w:rPr>
      </w:pPr>
      <w:r>
        <w:rPr>
          <w:rFonts w:hint="eastAsia"/>
          <w:sz w:val="32"/>
          <w:szCs w:val="32"/>
        </w:rPr>
        <w:t>1.工业固体废物产生强度</w:t>
      </w:r>
    </w:p>
    <w:p>
      <w:pPr>
        <w:spacing w:line="520" w:lineRule="exact"/>
        <w:rPr>
          <w:sz w:val="32"/>
          <w:szCs w:val="32"/>
        </w:rPr>
      </w:pPr>
      <w:r>
        <w:rPr>
          <w:rFonts w:hint="eastAsia"/>
          <w:sz w:val="32"/>
          <w:szCs w:val="32"/>
        </w:rPr>
        <w:t>（1）指标解释：</w:t>
      </w:r>
      <w:r>
        <w:rPr>
          <w:sz w:val="32"/>
          <w:szCs w:val="32"/>
        </w:rPr>
        <w:t>指纳入固体废物申报登记范围的工业企业，每万元工业增加值的工业固体废物（包括一般工业固体废物和工业危险废物）产生量。该指标是用于促进全面降低一般工业固体废物和工业危险废物的源头产生水平的综合性指标</w:t>
      </w:r>
      <w:r>
        <w:rPr>
          <w:rFonts w:hint="eastAsia"/>
          <w:sz w:val="32"/>
          <w:szCs w:val="32"/>
        </w:rPr>
        <w:t>。</w:t>
      </w:r>
    </w:p>
    <w:p>
      <w:pPr>
        <w:spacing w:line="520" w:lineRule="exact"/>
        <w:rPr>
          <w:sz w:val="32"/>
          <w:szCs w:val="32"/>
        </w:rPr>
      </w:pPr>
      <w:r>
        <w:rPr>
          <w:sz w:val="32"/>
          <w:szCs w:val="32"/>
        </w:rPr>
        <w:t>工业固体废物产生量包括一般工业固体废物和工业危险废物产生量。一般工业固体废物指未被列入《国家危险废物名录》或者根据国家规定的危险废物鉴别标准（GB 5085）、固体废物浸出毒性浸出方法（GB 5086）及固体废物浸出毒性测定方法（GB/T 15555）判定不具有危险特性的工业固体废物。工业危险废物指工业企业产生的、列入《国家危险废物名录》或者根据国家规定的危险废物鉴别标准和鉴别方法认定的具有危险特性的固体废物。</w:t>
      </w:r>
    </w:p>
    <w:p>
      <w:pPr>
        <w:spacing w:line="520" w:lineRule="exact"/>
        <w:rPr>
          <w:sz w:val="32"/>
          <w:szCs w:val="32"/>
        </w:rPr>
      </w:pPr>
      <w:r>
        <w:rPr>
          <w:rFonts w:hint="eastAsia"/>
          <w:sz w:val="32"/>
          <w:szCs w:val="32"/>
        </w:rPr>
        <w:t>（2）计算方法：工业固体废物产生强度=工业固体废物产生量÷工业增加值。</w:t>
      </w:r>
    </w:p>
    <w:p>
      <w:pPr>
        <w:spacing w:line="520" w:lineRule="exact"/>
        <w:rPr>
          <w:sz w:val="32"/>
          <w:szCs w:val="32"/>
        </w:rPr>
      </w:pPr>
      <w:r>
        <w:rPr>
          <w:rFonts w:hint="eastAsia"/>
          <w:sz w:val="32"/>
          <w:szCs w:val="32"/>
        </w:rPr>
        <w:t>（</w:t>
      </w:r>
      <w:r>
        <w:rPr>
          <w:sz w:val="32"/>
          <w:szCs w:val="32"/>
        </w:rPr>
        <w:t>3</w:t>
      </w:r>
      <w:r>
        <w:rPr>
          <w:rFonts w:hint="eastAsia"/>
          <w:sz w:val="32"/>
          <w:szCs w:val="32"/>
        </w:rPr>
        <w:t>）数据来源：区生态环境局、区统计局。</w:t>
      </w:r>
    </w:p>
    <w:p>
      <w:pPr>
        <w:spacing w:line="520" w:lineRule="exact"/>
        <w:rPr>
          <w:sz w:val="32"/>
          <w:szCs w:val="32"/>
        </w:rPr>
      </w:pPr>
      <w:r>
        <w:rPr>
          <w:sz w:val="32"/>
          <w:szCs w:val="32"/>
        </w:rPr>
        <w:t>2</w:t>
      </w:r>
      <w:r>
        <w:rPr>
          <w:rFonts w:hint="eastAsia"/>
          <w:sz w:val="32"/>
          <w:szCs w:val="32"/>
        </w:rPr>
        <w:t>.一般工业固体废物综合利用率</w:t>
      </w:r>
    </w:p>
    <w:p>
      <w:pPr>
        <w:spacing w:line="520" w:lineRule="exact"/>
        <w:rPr>
          <w:sz w:val="32"/>
          <w:szCs w:val="32"/>
        </w:rPr>
      </w:pPr>
      <w:r>
        <w:rPr>
          <w:rFonts w:hint="eastAsia"/>
          <w:sz w:val="32"/>
          <w:szCs w:val="32"/>
        </w:rPr>
        <w:t>（1）指标解释：</w:t>
      </w:r>
      <w:r>
        <w:rPr>
          <w:sz w:val="32"/>
          <w:szCs w:val="32"/>
        </w:rPr>
        <w:t>指一般工业固体废物综合利用量占一般工业固体废物产生量（包括综合利用往年贮存量）的百分率。该指标用于大幅提高工业固体废物资源化利用水平。一般工业固体废物综合利用量指报告期内企业通过回收、加工、循环、交换等方式</w:t>
      </w:r>
      <w:r>
        <w:rPr>
          <w:rFonts w:hint="eastAsia"/>
          <w:sz w:val="32"/>
          <w:szCs w:val="32"/>
        </w:rPr>
        <w:t>，</w:t>
      </w:r>
      <w:r>
        <w:rPr>
          <w:sz w:val="32"/>
          <w:szCs w:val="32"/>
        </w:rPr>
        <w:t>从固体废物中提取或者使其转化为可以利用的资源、能源和其他原材料的固体废物量（包括综合利用往年贮存量）。城市可根据实际情况，增加具体类别工业固体废物综合利用率作为自选指标，如煤矸石综合利用率、粉煤灰综合利用率等。</w:t>
      </w:r>
    </w:p>
    <w:p>
      <w:pPr>
        <w:spacing w:line="520" w:lineRule="exact"/>
        <w:rPr>
          <w:sz w:val="32"/>
          <w:szCs w:val="32"/>
        </w:rPr>
      </w:pPr>
      <w:r>
        <w:rPr>
          <w:rFonts w:hint="eastAsia"/>
          <w:sz w:val="32"/>
          <w:szCs w:val="32"/>
        </w:rPr>
        <w:t>（2）计算方法：</w:t>
      </w:r>
      <w:r>
        <w:rPr>
          <w:sz w:val="32"/>
          <w:szCs w:val="32"/>
        </w:rPr>
        <w:t>一般工业固体废物综合利用率=一般工业固体废物综合利用量÷（当年一般工业固体废物产生量+综合利用往年贮存量）×100%。</w:t>
      </w:r>
    </w:p>
    <w:p>
      <w:pPr>
        <w:spacing w:line="520" w:lineRule="exact"/>
        <w:rPr>
          <w:sz w:val="32"/>
          <w:szCs w:val="32"/>
        </w:rPr>
      </w:pPr>
      <w:r>
        <w:rPr>
          <w:rFonts w:hint="eastAsia"/>
          <w:sz w:val="32"/>
          <w:szCs w:val="32"/>
        </w:rPr>
        <w:t>（</w:t>
      </w:r>
      <w:r>
        <w:rPr>
          <w:sz w:val="32"/>
          <w:szCs w:val="32"/>
        </w:rPr>
        <w:t>3</w:t>
      </w:r>
      <w:r>
        <w:rPr>
          <w:rFonts w:hint="eastAsia"/>
          <w:sz w:val="32"/>
          <w:szCs w:val="32"/>
        </w:rPr>
        <w:t>）数据来源：区生态环境局。</w:t>
      </w:r>
    </w:p>
    <w:p>
      <w:pPr>
        <w:spacing w:line="520" w:lineRule="exact"/>
        <w:rPr>
          <w:sz w:val="32"/>
          <w:szCs w:val="32"/>
        </w:rPr>
      </w:pPr>
      <w:r>
        <w:rPr>
          <w:sz w:val="32"/>
          <w:szCs w:val="32"/>
        </w:rPr>
        <w:t>3.</w:t>
      </w:r>
      <w:r>
        <w:rPr>
          <w:rFonts w:hint="eastAsia"/>
          <w:sz w:val="32"/>
          <w:szCs w:val="32"/>
        </w:rPr>
        <w:t>危险废物规范化管理抽查合格率</w:t>
      </w:r>
    </w:p>
    <w:p>
      <w:pPr>
        <w:spacing w:line="520" w:lineRule="exact"/>
        <w:rPr>
          <w:sz w:val="32"/>
          <w:szCs w:val="32"/>
        </w:rPr>
      </w:pPr>
      <w:r>
        <w:rPr>
          <w:rFonts w:hint="eastAsia"/>
          <w:sz w:val="32"/>
          <w:szCs w:val="32"/>
        </w:rPr>
        <w:t>（1）指标解释：</w:t>
      </w:r>
      <w:r>
        <w:rPr>
          <w:sz w:val="32"/>
          <w:szCs w:val="32"/>
        </w:rPr>
        <w:t>指参照《危险废物规范化管理指标体系》，对全市域范围内的危险废物产生单位和经营单位进行规范化管理抽查考核评估得到的合格率。</w:t>
      </w:r>
    </w:p>
    <w:p>
      <w:pPr>
        <w:spacing w:line="520" w:lineRule="exact"/>
        <w:rPr>
          <w:sz w:val="32"/>
          <w:szCs w:val="32"/>
        </w:rPr>
      </w:pPr>
      <w:r>
        <w:rPr>
          <w:rFonts w:hint="eastAsia"/>
          <w:sz w:val="32"/>
          <w:szCs w:val="32"/>
        </w:rPr>
        <w:t>（2）计算方法：</w:t>
      </w:r>
    </w:p>
    <w:p>
      <w:pPr>
        <w:spacing w:line="520" w:lineRule="exact"/>
        <w:rPr>
          <w:sz w:val="32"/>
          <w:szCs w:val="32"/>
        </w:rPr>
      </w:pPr>
      <w:r>
        <w:rPr>
          <w:sz w:val="32"/>
          <w:szCs w:val="32"/>
        </w:rPr>
        <w:t>产生单位危险废物规范化管理合格率＝（经抽查考核达标的危险废物产生单位数量+0.7×经考核基本达标的危险废物产生单位数量）÷纳入危险废物产生单位规范化管理抽查考核单位数量×100%。</w:t>
      </w:r>
    </w:p>
    <w:p>
      <w:pPr>
        <w:spacing w:line="520" w:lineRule="exact"/>
        <w:rPr>
          <w:sz w:val="32"/>
          <w:szCs w:val="32"/>
        </w:rPr>
      </w:pPr>
      <w:r>
        <w:rPr>
          <w:sz w:val="32"/>
          <w:szCs w:val="32"/>
        </w:rPr>
        <w:t>经营单位危险废物规范化管理合格率＝（经抽查考核达标的危险废物经营单位数量+0.7×经考核基本达标的危险废物经营单位数量）÷纳入危险废物经营单位规范化管理抽查考核数量×100%</w:t>
      </w:r>
      <w:r>
        <w:rPr>
          <w:rFonts w:hint="eastAsia"/>
          <w:sz w:val="32"/>
          <w:szCs w:val="32"/>
        </w:rPr>
        <w:t>。</w:t>
      </w:r>
    </w:p>
    <w:p>
      <w:pPr>
        <w:spacing w:line="520" w:lineRule="exact"/>
        <w:rPr>
          <w:sz w:val="32"/>
          <w:szCs w:val="32"/>
        </w:rPr>
      </w:pPr>
      <w:r>
        <w:rPr>
          <w:rFonts w:hint="eastAsia"/>
          <w:sz w:val="32"/>
          <w:szCs w:val="32"/>
        </w:rPr>
        <w:t>（</w:t>
      </w:r>
      <w:r>
        <w:rPr>
          <w:sz w:val="32"/>
          <w:szCs w:val="32"/>
        </w:rPr>
        <w:t>3</w:t>
      </w:r>
      <w:r>
        <w:rPr>
          <w:rFonts w:hint="eastAsia"/>
          <w:sz w:val="32"/>
          <w:szCs w:val="32"/>
        </w:rPr>
        <w:t>）数据来源：区生态环境局。</w:t>
      </w:r>
    </w:p>
    <w:p/>
    <w:p>
      <w:pPr>
        <w:widowControl/>
        <w:ind w:firstLineChars="0" w:firstLine="0"/>
        <w:jc w:val="left"/>
        <w:sectPr>
          <w:headerReference w:type="default" r:id="rId14"/>
          <w:pgSz w:w="11906" w:h="16838"/>
          <w:pgMar w:top="2098" w:right="1531" w:bottom="1985" w:left="1588" w:header="567" w:footer="992" w:gutter="0"/>
          <w:docGrid w:type="lines" w:linePitch="408" w:charSpace="0"/>
        </w:sectPr>
      </w:pPr>
    </w:p>
    <w:p>
      <w:pPr>
        <w:pStyle w:val="2"/>
        <w:jc w:val="both"/>
        <w:rPr>
          <w:rFonts w:ascii="FZFangSong-Z02" w:eastAsia="FZFangSong-Z02" w:hAnsi="FZFangSong-Z02"/>
          <w:b w:val="0"/>
          <w:bCs w:val="0"/>
        </w:rPr>
      </w:pPr>
      <w:bookmarkStart w:id="46" w:name="_Toc109310882"/>
      <w:r>
        <w:rPr>
          <w:rFonts w:ascii="FZFangSong-Z02" w:eastAsia="FZFangSong-Z02" w:hAnsi="FZFangSong-Z02" w:hint="eastAsia"/>
          <w:b w:val="0"/>
          <w:bCs w:val="0"/>
        </w:rPr>
        <w:t>附件</w:t>
      </w:r>
      <w:r>
        <w:rPr>
          <w:rFonts w:ascii="FZFangSong-Z02" w:eastAsia="FZFangSong-Z02" w:hAnsi="FZFangSong-Z02"/>
          <w:b w:val="0"/>
          <w:bCs w:val="0"/>
        </w:rPr>
        <w:t>2</w:t>
      </w:r>
    </w:p>
    <w:p>
      <w:pPr>
        <w:pStyle w:val="2"/>
        <w:rPr>
          <w:rFonts w:ascii="FZFangSong-Z02" w:eastAsia="FZFangSong-Z02" w:hAnsi="FZFangSong-Z02"/>
          <w:b w:val="0"/>
          <w:bCs w:val="0"/>
        </w:rPr>
      </w:pPr>
      <w:r>
        <w:rPr>
          <w:rFonts w:ascii="FZFangSong-Z02" w:eastAsia="FZFangSong-Z02" w:hAnsi="FZFangSong-Z02" w:hint="eastAsia"/>
          <w:b w:val="0"/>
          <w:bCs w:val="0"/>
        </w:rPr>
        <w:t>江津区“十四五”工业固体废物污染环境防治规划重点项目表</w:t>
      </w:r>
      <w:bookmarkEnd w:id="46"/>
    </w:p>
    <w:tbl>
      <w:tblPr>
        <w:jc w:val="center"/>
        <w:tblW w:w="13296"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562"/>
        <w:gridCol w:w="2127"/>
        <w:gridCol w:w="5811"/>
        <w:gridCol w:w="993"/>
        <w:gridCol w:w="1319"/>
        <w:gridCol w:w="1134"/>
        <w:gridCol w:w="1350"/>
      </w:tblGrid>
      <w:tr>
        <w:trPr>
          <w:trHeight w:val="320"/>
          <w:tblHead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rFonts w:eastAsia="FZXiaoBiaoSong-B05" w:cs="FangSong"/>
                <w:sz w:val="24"/>
              </w:rPr>
            </w:pPr>
            <w:r>
              <w:rPr>
                <w:rFonts w:eastAsia="FZXiaoBiaoSong-B05" w:hint="eastAsia"/>
                <w:sz w:val="24"/>
              </w:rPr>
              <w:t>序号</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rFonts w:eastAsia="FZXiaoBiaoSong-B05" w:cs="FangSong"/>
                <w:sz w:val="24"/>
              </w:rPr>
            </w:pPr>
            <w:r>
              <w:rPr>
                <w:rFonts w:eastAsia="FZXiaoBiaoSong-B05" w:hint="eastAsia"/>
                <w:sz w:val="24"/>
              </w:rPr>
              <w:t>项目名称</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rFonts w:eastAsia="FZXiaoBiaoSong-B05" w:cs="FangSong"/>
                <w:sz w:val="24"/>
              </w:rPr>
            </w:pPr>
            <w:r>
              <w:rPr>
                <w:rFonts w:eastAsia="FZXiaoBiaoSong-B05" w:hint="eastAsia"/>
                <w:sz w:val="24"/>
              </w:rPr>
              <w:t>主要内容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rFonts w:eastAsia="FZXiaoBiaoSong-B05" w:cs="FangSong"/>
                <w:sz w:val="24"/>
              </w:rPr>
            </w:pPr>
            <w:r>
              <w:rPr>
                <w:rFonts w:eastAsia="FZXiaoBiaoSong-B05" w:hint="eastAsia"/>
                <w:sz w:val="24"/>
              </w:rPr>
              <w:t>总投资（万元）</w:t>
            </w:r>
          </w:p>
        </w:tc>
        <w:tc>
          <w:tcPr>
            <w:tcW w:w="1319" w:type="dxa"/>
            <w:tcBorders>
              <w:top w:val="single" w:sz="4" w:space="0" w:color="000000"/>
              <w:left w:val="single" w:sz="4" w:space="0" w:color="000000"/>
              <w:bottom w:val="single" w:sz="4" w:space="0" w:color="000000"/>
              <w:right w:val="single" w:sz="4" w:space="0" w:color="000000"/>
            </w:tcBorders>
            <w:vAlign w:val="center"/>
          </w:tcPr>
          <w:p>
            <w:pPr>
              <w:spacing w:line="300" w:lineRule="exact"/>
              <w:ind w:firstLineChars="0" w:firstLine="0"/>
              <w:jc w:val="center"/>
              <w:rPr>
                <w:rFonts w:eastAsia="FZXiaoBiaoSong-B05"/>
                <w:sz w:val="24"/>
              </w:rPr>
            </w:pPr>
            <w:r>
              <w:rPr>
                <w:rFonts w:eastAsia="FZXiaoBiaoSong-B05" w:hint="eastAsia"/>
                <w:sz w:val="24"/>
              </w:rPr>
              <w:t>资金来源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rFonts w:eastAsia="FZXiaoBiaoSong-B05" w:cs="FangSong"/>
                <w:sz w:val="24"/>
              </w:rPr>
            </w:pPr>
            <w:r>
              <w:rPr>
                <w:rFonts w:eastAsia="FZXiaoBiaoSong-B05" w:hint="eastAsia"/>
                <w:sz w:val="24"/>
              </w:rPr>
              <w:t>完成时限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rFonts w:eastAsia="FZXiaoBiaoSong-B05" w:cs="FangSong"/>
                <w:sz w:val="24"/>
              </w:rPr>
            </w:pPr>
            <w:r>
              <w:rPr>
                <w:rFonts w:eastAsia="FZXiaoBiaoSong-B05" w:hint="eastAsia"/>
                <w:sz w:val="24"/>
              </w:rPr>
              <w:t>责任单位</w:t>
            </w:r>
          </w:p>
        </w:tc>
      </w:tr>
      <w:tr>
        <w:trPr>
          <w:trHeight w:val="300"/>
        </w:trPr>
        <w:tc>
          <w:tcPr>
            <w:tcW w:w="562" w:type="dxa"/>
            <w:tcBorders>
              <w:top w:val="single" w:sz="4" w:space="0" w:color="000000"/>
              <w:left w:val="single" w:sz="4" w:space="0" w:color="000000"/>
              <w:bottom w:val="single" w:sz="4" w:space="0" w:color="000000"/>
              <w:right w:val="single" w:sz="4" w:space="0" w:color="000000"/>
            </w:tcBorders>
          </w:tcPr>
          <w:p>
            <w:pPr>
              <w:spacing w:line="300" w:lineRule="exact"/>
              <w:ind w:firstLineChars="0" w:firstLine="0"/>
              <w:rPr>
                <w:rFonts w:eastAsia="FZXiaoBiaoSong-B05" w:cs="FZKai-Z03S"/>
                <w:kern w:val="0"/>
                <w:sz w:val="24"/>
              </w:rPr>
            </w:pPr>
          </w:p>
        </w:tc>
        <w:tc>
          <w:tcPr>
            <w:tcW w:w="127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rFonts w:eastAsia="FZXiaoBiaoSong-B05" w:cs="FangSong"/>
                <w:sz w:val="24"/>
              </w:rPr>
            </w:pPr>
            <w:r>
              <w:rPr>
                <w:rFonts w:eastAsia="FZXiaoBiaoSong-B05" w:cs="FZKai-Z03S" w:hint="eastAsia"/>
                <w:kern w:val="0"/>
                <w:sz w:val="24"/>
              </w:rPr>
              <w:t>一、工程项目</w:t>
            </w:r>
          </w:p>
        </w:tc>
      </w:tr>
      <w:tr>
        <w:trPr>
          <w:trHeight w:val="60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sz w:val="24"/>
              </w:rPr>
            </w:pPr>
            <w:r>
              <w:rPr>
                <w:rFonts w:hint="eastAsia"/>
                <w:sz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szCs w:val="24"/>
              </w:rPr>
            </w:pPr>
            <w:r>
              <w:rPr>
                <w:rFonts w:hint="eastAsia"/>
                <w:color w:val="000000"/>
                <w:kern w:val="0"/>
                <w:sz w:val="24"/>
                <w:szCs w:val="24"/>
              </w:rPr>
              <w:t>固体废弃物综合利用基地项目</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szCs w:val="24"/>
              </w:rPr>
            </w:pPr>
            <w:r>
              <w:rPr>
                <w:rFonts w:hint="eastAsia"/>
                <w:color w:val="000000"/>
                <w:kern w:val="0"/>
                <w:sz w:val="24"/>
                <w:szCs w:val="24"/>
              </w:rPr>
              <w:t>项目占地100亩，建成后可综合利用污泥8万吨/年，铝灰10万吨/年，废盐1万吨/年，废包装物1360吨/年。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szCs w:val="24"/>
              </w:rPr>
            </w:pPr>
            <w:r>
              <w:rPr>
                <w:rFonts w:hint="eastAsia"/>
                <w:color w:val="000000"/>
                <w:kern w:val="0"/>
                <w:sz w:val="24"/>
                <w:szCs w:val="24"/>
              </w:rPr>
              <w:t>25000</w:t>
            </w:r>
          </w:p>
        </w:tc>
        <w:tc>
          <w:tcPr>
            <w:tcW w:w="1319" w:type="dxa"/>
            <w:tcBorders>
              <w:top w:val="single" w:sz="4" w:space="0" w:color="000000"/>
              <w:left w:val="single" w:sz="4" w:space="0" w:color="000000"/>
              <w:bottom w:val="single" w:sz="4" w:space="0" w:color="000000"/>
              <w:right w:val="single" w:sz="4" w:space="0" w:color="000000"/>
            </w:tcBorders>
            <w:vAlign w:val="center"/>
          </w:tcPr>
          <w:p>
            <w:pPr>
              <w:spacing w:line="300" w:lineRule="exact"/>
              <w:ind w:firstLineChars="0" w:firstLine="0"/>
              <w:jc w:val="center"/>
              <w:rPr>
                <w:color w:val="000000"/>
                <w:kern w:val="0"/>
                <w:sz w:val="24"/>
                <w:szCs w:val="24"/>
              </w:rPr>
            </w:pPr>
            <w:r>
              <w:rPr>
                <w:rFonts w:hint="eastAsia"/>
                <w:color w:val="000000"/>
                <w:kern w:val="0"/>
                <w:sz w:val="24"/>
                <w:szCs w:val="24"/>
              </w:rPr>
              <w:t>企业自筹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szCs w:val="24"/>
              </w:rPr>
            </w:pPr>
            <w:r>
              <w:rPr>
                <w:rFonts w:hint="eastAsia"/>
                <w:color w:val="000000"/>
                <w:kern w:val="0"/>
                <w:sz w:val="24"/>
                <w:szCs w:val="24"/>
              </w:rPr>
              <w:t>2025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szCs w:val="24"/>
              </w:rPr>
            </w:pPr>
            <w:r>
              <w:rPr>
                <w:rFonts w:hint="eastAsia"/>
                <w:kern w:val="0"/>
                <w:sz w:val="24"/>
                <w:szCs w:val="24"/>
              </w:rPr>
              <w:t>暂未明确</w:t>
            </w:r>
          </w:p>
        </w:tc>
      </w:tr>
      <w:tr>
        <w:trPr>
          <w:trHeight w:val="60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sz w:val="24"/>
              </w:rPr>
            </w:pPr>
            <w:r>
              <w:rPr>
                <w:rFonts w:hint="eastAsia"/>
                <w:sz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szCs w:val="24"/>
              </w:rPr>
            </w:pPr>
            <w:r>
              <w:rPr>
                <w:rFonts w:hint="eastAsia"/>
                <w:color w:val="000000"/>
                <w:kern w:val="0"/>
                <w:sz w:val="24"/>
                <w:szCs w:val="24"/>
              </w:rPr>
              <w:t>江津区一般工业固体废物利用处置场建设项目</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rFonts w:cs="宋体"/>
                <w:kern w:val="0"/>
                <w:sz w:val="24"/>
                <w:szCs w:val="24"/>
              </w:rPr>
            </w:pPr>
            <w:r>
              <w:rPr>
                <w:rFonts w:hint="eastAsia"/>
                <w:color w:val="000000"/>
                <w:kern w:val="0"/>
                <w:sz w:val="24"/>
                <w:szCs w:val="24"/>
              </w:rPr>
              <w:t>新增建设用地50亩，建设预处理中心、填埋场、渗漏液收集处理设施等和配套设施，年利用处置能力6万吨。</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szCs w:val="24"/>
              </w:rPr>
            </w:pPr>
            <w:r>
              <w:rPr>
                <w:rFonts w:hint="eastAsia"/>
                <w:color w:val="000000"/>
                <w:kern w:val="0"/>
                <w:sz w:val="24"/>
                <w:szCs w:val="24"/>
              </w:rPr>
              <w:t>15000</w:t>
            </w:r>
          </w:p>
        </w:tc>
        <w:tc>
          <w:tcPr>
            <w:tcW w:w="1319" w:type="dxa"/>
            <w:tcBorders>
              <w:top w:val="single" w:sz="4" w:space="0" w:color="000000"/>
              <w:left w:val="single" w:sz="4" w:space="0" w:color="000000"/>
              <w:bottom w:val="single" w:sz="4" w:space="0" w:color="000000"/>
              <w:right w:val="single" w:sz="4" w:space="0" w:color="000000"/>
            </w:tcBorders>
            <w:vAlign w:val="center"/>
          </w:tcPr>
          <w:p>
            <w:pPr>
              <w:spacing w:line="300" w:lineRule="exact"/>
              <w:ind w:firstLineChars="0" w:firstLine="0"/>
              <w:jc w:val="center"/>
              <w:rPr>
                <w:color w:val="000000"/>
                <w:kern w:val="0"/>
                <w:sz w:val="24"/>
                <w:szCs w:val="24"/>
              </w:rPr>
            </w:pPr>
            <w:r>
              <w:rPr>
                <w:rFonts w:hint="eastAsia"/>
                <w:color w:val="000000"/>
                <w:kern w:val="0"/>
                <w:sz w:val="24"/>
                <w:szCs w:val="24"/>
              </w:rPr>
              <w:t>企业自筹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szCs w:val="24"/>
              </w:rPr>
            </w:pPr>
            <w:r>
              <w:rPr>
                <w:rFonts w:hint="eastAsia"/>
                <w:color w:val="000000"/>
                <w:kern w:val="0"/>
                <w:sz w:val="24"/>
                <w:szCs w:val="24"/>
              </w:rPr>
              <w:t>2025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szCs w:val="24"/>
              </w:rPr>
            </w:pPr>
            <w:r>
              <w:rPr>
                <w:rFonts w:hint="eastAsia"/>
                <w:kern w:val="0"/>
                <w:sz w:val="24"/>
                <w:szCs w:val="24"/>
              </w:rPr>
              <w:t>暂未明确</w:t>
            </w:r>
          </w:p>
        </w:tc>
      </w:tr>
      <w:tr>
        <w:trPr>
          <w:trHeight w:val="60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sz w:val="24"/>
              </w:rPr>
            </w:pPr>
            <w:r>
              <w:rPr>
                <w:sz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szCs w:val="24"/>
              </w:rPr>
            </w:pPr>
            <w:r>
              <w:rPr>
                <w:rFonts w:hint="eastAsia"/>
                <w:color w:val="000000"/>
                <w:kern w:val="0"/>
                <w:sz w:val="24"/>
                <w:szCs w:val="24"/>
              </w:rPr>
              <w:t>重庆龙健金属制造有限公司废物综合利用技改项目</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rFonts w:cs="宋体"/>
                <w:kern w:val="0"/>
                <w:sz w:val="24"/>
                <w:szCs w:val="24"/>
              </w:rPr>
            </w:pPr>
            <w:r>
              <w:rPr>
                <w:rFonts w:hint="eastAsia"/>
                <w:color w:val="000000"/>
                <w:kern w:val="0"/>
                <w:sz w:val="24"/>
                <w:szCs w:val="24"/>
              </w:rPr>
              <w:t>计划改造生产线4条，增加摇床水选设备1台、低温烘干设备1台、电解机2套、离心机1台等。增加离心机等设备优化废酸中废磷酸的利用工艺。建成后可新增9600吨/年废酸处置能力，增加产品11000吨/年。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szCs w:val="24"/>
              </w:rPr>
            </w:pPr>
            <w:r>
              <w:rPr>
                <w:rFonts w:hint="eastAsia"/>
                <w:color w:val="000000"/>
                <w:kern w:val="0"/>
                <w:sz w:val="24"/>
                <w:szCs w:val="24"/>
              </w:rPr>
              <w:t>680</w:t>
            </w:r>
          </w:p>
        </w:tc>
        <w:tc>
          <w:tcPr>
            <w:tcW w:w="1319" w:type="dxa"/>
            <w:tcBorders>
              <w:top w:val="single" w:sz="4" w:space="0" w:color="000000"/>
              <w:left w:val="single" w:sz="4" w:space="0" w:color="000000"/>
              <w:bottom w:val="single" w:sz="4" w:space="0" w:color="000000"/>
              <w:right w:val="single" w:sz="4" w:space="0" w:color="000000"/>
            </w:tcBorders>
            <w:vAlign w:val="center"/>
          </w:tcPr>
          <w:p>
            <w:pPr>
              <w:spacing w:line="300" w:lineRule="exact"/>
              <w:ind w:firstLineChars="0" w:firstLine="0"/>
              <w:jc w:val="center"/>
              <w:rPr>
                <w:color w:val="000000"/>
                <w:kern w:val="0"/>
                <w:sz w:val="24"/>
                <w:szCs w:val="24"/>
              </w:rPr>
            </w:pPr>
            <w:r>
              <w:rPr>
                <w:rFonts w:hint="eastAsia"/>
                <w:color w:val="000000"/>
                <w:kern w:val="0"/>
                <w:sz w:val="24"/>
                <w:szCs w:val="24"/>
              </w:rPr>
              <w:t>企业自筹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szCs w:val="24"/>
              </w:rPr>
            </w:pPr>
            <w:r>
              <w:rPr>
                <w:rFonts w:hint="eastAsia"/>
                <w:color w:val="000000"/>
                <w:kern w:val="0"/>
                <w:sz w:val="24"/>
                <w:szCs w:val="24"/>
              </w:rPr>
              <w:t>2</w:t>
            </w:r>
            <w:r>
              <w:rPr>
                <w:color w:val="000000"/>
                <w:kern w:val="0"/>
                <w:sz w:val="24"/>
                <w:szCs w:val="24"/>
              </w:rPr>
              <w:t>025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szCs w:val="24"/>
              </w:rPr>
            </w:pPr>
            <w:r>
              <w:rPr>
                <w:rFonts w:hint="eastAsia"/>
                <w:color w:val="000000"/>
                <w:kern w:val="0"/>
                <w:sz w:val="24"/>
                <w:szCs w:val="24"/>
              </w:rPr>
              <w:t>重庆龙健金属制造有限公司</w:t>
            </w:r>
          </w:p>
        </w:tc>
      </w:tr>
      <w:tr>
        <w:trPr>
          <w:trHeight w:val="60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sz w:val="24"/>
              </w:rPr>
            </w:pPr>
            <w:r>
              <w:rPr>
                <w:sz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szCs w:val="24"/>
              </w:rPr>
            </w:pPr>
            <w:r>
              <w:rPr>
                <w:rFonts w:hint="eastAsia"/>
                <w:color w:val="000000"/>
                <w:kern w:val="0"/>
                <w:sz w:val="24"/>
                <w:szCs w:val="24"/>
              </w:rPr>
              <w:t>冀东水泥重庆江津有限责任公司水泥窑资源化综合利用固体废弃物项目</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rFonts w:cs="宋体"/>
                <w:kern w:val="0"/>
                <w:sz w:val="24"/>
                <w:szCs w:val="24"/>
              </w:rPr>
            </w:pPr>
            <w:r>
              <w:rPr>
                <w:rFonts w:hint="eastAsia"/>
                <w:color w:val="000000"/>
                <w:kern w:val="0"/>
                <w:sz w:val="24"/>
                <w:szCs w:val="24"/>
              </w:rPr>
              <w:t>依托冀东水泥重庆江津有限责任公司已有两条水泥窑生产线，设计熟料生产量2×3200t/d新型干法水泥窑；建设年处理量6万吨的水泥窑协同处置固体废物生产线，新建固体废物联合处置车间、固体废物储存库等生产系统及其配套设施。</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szCs w:val="24"/>
              </w:rPr>
            </w:pPr>
            <w:r>
              <w:rPr>
                <w:rFonts w:hint="eastAsia"/>
                <w:color w:val="000000"/>
                <w:kern w:val="0"/>
                <w:sz w:val="24"/>
                <w:szCs w:val="24"/>
              </w:rPr>
              <w:t>9771</w:t>
            </w:r>
          </w:p>
        </w:tc>
        <w:tc>
          <w:tcPr>
            <w:tcW w:w="1319" w:type="dxa"/>
            <w:tcBorders>
              <w:top w:val="single" w:sz="4" w:space="0" w:color="000000"/>
              <w:left w:val="single" w:sz="4" w:space="0" w:color="000000"/>
              <w:bottom w:val="single" w:sz="4" w:space="0" w:color="000000"/>
              <w:right w:val="single" w:sz="4" w:space="0" w:color="000000"/>
            </w:tcBorders>
            <w:vAlign w:val="center"/>
          </w:tcPr>
          <w:p>
            <w:pPr>
              <w:spacing w:line="300" w:lineRule="exact"/>
              <w:ind w:firstLineChars="0" w:firstLine="0"/>
              <w:jc w:val="center"/>
              <w:rPr>
                <w:color w:val="000000"/>
                <w:kern w:val="0"/>
                <w:sz w:val="24"/>
                <w:szCs w:val="24"/>
              </w:rPr>
            </w:pPr>
            <w:r>
              <w:rPr>
                <w:rFonts w:hint="eastAsia"/>
                <w:color w:val="000000"/>
                <w:kern w:val="0"/>
                <w:sz w:val="24"/>
                <w:szCs w:val="24"/>
              </w:rPr>
              <w:t>企业自筹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szCs w:val="24"/>
              </w:rPr>
            </w:pPr>
            <w:r>
              <w:rPr>
                <w:rFonts w:hint="eastAsia"/>
                <w:color w:val="000000"/>
                <w:kern w:val="0"/>
                <w:sz w:val="24"/>
                <w:szCs w:val="24"/>
              </w:rPr>
              <w:t>2</w:t>
            </w:r>
            <w:r>
              <w:rPr>
                <w:color w:val="000000"/>
                <w:kern w:val="0"/>
                <w:sz w:val="24"/>
                <w:szCs w:val="24"/>
              </w:rPr>
              <w:t>025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szCs w:val="24"/>
              </w:rPr>
            </w:pPr>
            <w:r>
              <w:rPr>
                <w:rFonts w:hint="eastAsia"/>
                <w:color w:val="000000"/>
                <w:kern w:val="0"/>
                <w:sz w:val="24"/>
                <w:szCs w:val="24"/>
              </w:rPr>
              <w:t>冀东水泥重庆江津有限责任公司</w:t>
            </w:r>
          </w:p>
        </w:tc>
      </w:tr>
      <w:tr>
        <w:trPr>
          <w:trHeight w:val="60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sz w:val="24"/>
              </w:rPr>
            </w:pPr>
            <w:r>
              <w:rPr>
                <w:sz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60" w:lineRule="exact"/>
              <w:ind w:firstLineChars="0" w:firstLine="0"/>
              <w:rPr>
                <w:kern w:val="0"/>
                <w:sz w:val="24"/>
                <w:szCs w:val="24"/>
              </w:rPr>
            </w:pPr>
            <w:r>
              <w:rPr>
                <w:rFonts w:hint="eastAsia"/>
                <w:color w:val="000000"/>
                <w:sz w:val="24"/>
                <w:szCs w:val="24"/>
              </w:rPr>
              <w:t>冀东水泥重庆江津有限责任公司水泥窑协同处置一般固废项目（二期）</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szCs w:val="24"/>
              </w:rPr>
            </w:pPr>
            <w:r>
              <w:rPr>
                <w:rFonts w:hint="eastAsia"/>
                <w:color w:val="000000"/>
                <w:sz w:val="24"/>
                <w:szCs w:val="24"/>
              </w:rPr>
              <w:t>新建一套污泥卸车、储存、输送及处理系统，年处置量7.65万吨。</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szCs w:val="24"/>
              </w:rPr>
            </w:pPr>
            <w:r>
              <w:rPr>
                <w:rFonts w:hint="eastAsia"/>
                <w:color w:val="000000"/>
                <w:sz w:val="24"/>
                <w:szCs w:val="24"/>
              </w:rPr>
              <w:t>899</w:t>
            </w:r>
          </w:p>
        </w:tc>
        <w:tc>
          <w:tcPr>
            <w:tcW w:w="1319" w:type="dxa"/>
            <w:tcBorders>
              <w:top w:val="single" w:sz="4" w:space="0" w:color="000000"/>
              <w:left w:val="single" w:sz="4" w:space="0" w:color="000000"/>
              <w:bottom w:val="single" w:sz="4" w:space="0" w:color="000000"/>
              <w:right w:val="single" w:sz="4" w:space="0" w:color="000000"/>
            </w:tcBorders>
            <w:vAlign w:val="center"/>
          </w:tcPr>
          <w:p>
            <w:pPr>
              <w:spacing w:line="300" w:lineRule="exact"/>
              <w:ind w:firstLineChars="0" w:firstLine="0"/>
              <w:jc w:val="center"/>
              <w:rPr>
                <w:color w:val="000000"/>
                <w:sz w:val="24"/>
                <w:szCs w:val="24"/>
              </w:rPr>
            </w:pPr>
            <w:r>
              <w:rPr>
                <w:rFonts w:hint="eastAsia"/>
                <w:color w:val="000000"/>
                <w:kern w:val="0"/>
                <w:sz w:val="24"/>
                <w:szCs w:val="24"/>
              </w:rPr>
              <w:t>企业自筹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szCs w:val="24"/>
              </w:rPr>
            </w:pPr>
            <w:r>
              <w:rPr>
                <w:rFonts w:hint="eastAsia"/>
                <w:color w:val="000000"/>
                <w:sz w:val="24"/>
                <w:szCs w:val="24"/>
              </w:rPr>
              <w:t>202</w:t>
            </w:r>
            <w:r>
              <w:rPr>
                <w:color w:val="000000"/>
                <w:sz w:val="24"/>
                <w:szCs w:val="24"/>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szCs w:val="24"/>
              </w:rPr>
            </w:pPr>
            <w:r>
              <w:rPr>
                <w:rFonts w:hint="eastAsia"/>
                <w:color w:val="000000"/>
                <w:sz w:val="24"/>
                <w:szCs w:val="24"/>
              </w:rPr>
              <w:t>冀东水泥重庆江津有限责任公司</w:t>
            </w:r>
          </w:p>
        </w:tc>
      </w:tr>
      <w:tr>
        <w:trPr>
          <w:trHeight w:val="60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sz w:val="24"/>
              </w:rPr>
            </w:pPr>
            <w:r>
              <w:rPr>
                <w:rFonts w:hint="eastAsia"/>
                <w:sz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color w:val="000000"/>
                <w:sz w:val="24"/>
                <w:szCs w:val="24"/>
              </w:rPr>
            </w:pPr>
            <w:r>
              <w:rPr>
                <w:rFonts w:hint="eastAsia"/>
                <w:color w:val="000000"/>
                <w:kern w:val="0"/>
                <w:sz w:val="24"/>
                <w:szCs w:val="24"/>
              </w:rPr>
              <w:t>重庆云鑫环保公司技改扩能工程</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80" w:lineRule="exact"/>
              <w:ind w:firstLineChars="0" w:firstLine="0"/>
              <w:rPr>
                <w:color w:val="000000"/>
                <w:sz w:val="24"/>
                <w:szCs w:val="24"/>
              </w:rPr>
            </w:pPr>
            <w:r>
              <w:rPr>
                <w:rFonts w:hint="eastAsia"/>
                <w:color w:val="000000"/>
                <w:kern w:val="0"/>
                <w:sz w:val="24"/>
                <w:szCs w:val="24"/>
              </w:rPr>
              <w:t>新增200L包装桶自动化清洗线一条（年翻新清洗16万只废包装桶）；塑料自动化破碎清洗线1条（处置能力6200吨）；铁质破碎线更换团粒机、撕碎机（提高处置能力15000吨）。</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color w:val="000000"/>
                <w:sz w:val="24"/>
                <w:szCs w:val="24"/>
              </w:rPr>
            </w:pPr>
            <w:r>
              <w:rPr>
                <w:rFonts w:hint="eastAsia"/>
                <w:color w:val="000000"/>
                <w:kern w:val="0"/>
                <w:sz w:val="24"/>
                <w:szCs w:val="24"/>
              </w:rPr>
              <w:t>300</w:t>
            </w:r>
          </w:p>
        </w:tc>
        <w:tc>
          <w:tcPr>
            <w:tcW w:w="1319" w:type="dxa"/>
            <w:tcBorders>
              <w:top w:val="single" w:sz="4" w:space="0" w:color="000000"/>
              <w:left w:val="single" w:sz="4" w:space="0" w:color="000000"/>
              <w:bottom w:val="single" w:sz="4" w:space="0" w:color="000000"/>
              <w:right w:val="single" w:sz="4" w:space="0" w:color="000000"/>
            </w:tcBorders>
            <w:vAlign w:val="center"/>
          </w:tcPr>
          <w:p>
            <w:pPr>
              <w:spacing w:line="300" w:lineRule="exact"/>
              <w:ind w:firstLineChars="0" w:firstLine="0"/>
              <w:jc w:val="center"/>
              <w:rPr>
                <w:color w:val="000000"/>
                <w:sz w:val="24"/>
                <w:szCs w:val="24"/>
              </w:rPr>
            </w:pPr>
            <w:r>
              <w:rPr>
                <w:rFonts w:hint="eastAsia"/>
                <w:color w:val="000000"/>
                <w:kern w:val="0"/>
                <w:sz w:val="24"/>
                <w:szCs w:val="24"/>
              </w:rPr>
              <w:t>企业自筹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color w:val="000000"/>
                <w:sz w:val="24"/>
                <w:szCs w:val="24"/>
              </w:rPr>
            </w:pPr>
            <w:r>
              <w:rPr>
                <w:rFonts w:hint="eastAsia"/>
                <w:color w:val="000000"/>
                <w:kern w:val="0"/>
                <w:sz w:val="24"/>
                <w:szCs w:val="24"/>
              </w:rPr>
              <w:t>2</w:t>
            </w:r>
            <w:r>
              <w:rPr>
                <w:color w:val="000000"/>
                <w:kern w:val="0"/>
                <w:sz w:val="24"/>
                <w:szCs w:val="24"/>
              </w:rPr>
              <w:t>025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color w:val="000000"/>
                <w:sz w:val="24"/>
                <w:szCs w:val="24"/>
              </w:rPr>
            </w:pPr>
            <w:r>
              <w:rPr>
                <w:rFonts w:hint="eastAsia"/>
                <w:color w:val="000000"/>
                <w:kern w:val="0"/>
                <w:sz w:val="24"/>
                <w:szCs w:val="24"/>
              </w:rPr>
              <w:t>重庆云鑫环保公司</w:t>
            </w:r>
          </w:p>
        </w:tc>
      </w:tr>
      <w:tr>
        <w:trPr>
          <w:trHeight w:val="60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sz w:val="24"/>
              </w:rPr>
            </w:pPr>
            <w:r>
              <w:rPr>
                <w:rFonts w:hint="eastAsia"/>
                <w:sz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szCs w:val="24"/>
              </w:rPr>
            </w:pPr>
            <w:r>
              <w:rPr>
                <w:rFonts w:hint="eastAsia"/>
                <w:kern w:val="0"/>
                <w:sz w:val="24"/>
                <w:szCs w:val="24"/>
              </w:rPr>
              <w:t>重庆乾涌再生资源综合利用有限公司10万吨/年铝灰渣及二次铝灰资源化综合利用项目</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szCs w:val="24"/>
              </w:rPr>
            </w:pPr>
            <w:r>
              <w:rPr>
                <w:rFonts w:hint="eastAsia"/>
                <w:kern w:val="0"/>
                <w:sz w:val="24"/>
                <w:szCs w:val="24"/>
              </w:rPr>
              <w:t>建设1条10万吨/年铝灰渣及二次铝灰资源化综合利用生产线。可加工利用属于危险废物的铝灰渣和二次铝灰10万吨/年，得到铝锭约1.5万吨/年、炼钢用铝酸钙约13.5万吨/年。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szCs w:val="24"/>
              </w:rPr>
            </w:pPr>
            <w:r>
              <w:rPr>
                <w:rFonts w:hint="eastAsia"/>
                <w:kern w:val="0"/>
                <w:sz w:val="24"/>
                <w:szCs w:val="24"/>
              </w:rPr>
              <w:t>5000</w:t>
            </w:r>
          </w:p>
        </w:tc>
        <w:tc>
          <w:tcPr>
            <w:tcW w:w="1319" w:type="dxa"/>
            <w:tcBorders>
              <w:top w:val="single" w:sz="4" w:space="0" w:color="000000"/>
              <w:left w:val="single" w:sz="4" w:space="0" w:color="000000"/>
              <w:bottom w:val="single" w:sz="4" w:space="0" w:color="000000"/>
              <w:right w:val="single" w:sz="4" w:space="0" w:color="000000"/>
            </w:tcBorders>
            <w:vAlign w:val="center"/>
          </w:tcPr>
          <w:p>
            <w:pPr>
              <w:spacing w:line="300" w:lineRule="exact"/>
              <w:ind w:firstLineChars="0" w:firstLine="0"/>
              <w:jc w:val="center"/>
              <w:rPr>
                <w:color w:val="000000"/>
                <w:kern w:val="0"/>
                <w:sz w:val="24"/>
                <w:szCs w:val="24"/>
              </w:rPr>
            </w:pPr>
            <w:r>
              <w:rPr>
                <w:rFonts w:hint="eastAsia"/>
                <w:color w:val="000000"/>
                <w:kern w:val="0"/>
                <w:sz w:val="24"/>
                <w:szCs w:val="24"/>
              </w:rPr>
              <w:t>企业自筹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szCs w:val="24"/>
              </w:rPr>
            </w:pPr>
            <w:r>
              <w:rPr>
                <w:rFonts w:hint="eastAsia"/>
                <w:kern w:val="0"/>
                <w:sz w:val="24"/>
                <w:szCs w:val="24"/>
              </w:rPr>
              <w:t>2025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szCs w:val="24"/>
              </w:rPr>
            </w:pPr>
            <w:r>
              <w:rPr>
                <w:rFonts w:hint="eastAsia"/>
                <w:kern w:val="0"/>
                <w:sz w:val="24"/>
                <w:szCs w:val="24"/>
              </w:rPr>
              <w:t>重庆乾涌再生资源综合利用有限公司</w:t>
            </w:r>
          </w:p>
        </w:tc>
      </w:tr>
      <w:tr>
        <w:trPr>
          <w:trHeight w:val="60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sz w:val="24"/>
              </w:rPr>
            </w:pPr>
            <w:r>
              <w:rPr>
                <w:rFonts w:hint="eastAsia"/>
                <w:sz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color w:val="000000"/>
                <w:kern w:val="0"/>
                <w:sz w:val="24"/>
                <w:szCs w:val="24"/>
              </w:rPr>
            </w:pPr>
            <w:r>
              <w:rPr>
                <w:rFonts w:hint="eastAsia"/>
                <w:color w:val="000000"/>
                <w:kern w:val="0"/>
                <w:sz w:val="24"/>
                <w:szCs w:val="24"/>
              </w:rPr>
              <w:t>重庆嘉钛昕再生资源综合利用有限公司废铝灰铝渣资源化利用项目</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color w:val="000000"/>
                <w:kern w:val="0"/>
                <w:sz w:val="24"/>
                <w:szCs w:val="24"/>
              </w:rPr>
            </w:pPr>
            <w:r>
              <w:rPr>
                <w:rFonts w:hint="eastAsia"/>
                <w:color w:val="000000"/>
                <w:kern w:val="0"/>
                <w:sz w:val="24"/>
                <w:szCs w:val="24"/>
              </w:rPr>
              <w:t>建设1条5万吨/年铝灰资源化综合利用生产线。可加工利用属于危险废物的铝灰渣及二次铝灰5万吨/年，得到铝锭约0.32万吨/年、</w:t>
            </w:r>
            <w:r>
              <w:rPr>
                <w:rFonts w:hint="eastAsia"/>
                <w:kern w:val="0"/>
                <w:sz w:val="24"/>
                <w:szCs w:val="24"/>
              </w:rPr>
              <w:t>炼钢用铝酸钙约7.57万吨/年。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color w:val="000000"/>
                <w:kern w:val="0"/>
                <w:sz w:val="24"/>
                <w:szCs w:val="24"/>
              </w:rPr>
            </w:pPr>
            <w:r>
              <w:rPr>
                <w:rFonts w:hint="eastAsia"/>
                <w:color w:val="000000"/>
                <w:kern w:val="0"/>
                <w:sz w:val="24"/>
                <w:szCs w:val="24"/>
              </w:rPr>
              <w:t>5000</w:t>
            </w:r>
          </w:p>
        </w:tc>
        <w:tc>
          <w:tcPr>
            <w:tcW w:w="1319" w:type="dxa"/>
            <w:tcBorders>
              <w:top w:val="single" w:sz="4" w:space="0" w:color="000000"/>
              <w:left w:val="single" w:sz="4" w:space="0" w:color="000000"/>
              <w:bottom w:val="single" w:sz="4" w:space="0" w:color="000000"/>
              <w:right w:val="single" w:sz="4" w:space="0" w:color="000000"/>
            </w:tcBorders>
            <w:vAlign w:val="center"/>
          </w:tcPr>
          <w:p>
            <w:pPr>
              <w:spacing w:line="300" w:lineRule="exact"/>
              <w:ind w:firstLineChars="0" w:firstLine="0"/>
              <w:jc w:val="center"/>
              <w:rPr>
                <w:color w:val="000000"/>
                <w:kern w:val="0"/>
                <w:sz w:val="24"/>
                <w:szCs w:val="24"/>
              </w:rPr>
            </w:pPr>
            <w:r>
              <w:rPr>
                <w:rFonts w:hint="eastAsia"/>
                <w:color w:val="000000"/>
                <w:kern w:val="0"/>
                <w:sz w:val="24"/>
                <w:szCs w:val="24"/>
              </w:rPr>
              <w:t>企业自筹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color w:val="000000"/>
                <w:kern w:val="0"/>
                <w:sz w:val="24"/>
                <w:szCs w:val="24"/>
              </w:rPr>
            </w:pPr>
            <w:r>
              <w:rPr>
                <w:rFonts w:hint="eastAsia"/>
                <w:color w:val="000000"/>
                <w:kern w:val="0"/>
                <w:sz w:val="24"/>
                <w:szCs w:val="24"/>
              </w:rPr>
              <w:t>2025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color w:val="000000"/>
                <w:kern w:val="0"/>
                <w:sz w:val="24"/>
                <w:szCs w:val="24"/>
              </w:rPr>
            </w:pPr>
            <w:r>
              <w:rPr>
                <w:rFonts w:hint="eastAsia"/>
                <w:color w:val="000000"/>
                <w:kern w:val="0"/>
                <w:sz w:val="24"/>
                <w:szCs w:val="24"/>
              </w:rPr>
              <w:t>重庆嘉钛昕再生资源综合利用有限公司</w:t>
            </w:r>
          </w:p>
        </w:tc>
      </w:tr>
      <w:tr>
        <w:trPr>
          <w:trHeight w:val="265"/>
        </w:trPr>
        <w:tc>
          <w:tcPr>
            <w:tcW w:w="562" w:type="dxa"/>
            <w:tcBorders>
              <w:top w:val="single" w:sz="4" w:space="0" w:color="000000"/>
              <w:left w:val="single" w:sz="4" w:space="0" w:color="000000"/>
              <w:bottom w:val="single" w:sz="4" w:space="0" w:color="000000"/>
              <w:right w:val="single" w:sz="4" w:space="0" w:color="000000"/>
            </w:tcBorders>
          </w:tcPr>
          <w:p>
            <w:pPr>
              <w:spacing w:line="300" w:lineRule="exact"/>
              <w:ind w:firstLineChars="0" w:firstLine="0"/>
              <w:rPr>
                <w:rFonts w:eastAsia="FZXiaoBiaoSong-B05" w:cs="FZKai-Z03S"/>
                <w:kern w:val="0"/>
                <w:sz w:val="24"/>
              </w:rPr>
            </w:pPr>
          </w:p>
        </w:tc>
        <w:tc>
          <w:tcPr>
            <w:tcW w:w="127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rFonts w:eastAsia="FZXiaoBiaoSong-B05"/>
                <w:sz w:val="24"/>
              </w:rPr>
            </w:pPr>
            <w:r>
              <w:rPr>
                <w:rFonts w:eastAsia="FZXiaoBiaoSong-B05" w:cs="FZKai-Z03S" w:hint="eastAsia"/>
                <w:kern w:val="0"/>
                <w:sz w:val="24"/>
              </w:rPr>
              <w:t>二、配套政策及能力建设</w:t>
            </w:r>
          </w:p>
        </w:tc>
      </w:tr>
      <w:tr>
        <w:trPr>
          <w:trHeight w:val="90"/>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sz w:val="24"/>
              </w:rPr>
            </w:pPr>
            <w:r>
              <w:rPr>
                <w:sz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color w:val="000000"/>
                <w:kern w:val="0"/>
                <w:sz w:val="21"/>
                <w:szCs w:val="21"/>
              </w:rPr>
            </w:pPr>
            <w:r>
              <w:rPr>
                <w:rFonts w:hint="eastAsia"/>
                <w:kern w:val="0"/>
                <w:sz w:val="24"/>
              </w:rPr>
              <w:t>工业固废5张清单详查</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color w:val="000000"/>
                <w:kern w:val="0"/>
                <w:sz w:val="21"/>
                <w:szCs w:val="21"/>
              </w:rPr>
            </w:pPr>
            <w:r>
              <w:rPr>
                <w:rFonts w:hint="eastAsia"/>
                <w:kern w:val="0"/>
                <w:sz w:val="24"/>
              </w:rPr>
              <w:t>建立</w:t>
            </w:r>
            <w:r>
              <w:rPr>
                <w:kern w:val="0"/>
                <w:sz w:val="24"/>
              </w:rPr>
              <w:t>产废单位、经营单位及自行利用处置设施</w:t>
            </w:r>
            <w:r>
              <w:rPr>
                <w:rFonts w:hint="eastAsia"/>
                <w:kern w:val="0"/>
                <w:sz w:val="24"/>
              </w:rPr>
              <w:t>等</w:t>
            </w:r>
            <w:r>
              <w:rPr>
                <w:kern w:val="0"/>
                <w:sz w:val="24"/>
              </w:rPr>
              <w:t>“</w:t>
            </w:r>
            <w:r>
              <w:rPr>
                <w:rFonts w:hint="eastAsia"/>
                <w:kern w:val="0"/>
                <w:sz w:val="24"/>
              </w:rPr>
              <w:t>5张</w:t>
            </w:r>
            <w:r>
              <w:rPr>
                <w:kern w:val="0"/>
                <w:sz w:val="24"/>
              </w:rPr>
              <w:t>清单”</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color w:val="000000"/>
                <w:kern w:val="0"/>
                <w:sz w:val="21"/>
                <w:szCs w:val="21"/>
              </w:rPr>
            </w:pPr>
            <w:r>
              <w:rPr>
                <w:kern w:val="0"/>
                <w:sz w:val="24"/>
              </w:rPr>
              <w:t>100</w:t>
            </w:r>
          </w:p>
        </w:tc>
        <w:tc>
          <w:tcPr>
            <w:tcW w:w="1319" w:type="dxa"/>
            <w:tcBorders>
              <w:top w:val="single" w:sz="4" w:space="0" w:color="000000"/>
              <w:left w:val="single" w:sz="4" w:space="0" w:color="000000"/>
              <w:bottom w:val="single" w:sz="4" w:space="0" w:color="000000"/>
              <w:right w:val="single" w:sz="4" w:space="0" w:color="000000"/>
            </w:tcBorders>
            <w:vAlign w:val="center"/>
          </w:tcPr>
          <w:p>
            <w:pPr>
              <w:spacing w:line="300" w:lineRule="exact"/>
              <w:ind w:firstLineChars="0" w:firstLine="0"/>
              <w:jc w:val="center"/>
              <w:rPr>
                <w:kern w:val="0"/>
                <w:sz w:val="24"/>
              </w:rPr>
            </w:pPr>
            <w:r>
              <w:rPr>
                <w:rFonts w:hint="eastAsia"/>
                <w:kern w:val="0"/>
                <w:sz w:val="24"/>
              </w:rPr>
              <w:t>区级资金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color w:val="000000"/>
                <w:kern w:val="0"/>
                <w:sz w:val="21"/>
                <w:szCs w:val="21"/>
              </w:rPr>
            </w:pPr>
            <w:r>
              <w:rPr>
                <w:rFonts w:hint="eastAsia"/>
                <w:kern w:val="0"/>
                <w:sz w:val="24"/>
              </w:rPr>
              <w:t>2</w:t>
            </w:r>
            <w:r>
              <w:rPr>
                <w:kern w:val="0"/>
                <w:sz w:val="24"/>
              </w:rPr>
              <w:t>022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color w:val="000000"/>
                <w:kern w:val="0"/>
                <w:sz w:val="21"/>
                <w:szCs w:val="21"/>
              </w:rPr>
            </w:pPr>
            <w:r>
              <w:rPr>
                <w:rFonts w:hint="eastAsia"/>
                <w:kern w:val="0"/>
                <w:sz w:val="24"/>
              </w:rPr>
              <w:t>区生态环境局</w:t>
            </w:r>
          </w:p>
        </w:tc>
      </w:tr>
      <w:tr>
        <w:trPr>
          <w:trHeight w:val="90"/>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sz w:val="24"/>
              </w:rPr>
            </w:pPr>
            <w:r>
              <w:rPr>
                <w:sz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rPr>
            </w:pPr>
            <w:r>
              <w:rPr>
                <w:rFonts w:hint="eastAsia"/>
                <w:kern w:val="0"/>
                <w:sz w:val="24"/>
              </w:rPr>
              <w:t>危险废物管理能力提升</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rPr>
            </w:pPr>
            <w:r>
              <w:rPr>
                <w:rFonts w:hint="eastAsia"/>
                <w:kern w:val="0"/>
                <w:sz w:val="24"/>
              </w:rPr>
              <w:t>提升危险废物规范化管理能力，强化工业园区危险废物暂存设施建设。编制江津区工业固体废物重点行业（经营单位、含油金属屑和铝灰等）分类管理指南</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rPr>
            </w:pPr>
            <w:r>
              <w:rPr>
                <w:rFonts w:hint="eastAsia"/>
                <w:kern w:val="0"/>
                <w:sz w:val="24"/>
              </w:rPr>
              <w:t>2</w:t>
            </w:r>
            <w:r>
              <w:rPr>
                <w:kern w:val="0"/>
                <w:sz w:val="24"/>
              </w:rPr>
              <w:t>00</w:t>
            </w:r>
          </w:p>
        </w:tc>
        <w:tc>
          <w:tcPr>
            <w:tcW w:w="1319" w:type="dxa"/>
            <w:tcBorders>
              <w:top w:val="single" w:sz="4" w:space="0" w:color="000000"/>
              <w:left w:val="single" w:sz="4" w:space="0" w:color="000000"/>
              <w:bottom w:val="single" w:sz="4" w:space="0" w:color="000000"/>
              <w:right w:val="single" w:sz="4" w:space="0" w:color="000000"/>
            </w:tcBorders>
            <w:vAlign w:val="center"/>
          </w:tcPr>
          <w:p>
            <w:pPr>
              <w:spacing w:line="300" w:lineRule="exact"/>
              <w:ind w:firstLineChars="0" w:firstLine="0"/>
              <w:jc w:val="center"/>
              <w:rPr>
                <w:kern w:val="0"/>
                <w:sz w:val="24"/>
              </w:rPr>
            </w:pPr>
            <w:r>
              <w:rPr>
                <w:rFonts w:hint="eastAsia"/>
                <w:kern w:val="0"/>
                <w:sz w:val="24"/>
              </w:rPr>
              <w:t>区级资金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rPr>
            </w:pPr>
            <w:r>
              <w:rPr>
                <w:rFonts w:hint="eastAsia"/>
                <w:kern w:val="0"/>
                <w:sz w:val="24"/>
              </w:rPr>
              <w:t>2</w:t>
            </w:r>
            <w:r>
              <w:rPr>
                <w:kern w:val="0"/>
                <w:sz w:val="24"/>
              </w:rPr>
              <w:t>025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rPr>
            </w:pPr>
            <w:r>
              <w:rPr>
                <w:rFonts w:hint="eastAsia"/>
                <w:kern w:val="0"/>
                <w:sz w:val="24"/>
              </w:rPr>
              <w:t>区生态环境局</w:t>
            </w:r>
          </w:p>
        </w:tc>
      </w:tr>
      <w:tr>
        <w:trPr>
          <w:trHeight w:val="90"/>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sz w:val="24"/>
              </w:rPr>
            </w:pPr>
            <w:r>
              <w:rPr>
                <w:sz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rPr>
            </w:pPr>
            <w:r>
              <w:rPr>
                <w:rFonts w:hint="eastAsia"/>
                <w:kern w:val="0"/>
                <w:sz w:val="24"/>
              </w:rPr>
              <w:t>应急能力建设</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rPr>
            </w:pPr>
            <w:r>
              <w:rPr>
                <w:rFonts w:hint="eastAsia"/>
                <w:kern w:val="0"/>
                <w:sz w:val="24"/>
              </w:rPr>
              <w:t>配备</w:t>
            </w:r>
            <w:r>
              <w:rPr>
                <w:kern w:val="0"/>
                <w:sz w:val="24"/>
              </w:rPr>
              <w:t>专业化危险废物环境监测装备</w:t>
            </w:r>
            <w:r>
              <w:rPr>
                <w:rFonts w:hint="eastAsia"/>
                <w:kern w:val="0"/>
                <w:sz w:val="24"/>
              </w:rPr>
              <w:t>，如</w:t>
            </w:r>
            <w:r>
              <w:rPr>
                <w:kern w:val="0"/>
                <w:sz w:val="24"/>
              </w:rPr>
              <w:t>快速现场检测分析监测仪器与装备</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rPr>
            </w:pPr>
            <w:r>
              <w:rPr>
                <w:kern w:val="0"/>
                <w:sz w:val="24"/>
              </w:rPr>
              <w:t>200</w:t>
            </w:r>
          </w:p>
        </w:tc>
        <w:tc>
          <w:tcPr>
            <w:tcW w:w="1319" w:type="dxa"/>
            <w:tcBorders>
              <w:top w:val="single" w:sz="4" w:space="0" w:color="000000"/>
              <w:left w:val="single" w:sz="4" w:space="0" w:color="000000"/>
              <w:bottom w:val="single" w:sz="4" w:space="0" w:color="000000"/>
              <w:right w:val="single" w:sz="4" w:space="0" w:color="000000"/>
            </w:tcBorders>
            <w:vAlign w:val="center"/>
          </w:tcPr>
          <w:p>
            <w:pPr>
              <w:spacing w:line="300" w:lineRule="exact"/>
              <w:ind w:firstLineChars="0" w:firstLine="0"/>
              <w:jc w:val="center"/>
              <w:rPr>
                <w:kern w:val="0"/>
                <w:sz w:val="24"/>
              </w:rPr>
            </w:pPr>
            <w:r>
              <w:rPr>
                <w:rFonts w:hint="eastAsia"/>
                <w:kern w:val="0"/>
                <w:sz w:val="24"/>
              </w:rPr>
              <w:t>区级资金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rPr>
            </w:pPr>
            <w:r>
              <w:rPr>
                <w:rFonts w:hint="eastAsia"/>
                <w:kern w:val="0"/>
                <w:sz w:val="24"/>
              </w:rPr>
              <w:t>2</w:t>
            </w:r>
            <w:r>
              <w:rPr>
                <w:kern w:val="0"/>
                <w:sz w:val="24"/>
              </w:rPr>
              <w:t>025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rPr>
            </w:pPr>
            <w:r>
              <w:rPr>
                <w:rFonts w:hint="eastAsia"/>
                <w:kern w:val="0"/>
                <w:sz w:val="24"/>
              </w:rPr>
              <w:t>区生态环境局</w:t>
            </w:r>
          </w:p>
        </w:tc>
      </w:tr>
      <w:tr>
        <w:trPr>
          <w:trHeight w:val="90"/>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rPr>
            </w:pPr>
            <w:r>
              <w:rPr>
                <w:kern w:val="0"/>
                <w:sz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rPr>
            </w:pPr>
            <w:r>
              <w:rPr>
                <w:rFonts w:hint="eastAsia"/>
                <w:kern w:val="0"/>
                <w:sz w:val="24"/>
              </w:rPr>
              <w:t>固废规划宣传培训及评估工作</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rPr>
            </w:pPr>
            <w:r>
              <w:rPr>
                <w:rFonts w:hint="eastAsia"/>
                <w:kern w:val="0"/>
                <w:sz w:val="24"/>
              </w:rPr>
              <w:t>固废规划宣传培训、开展规划中期评估和终期评估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rPr>
            </w:pPr>
            <w:r>
              <w:rPr>
                <w:kern w:val="0"/>
                <w:sz w:val="24"/>
              </w:rPr>
              <w:t>50</w:t>
            </w:r>
          </w:p>
        </w:tc>
        <w:tc>
          <w:tcPr>
            <w:tcW w:w="1319" w:type="dxa"/>
            <w:tcBorders>
              <w:top w:val="single" w:sz="4" w:space="0" w:color="000000"/>
              <w:left w:val="single" w:sz="4" w:space="0" w:color="000000"/>
              <w:bottom w:val="single" w:sz="4" w:space="0" w:color="000000"/>
              <w:right w:val="single" w:sz="4" w:space="0" w:color="000000"/>
            </w:tcBorders>
            <w:vAlign w:val="center"/>
          </w:tcPr>
          <w:p>
            <w:pPr>
              <w:spacing w:line="300" w:lineRule="exact"/>
              <w:ind w:firstLineChars="0" w:firstLine="0"/>
              <w:jc w:val="center"/>
              <w:rPr>
                <w:kern w:val="0"/>
                <w:sz w:val="24"/>
              </w:rPr>
            </w:pPr>
            <w:r>
              <w:rPr>
                <w:rFonts w:hint="eastAsia"/>
                <w:kern w:val="0"/>
                <w:sz w:val="24"/>
              </w:rPr>
              <w:t>区级资金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rPr>
            </w:pPr>
            <w:r>
              <w:rPr>
                <w:kern w:val="0"/>
                <w:sz w:val="24"/>
              </w:rPr>
              <w:t>2023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rPr>
            </w:pPr>
            <w:r>
              <w:rPr>
                <w:rFonts w:hint="eastAsia"/>
                <w:kern w:val="0"/>
                <w:sz w:val="24"/>
              </w:rPr>
              <w:t>区生态环境局</w:t>
            </w:r>
          </w:p>
        </w:tc>
      </w:tr>
      <w:tr>
        <w:trPr>
          <w:trHeight w:val="90"/>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rPr>
            </w:pPr>
            <w:r>
              <w:rPr>
                <w:rFonts w:hint="eastAsia"/>
                <w:kern w:val="0"/>
                <w:sz w:val="24"/>
              </w:rPr>
              <w:t>1</w:t>
            </w:r>
            <w:r>
              <w:rPr>
                <w:kern w:val="0"/>
                <w:sz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before="204" w:after="204" w:line="300" w:lineRule="exact"/>
              <w:ind w:firstLineChars="0" w:firstLine="0"/>
              <w:rPr>
                <w:kern w:val="0"/>
                <w:sz w:val="24"/>
              </w:rPr>
            </w:pPr>
            <w:r>
              <w:rPr>
                <w:rFonts w:hint="eastAsia"/>
                <w:kern w:val="0"/>
                <w:sz w:val="24"/>
              </w:rPr>
              <w:t>固废危险废物</w:t>
            </w:r>
            <w:r>
              <w:rPr>
                <w:kern w:val="0"/>
                <w:sz w:val="24"/>
              </w:rPr>
              <w:t>区域联防联控</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rPr>
            </w:pPr>
            <w:r>
              <w:rPr>
                <w:kern w:val="0"/>
                <w:sz w:val="24"/>
              </w:rPr>
              <w:t>加强与周边区域生态环境联防联治、共建共享，加强固废、危险废物等联动处置，联合应对突发环境事件，加强生态环境联合监测和数据共享。</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rPr>
            </w:pPr>
            <w:r>
              <w:rPr>
                <w:rFonts w:hint="eastAsia"/>
                <w:kern w:val="0"/>
                <w:sz w:val="24"/>
              </w:rPr>
              <w:t>1</w:t>
            </w:r>
            <w:r>
              <w:rPr>
                <w:kern w:val="0"/>
                <w:sz w:val="24"/>
              </w:rPr>
              <w:t>50</w:t>
            </w:r>
          </w:p>
        </w:tc>
        <w:tc>
          <w:tcPr>
            <w:tcW w:w="1319" w:type="dxa"/>
            <w:tcBorders>
              <w:top w:val="single" w:sz="4" w:space="0" w:color="000000"/>
              <w:left w:val="single" w:sz="4" w:space="0" w:color="000000"/>
              <w:bottom w:val="single" w:sz="4" w:space="0" w:color="000000"/>
              <w:right w:val="single" w:sz="4" w:space="0" w:color="000000"/>
            </w:tcBorders>
            <w:vAlign w:val="center"/>
          </w:tcPr>
          <w:p>
            <w:pPr>
              <w:spacing w:line="300" w:lineRule="exact"/>
              <w:ind w:firstLineChars="0" w:firstLine="0"/>
              <w:jc w:val="center"/>
              <w:rPr>
                <w:kern w:val="0"/>
                <w:sz w:val="24"/>
              </w:rPr>
            </w:pPr>
            <w:r>
              <w:rPr>
                <w:rFonts w:hint="eastAsia"/>
                <w:kern w:val="0"/>
                <w:sz w:val="24"/>
              </w:rPr>
              <w:t>区级资金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kern w:val="0"/>
                <w:sz w:val="24"/>
              </w:rPr>
            </w:pPr>
            <w:r>
              <w:rPr>
                <w:rFonts w:hint="eastAsia"/>
                <w:kern w:val="0"/>
                <w:sz w:val="24"/>
              </w:rPr>
              <w:t>2</w:t>
            </w:r>
            <w:r>
              <w:rPr>
                <w:kern w:val="0"/>
                <w:sz w:val="24"/>
              </w:rPr>
              <w:t>025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kern w:val="0"/>
                <w:sz w:val="24"/>
              </w:rPr>
            </w:pPr>
            <w:r>
              <w:rPr>
                <w:rFonts w:hint="eastAsia"/>
                <w:kern w:val="0"/>
                <w:sz w:val="24"/>
              </w:rPr>
              <w:t>区生态环境局</w:t>
            </w:r>
          </w:p>
        </w:tc>
      </w:tr>
      <w:tr>
        <w:trPr>
          <w:trHeight w:val="255"/>
        </w:trPr>
        <w:tc>
          <w:tcPr>
            <w:tcW w:w="85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sz w:val="24"/>
              </w:rPr>
            </w:pPr>
            <w:r>
              <w:rPr>
                <w:kern w:val="0"/>
                <w:sz w:val="24"/>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sz w:val="28"/>
                <w:szCs w:val="28"/>
              </w:rPr>
            </w:pPr>
            <w:r>
              <w:rPr>
                <w:sz w:val="28"/>
                <w:szCs w:val="28"/>
              </w:rPr>
              <w:t>62350</w:t>
            </w:r>
          </w:p>
        </w:tc>
        <w:tc>
          <w:tcPr>
            <w:tcW w:w="1319" w:type="dxa"/>
            <w:tcBorders>
              <w:top w:val="single" w:sz="4" w:space="0" w:color="000000"/>
              <w:left w:val="single" w:sz="4" w:space="0" w:color="000000"/>
              <w:bottom w:val="single" w:sz="4" w:space="0" w:color="000000"/>
              <w:right w:val="single" w:sz="4" w:space="0" w:color="000000"/>
            </w:tcBorders>
            <w:vAlign w:val="center"/>
          </w:tcPr>
          <w:p>
            <w:pPr>
              <w:spacing w:line="300" w:lineRule="exact"/>
              <w:ind w:firstLineChars="0" w:firstLine="0"/>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jc w:val="center"/>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00" w:lineRule="exact"/>
              <w:ind w:firstLineChars="0" w:firstLine="0"/>
              <w:rPr>
                <w:sz w:val="24"/>
              </w:rPr>
            </w:pPr>
          </w:p>
        </w:tc>
      </w:tr>
    </w:tbl>
    <w:p>
      <w:pPr>
        <w:widowControl/>
        <w:spacing w:line="240" w:lineRule="auto"/>
        <w:ind w:firstLineChars="0" w:firstLine="0"/>
        <w:jc w:val="left"/>
        <w:rPr>
          <w:sz w:val="10"/>
          <w:szCs w:val="10"/>
        </w:rPr>
      </w:pPr>
      <w:r>
        <w:rPr>
          <w:sz w:val="10"/>
          <w:szCs w:val="10"/>
        </w:rPr>
        <w:br w:type="page"/>
      </w:r>
    </w:p>
    <w:p>
      <w:pPr>
        <w:ind w:firstLineChars="0" w:firstLine="0"/>
        <w:rPr>
          <w:sz w:val="10"/>
          <w:szCs w:val="10"/>
        </w:rPr>
        <w:sectPr>
          <w:headerReference w:type="default" r:id="rId15"/>
          <w:pgSz w:w="16838" w:h="11906" w:orient="landscape"/>
          <w:pgMar w:top="1588" w:right="2098" w:bottom="1474" w:left="1985" w:header="567" w:footer="992" w:gutter="0"/>
          <w:docGrid w:type="lines" w:linePitch="408" w:charSpace="0"/>
        </w:sectPr>
      </w:pPr>
    </w:p>
    <w:p>
      <w:pPr>
        <w:pStyle w:val="2"/>
        <w:jc w:val="both"/>
        <w:rPr>
          <w:rFonts w:ascii="FZFangSong-Z02" w:eastAsia="FZFangSong-Z02" w:hAnsi="FZFangSong-Z02"/>
          <w:b w:val="0"/>
          <w:bCs w:val="0"/>
        </w:rPr>
      </w:pPr>
      <w:bookmarkStart w:id="47" w:name="_Toc109310883"/>
      <w:r>
        <w:rPr>
          <w:rFonts w:ascii="FZFangSong-Z02" w:eastAsia="FZFangSong-Z02" w:hAnsi="FZFangSong-Z02" w:hint="eastAsia"/>
          <w:b w:val="0"/>
          <w:bCs w:val="0"/>
        </w:rPr>
        <w:t>附件3</w:t>
      </w:r>
    </w:p>
    <w:p>
      <w:pPr>
        <w:pStyle w:val="2"/>
        <w:rPr>
          <w:rFonts w:ascii="FZFangSong-Z02" w:eastAsia="FZFangSong-Z02" w:hAnsi="FZFangSong-Z02"/>
          <w:b w:val="0"/>
          <w:bCs w:val="0"/>
        </w:rPr>
      </w:pPr>
      <w:r>
        <w:rPr>
          <w:rFonts w:ascii="FZFangSong-Z02" w:eastAsia="FZFangSong-Z02" w:hAnsi="FZFangSong-Z02" w:hint="eastAsia"/>
          <w:b w:val="0"/>
          <w:bCs w:val="0"/>
        </w:rPr>
        <w:t>江津区“十四五”工业固体废物污染环境防治规划任务分工表</w:t>
      </w:r>
      <w:bookmarkEnd w:id="47"/>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79"/>
        <w:gridCol w:w="1414"/>
        <w:gridCol w:w="7229"/>
        <w:gridCol w:w="1701"/>
        <w:gridCol w:w="1948"/>
      </w:tblGrid>
      <w:tr>
        <w:trPr>
          <w:tblHeader/>
        </w:trPr>
        <w:tc>
          <w:tcPr>
            <w:tcW w:w="679" w:type="dxa"/>
            <w:vAlign w:val="center"/>
          </w:tcPr>
          <w:p>
            <w:pPr>
              <w:widowControl/>
              <w:spacing w:line="320" w:lineRule="exact"/>
              <w:ind w:firstLineChars="0" w:firstLine="0"/>
              <w:jc w:val="center"/>
              <w:rPr>
                <w:rFonts w:eastAsia="FZHei-B01" w:cs="Times New Roman"/>
                <w:kern w:val="0"/>
                <w:sz w:val="24"/>
                <w:szCs w:val="24"/>
              </w:rPr>
            </w:pPr>
            <w:r>
              <w:rPr>
                <w:rFonts w:eastAsia="FZHei-B01" w:cs="Times New Roman" w:hint="eastAsia"/>
                <w:kern w:val="0"/>
                <w:sz w:val="24"/>
                <w:szCs w:val="24"/>
              </w:rPr>
              <w:t>序号</w:t>
            </w:r>
          </w:p>
        </w:tc>
        <w:tc>
          <w:tcPr>
            <w:tcW w:w="8643" w:type="dxa"/>
            <w:gridSpan w:val="2"/>
            <w:vAlign w:val="center"/>
          </w:tcPr>
          <w:p>
            <w:pPr>
              <w:widowControl/>
              <w:spacing w:line="320" w:lineRule="exact"/>
              <w:ind w:firstLineChars="0" w:firstLine="0"/>
              <w:jc w:val="center"/>
              <w:rPr>
                <w:rFonts w:eastAsia="FZHei-B01" w:cs="Times New Roman"/>
                <w:kern w:val="0"/>
                <w:sz w:val="24"/>
                <w:szCs w:val="24"/>
              </w:rPr>
            </w:pPr>
            <w:r>
              <w:rPr>
                <w:rFonts w:eastAsia="FZHei-B01" w:cs="Times New Roman" w:hint="eastAsia"/>
                <w:kern w:val="0"/>
                <w:sz w:val="24"/>
                <w:szCs w:val="24"/>
              </w:rPr>
              <w:t>任务内容</w:t>
            </w:r>
          </w:p>
        </w:tc>
        <w:tc>
          <w:tcPr>
            <w:tcW w:w="1701" w:type="dxa"/>
            <w:vAlign w:val="center"/>
          </w:tcPr>
          <w:p>
            <w:pPr>
              <w:widowControl/>
              <w:spacing w:line="320" w:lineRule="exact"/>
              <w:ind w:firstLineChars="0" w:firstLine="0"/>
              <w:jc w:val="center"/>
              <w:rPr>
                <w:rFonts w:eastAsia="FZHei-B01" w:cs="Times New Roman"/>
                <w:kern w:val="0"/>
                <w:sz w:val="24"/>
                <w:szCs w:val="24"/>
              </w:rPr>
            </w:pPr>
            <w:r>
              <w:rPr>
                <w:rFonts w:eastAsia="FZHei-B01" w:cs="Times New Roman" w:hint="eastAsia"/>
                <w:kern w:val="0"/>
                <w:sz w:val="24"/>
                <w:szCs w:val="24"/>
              </w:rPr>
              <w:t>牵头单位</w:t>
            </w:r>
          </w:p>
        </w:tc>
        <w:tc>
          <w:tcPr>
            <w:tcW w:w="1948" w:type="dxa"/>
            <w:vAlign w:val="center"/>
          </w:tcPr>
          <w:p>
            <w:pPr>
              <w:widowControl/>
              <w:spacing w:line="320" w:lineRule="exact"/>
              <w:ind w:firstLineChars="0" w:firstLine="0"/>
              <w:jc w:val="center"/>
              <w:rPr>
                <w:rFonts w:eastAsia="FZHei-B01" w:cs="Times New Roman"/>
                <w:kern w:val="0"/>
                <w:sz w:val="24"/>
                <w:szCs w:val="24"/>
              </w:rPr>
            </w:pPr>
            <w:r>
              <w:rPr>
                <w:rFonts w:eastAsia="FZHei-B01" w:cs="Times New Roman" w:hint="eastAsia"/>
                <w:kern w:val="0"/>
                <w:sz w:val="24"/>
                <w:szCs w:val="24"/>
              </w:rPr>
              <w:t>配合单位</w:t>
            </w:r>
          </w:p>
        </w:tc>
      </w:tr>
      <w:tr>
        <w:tc>
          <w:tcPr>
            <w:tcW w:w="12971" w:type="dxa"/>
            <w:gridSpan w:val="5"/>
            <w:vAlign w:val="center"/>
          </w:tcPr>
          <w:p>
            <w:pPr>
              <w:widowControl/>
              <w:spacing w:line="320" w:lineRule="exact"/>
              <w:ind w:firstLineChars="0" w:firstLine="0"/>
              <w:jc w:val="left"/>
              <w:rPr>
                <w:rFonts w:ascii="FZKai-Z03" w:eastAsia="FZKai-Z03" w:cs="宋体" w:hAnsi="FZKai-Z03"/>
                <w:color w:val="000000"/>
                <w:kern w:val="0"/>
                <w:sz w:val="28"/>
                <w:szCs w:val="28"/>
              </w:rPr>
            </w:pPr>
            <w:r>
              <w:rPr>
                <w:rFonts w:eastAsia="FZHei-B01" w:cs="Times New Roman" w:hint="eastAsia"/>
                <w:kern w:val="0"/>
                <w:sz w:val="24"/>
                <w:szCs w:val="24"/>
              </w:rPr>
              <w:t>一、目标指标</w:t>
            </w:r>
          </w:p>
        </w:tc>
      </w:tr>
      <w:tr>
        <w:trPr>
          <w:trHeight w:val="592"/>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1</w:t>
            </w:r>
          </w:p>
        </w:tc>
        <w:tc>
          <w:tcPr>
            <w:tcW w:w="1414" w:type="dxa"/>
            <w:vMerge w:val="restart"/>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目标指标</w:t>
            </w: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至2025年，</w:t>
            </w:r>
            <w:r>
              <w:rPr>
                <w:rFonts w:eastAsia="FangSong" w:cs="Times New Roman" w:hint="eastAsia"/>
                <w:kern w:val="0"/>
                <w:sz w:val="24"/>
                <w:szCs w:val="24"/>
              </w:rPr>
              <w:t>工业固体废物产生强度≤0</w:t>
            </w:r>
            <w:r>
              <w:rPr>
                <w:rFonts w:eastAsia="FangSong" w:cs="Times New Roman"/>
                <w:kern w:val="0"/>
                <w:sz w:val="24"/>
                <w:szCs w:val="24"/>
              </w:rPr>
              <w:t>.48</w:t>
            </w:r>
            <w:r>
              <w:rPr>
                <w:rFonts w:eastAsia="FangSong" w:cs="Times New Roman" w:hint="eastAsia"/>
                <w:kern w:val="0"/>
                <w:sz w:val="24"/>
                <w:szCs w:val="24"/>
              </w:rPr>
              <w:t>吨/万元</w:t>
            </w:r>
            <w:r>
              <w:rPr>
                <w:rFonts w:cs="Times New Roman" w:hint="eastAsia"/>
                <w:kern w:val="0"/>
                <w:sz w:val="24"/>
                <w:szCs w:val="24"/>
              </w:rPr>
              <w:t>。</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r>
      <w:tr>
        <w:trPr>
          <w:trHeight w:val="540"/>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2</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至2025年，</w:t>
            </w:r>
            <w:r>
              <w:rPr>
                <w:rFonts w:eastAsia="FangSong" w:cs="Times New Roman" w:hint="eastAsia"/>
                <w:kern w:val="0"/>
                <w:sz w:val="24"/>
                <w:szCs w:val="24"/>
              </w:rPr>
              <w:t>一般工业固体废物综合利用率达到8</w:t>
            </w:r>
            <w:r>
              <w:rPr>
                <w:rFonts w:eastAsia="FangSong" w:cs="Times New Roman"/>
                <w:kern w:val="0"/>
                <w:sz w:val="24"/>
                <w:szCs w:val="24"/>
              </w:rPr>
              <w:t>8</w:t>
            </w:r>
            <w:r>
              <w:rPr>
                <w:rFonts w:eastAsia="FangSong" w:cs="Times New Roman" w:hint="eastAsia"/>
                <w:kern w:val="0"/>
                <w:sz w:val="24"/>
                <w:szCs w:val="24"/>
              </w:rPr>
              <w:t>%以上</w:t>
            </w:r>
            <w:r>
              <w:rPr>
                <w:rFonts w:cs="Times New Roman" w:hint="eastAsia"/>
                <w:kern w:val="0"/>
                <w:sz w:val="24"/>
                <w:szCs w:val="24"/>
              </w:rPr>
              <w:t>。</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kern w:val="0"/>
                <w:sz w:val="24"/>
                <w:szCs w:val="24"/>
              </w:rPr>
              <w:t>3</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至2025年，</w:t>
            </w:r>
            <w:r>
              <w:rPr>
                <w:rFonts w:eastAsia="FangSong" w:cs="Times New Roman" w:hint="eastAsia"/>
                <w:kern w:val="0"/>
                <w:sz w:val="24"/>
                <w:szCs w:val="24"/>
              </w:rPr>
              <w:t>危险废物规范化管理抽查合格率达到</w:t>
            </w:r>
            <w:r>
              <w:rPr>
                <w:rFonts w:eastAsia="FangSong" w:cs="Times New Roman"/>
                <w:kern w:val="0"/>
                <w:sz w:val="24"/>
                <w:szCs w:val="24"/>
              </w:rPr>
              <w:t>95%（产废单位）、100% （经营单位）</w:t>
            </w:r>
            <w:r>
              <w:rPr>
                <w:rFonts w:cs="Times New Roman" w:hint="eastAsia"/>
                <w:kern w:val="0"/>
                <w:sz w:val="24"/>
                <w:szCs w:val="24"/>
              </w:rPr>
              <w:t>。</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p>
        </w:tc>
      </w:tr>
      <w:tr>
        <w:tc>
          <w:tcPr>
            <w:tcW w:w="12971" w:type="dxa"/>
            <w:gridSpan w:val="5"/>
            <w:vAlign w:val="center"/>
          </w:tcPr>
          <w:p>
            <w:pPr>
              <w:widowControl/>
              <w:spacing w:line="320" w:lineRule="exact"/>
              <w:ind w:firstLineChars="0" w:firstLine="0"/>
              <w:jc w:val="left"/>
              <w:rPr>
                <w:rFonts w:eastAsia="FZHei-B01" w:cs="Times New Roman"/>
                <w:kern w:val="0"/>
                <w:sz w:val="24"/>
                <w:szCs w:val="24"/>
              </w:rPr>
            </w:pPr>
            <w:r>
              <w:rPr>
                <w:rFonts w:eastAsia="FZHei-B01" w:cs="Times New Roman" w:hint="eastAsia"/>
                <w:kern w:val="0"/>
                <w:sz w:val="24"/>
                <w:szCs w:val="24"/>
              </w:rPr>
              <w:t>二、推广源头减量工艺，促进工业产业升级</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kern w:val="0"/>
                <w:sz w:val="24"/>
                <w:szCs w:val="24"/>
              </w:rPr>
              <w:t>4</w:t>
            </w:r>
          </w:p>
        </w:tc>
        <w:tc>
          <w:tcPr>
            <w:tcW w:w="1414" w:type="dxa"/>
            <w:vMerge w:val="restart"/>
            <w:vAlign w:val="center"/>
          </w:tcPr>
          <w:p>
            <w:pPr>
              <w:widowControl/>
              <w:spacing w:line="320" w:lineRule="exact"/>
              <w:ind w:firstLineChars="0" w:firstLine="0"/>
              <w:jc w:val="left"/>
              <w:rPr>
                <w:rFonts w:cs="Times New Roman"/>
                <w:kern w:val="0"/>
                <w:sz w:val="24"/>
                <w:szCs w:val="24"/>
              </w:rPr>
            </w:pPr>
            <w:r>
              <w:rPr>
                <w:rFonts w:cs="Times New Roman" w:hint="eastAsia"/>
                <w:kern w:val="0"/>
                <w:sz w:val="24"/>
                <w:szCs w:val="24"/>
              </w:rPr>
              <w:t>强化工业固体废物环评审查</w:t>
            </w: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落实生态保护红线、环境质量底线、资源利用上线硬约束，针对流域、区域、行业特点，聚焦突出问题和保护目标，实施生态环境分区管控。</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r>
      <w:tr>
        <w:trPr>
          <w:trHeight w:val="736"/>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kern w:val="0"/>
                <w:sz w:val="24"/>
                <w:szCs w:val="24"/>
              </w:rPr>
              <w:t>5</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严格执行长江经济带发展负面清单、重庆市产业投资准入等规定，严控高污染、高环境风险项目和过剩产能项目上马。</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区发展改革委</w:t>
            </w:r>
          </w:p>
        </w:tc>
      </w:tr>
      <w:tr>
        <w:trPr>
          <w:trHeight w:val="802"/>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6</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深化“放管服”改革，完善重大项目环评审批提前对接跟踪服务机制，拓展“网上办”“掌上办”政务服务。</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r>
      <w:tr>
        <w:trPr>
          <w:trHeight w:val="712"/>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7</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依法开展新改扩建项目环境影响评价，</w:t>
            </w:r>
            <w:r>
              <w:rPr>
                <w:rFonts w:cs="Times New Roman"/>
                <w:kern w:val="0"/>
                <w:sz w:val="24"/>
                <w:szCs w:val="24"/>
              </w:rPr>
              <w:t>新建项目严格执行《建设项目危险废物环境影响评价指南》及《危险废物处置工程技术导则》。</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8</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严格工业固体废物污染环境防治设施“三同时”管理，</w:t>
            </w:r>
            <w:r>
              <w:rPr>
                <w:rFonts w:cs="Times New Roman"/>
                <w:kern w:val="0"/>
                <w:sz w:val="24"/>
                <w:szCs w:val="24"/>
              </w:rPr>
              <w:t>强化工业固体废物污染</w:t>
            </w:r>
            <w:r>
              <w:rPr>
                <w:rFonts w:cs="Times New Roman" w:hint="eastAsia"/>
                <w:kern w:val="0"/>
                <w:sz w:val="24"/>
                <w:szCs w:val="24"/>
              </w:rPr>
              <w:t>环境</w:t>
            </w:r>
            <w:r>
              <w:rPr>
                <w:rFonts w:cs="Times New Roman"/>
                <w:kern w:val="0"/>
                <w:sz w:val="24"/>
                <w:szCs w:val="24"/>
              </w:rPr>
              <w:t>防治内容审查，从严把关项目</w:t>
            </w:r>
            <w:r>
              <w:rPr>
                <w:rFonts w:cs="Times New Roman" w:hint="eastAsia"/>
                <w:kern w:val="0"/>
                <w:sz w:val="24"/>
                <w:szCs w:val="24"/>
              </w:rPr>
              <w:t>的</w:t>
            </w:r>
            <w:r>
              <w:rPr>
                <w:rFonts w:cs="Times New Roman"/>
                <w:kern w:val="0"/>
                <w:sz w:val="24"/>
                <w:szCs w:val="24"/>
              </w:rPr>
              <w:t>固废类别、数量和处置去向，严格控制产生需填埋处置工业固体废物的建设项目。</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9</w:t>
            </w:r>
          </w:p>
        </w:tc>
        <w:tc>
          <w:tcPr>
            <w:tcW w:w="1414" w:type="dxa"/>
            <w:vMerge w:val="restart"/>
            <w:vAlign w:val="center"/>
          </w:tcPr>
          <w:p>
            <w:pPr>
              <w:widowControl/>
              <w:spacing w:line="320" w:lineRule="exact"/>
              <w:ind w:firstLineChars="0" w:firstLine="0"/>
              <w:jc w:val="left"/>
              <w:rPr>
                <w:rFonts w:cs="Times New Roman"/>
                <w:kern w:val="0"/>
                <w:sz w:val="24"/>
                <w:szCs w:val="24"/>
              </w:rPr>
            </w:pPr>
            <w:r>
              <w:rPr>
                <w:rFonts w:cs="Times New Roman" w:hint="eastAsia"/>
                <w:kern w:val="0"/>
                <w:sz w:val="24"/>
                <w:szCs w:val="24"/>
              </w:rPr>
              <w:t>深化产业升级优化工业生产力</w:t>
            </w: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坚持工业集约集聚集中和转型升级，调整优化“一区四园”布局，理顺江津工业园区与西部（重庆</w:t>
            </w:r>
            <w:r>
              <w:rPr>
                <w:rFonts w:cs="Times New Roman"/>
                <w:kern w:val="0"/>
                <w:sz w:val="24"/>
                <w:szCs w:val="24"/>
              </w:rPr>
              <w:t>）</w:t>
            </w:r>
            <w:r>
              <w:rPr>
                <w:rFonts w:cs="Times New Roman" w:hint="eastAsia"/>
                <w:kern w:val="0"/>
                <w:sz w:val="24"/>
                <w:szCs w:val="24"/>
              </w:rPr>
              <w:t>科学城（重庆高新区）、江津综合保税区、滨江新城的体制机制关系，适时调整优化江津工业园区未来发展重心。</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工业园区发展中心</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0</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深入实施“中国制造2025”、“重庆市绿色制造2025”，促进造纸、汽车、电子、化工、铸造、建材、有色、涂装、包装印刷、印染等行业的升级改造和绿色转型，实施“一企一策”，制定绿色发展、低碳循环的综合整治方案。</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区发展改革委</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1</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到2</w:t>
            </w:r>
            <w:r>
              <w:rPr>
                <w:rFonts w:cs="Times New Roman"/>
                <w:kern w:val="0"/>
                <w:sz w:val="24"/>
                <w:szCs w:val="24"/>
              </w:rPr>
              <w:t>023</w:t>
            </w:r>
            <w:r>
              <w:rPr>
                <w:rFonts w:cs="Times New Roman" w:hint="eastAsia"/>
                <w:kern w:val="0"/>
                <w:sz w:val="24"/>
                <w:szCs w:val="24"/>
              </w:rPr>
              <w:t>年，新增绿色工厂</w:t>
            </w:r>
            <w:r>
              <w:rPr>
                <w:rFonts w:cs="Times New Roman"/>
                <w:kern w:val="0"/>
                <w:sz w:val="24"/>
                <w:szCs w:val="24"/>
              </w:rPr>
              <w:t>3</w:t>
            </w:r>
            <w:r>
              <w:rPr>
                <w:rFonts w:cs="Times New Roman" w:hint="eastAsia"/>
                <w:kern w:val="0"/>
                <w:sz w:val="24"/>
                <w:szCs w:val="24"/>
              </w:rPr>
              <w:t>个，到2</w:t>
            </w:r>
            <w:r>
              <w:rPr>
                <w:rFonts w:cs="Times New Roman"/>
                <w:kern w:val="0"/>
                <w:sz w:val="24"/>
                <w:szCs w:val="24"/>
              </w:rPr>
              <w:t>025</w:t>
            </w:r>
            <w:r>
              <w:rPr>
                <w:rFonts w:cs="Times New Roman" w:hint="eastAsia"/>
                <w:kern w:val="0"/>
                <w:sz w:val="24"/>
                <w:szCs w:val="24"/>
              </w:rPr>
              <w:t>年，新增绿色工厂</w:t>
            </w:r>
            <w:r>
              <w:rPr>
                <w:rFonts w:cs="Times New Roman"/>
                <w:kern w:val="0"/>
                <w:sz w:val="24"/>
                <w:szCs w:val="24"/>
              </w:rPr>
              <w:t>10</w:t>
            </w:r>
            <w:r>
              <w:rPr>
                <w:rFonts w:cs="Times New Roman" w:hint="eastAsia"/>
                <w:kern w:val="0"/>
                <w:sz w:val="24"/>
                <w:szCs w:val="24"/>
              </w:rPr>
              <w:t>个，力争创建绿色园区</w:t>
            </w:r>
            <w:r>
              <w:rPr>
                <w:rFonts w:cs="Times New Roman"/>
                <w:kern w:val="0"/>
                <w:sz w:val="24"/>
                <w:szCs w:val="24"/>
              </w:rPr>
              <w:t>1</w:t>
            </w:r>
            <w:r>
              <w:rPr>
                <w:rFonts w:cs="Times New Roman" w:hint="eastAsia"/>
                <w:kern w:val="0"/>
                <w:sz w:val="24"/>
                <w:szCs w:val="24"/>
              </w:rPr>
              <w:t>个。</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各工业园区发展中心</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2</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kern w:val="0"/>
                <w:sz w:val="24"/>
                <w:szCs w:val="24"/>
              </w:rPr>
              <w:t>对全区企业空间布局、产业政策、排污情况进行摸排分析，对</w:t>
            </w:r>
            <w:r>
              <w:rPr>
                <w:rFonts w:cs="Times New Roman" w:hint="eastAsia"/>
                <w:kern w:val="0"/>
                <w:sz w:val="24"/>
                <w:szCs w:val="24"/>
              </w:rPr>
              <w:t>产生工业固体废物</w:t>
            </w:r>
            <w:r>
              <w:rPr>
                <w:rFonts w:cs="Times New Roman"/>
                <w:kern w:val="0"/>
                <w:sz w:val="24"/>
                <w:szCs w:val="24"/>
              </w:rPr>
              <w:t>企业进行分类整治</w:t>
            </w:r>
            <w:r>
              <w:rPr>
                <w:rFonts w:cs="Times New Roman" w:hint="eastAsia"/>
                <w:kern w:val="0"/>
                <w:sz w:val="24"/>
                <w:szCs w:val="24"/>
              </w:rPr>
              <w:t>，加快低效用地企业转型</w:t>
            </w:r>
            <w:r>
              <w:rPr>
                <w:rFonts w:cs="Times New Roman"/>
                <w:kern w:val="0"/>
                <w:sz w:val="24"/>
                <w:szCs w:val="24"/>
              </w:rPr>
              <w:t>。</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3</w:t>
            </w:r>
          </w:p>
        </w:tc>
        <w:tc>
          <w:tcPr>
            <w:tcW w:w="1414" w:type="dxa"/>
            <w:vMerge w:val="restart"/>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提升清洁生产水平</w:t>
            </w: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依法公布强制性清洁生产审核名单，调查和诊断能耗高、物耗高、污染重的原因，实施清洁生产方案。</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4</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聚焦电力、消费品、装备制造、汽摩、材料、电子等重点产业，推广清洁化生产工艺，实施清洁生产审核，促进</w:t>
            </w:r>
            <w:r>
              <w:rPr>
                <w:rFonts w:cs="Times New Roman"/>
                <w:kern w:val="0"/>
                <w:sz w:val="24"/>
                <w:szCs w:val="24"/>
              </w:rPr>
              <w:t>资源能源利用高效化。</w:t>
            </w:r>
            <w:r>
              <w:rPr>
                <w:rFonts w:cs="Times New Roman" w:hint="eastAsia"/>
                <w:kern w:val="0"/>
                <w:sz w:val="24"/>
                <w:szCs w:val="24"/>
              </w:rPr>
              <w:t>“十四五”期间，强制性清洁生产工业企业完成率稳定1</w:t>
            </w:r>
            <w:r>
              <w:rPr>
                <w:rFonts w:cs="Times New Roman"/>
                <w:kern w:val="0"/>
                <w:sz w:val="24"/>
                <w:szCs w:val="24"/>
              </w:rPr>
              <w:t>00</w:t>
            </w:r>
            <w:r>
              <w:rPr>
                <w:rFonts w:cs="Times New Roman" w:hint="eastAsia"/>
                <w:kern w:val="0"/>
                <w:sz w:val="24"/>
                <w:szCs w:val="24"/>
              </w:rPr>
              <w:t>%。</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r>
      <w:tr>
        <w:trPr>
          <w:trHeight w:val="1148"/>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5</w:t>
            </w:r>
          </w:p>
        </w:tc>
        <w:tc>
          <w:tcPr>
            <w:tcW w:w="1414" w:type="dxa"/>
            <w:vMerge/>
            <w:vAlign w:val="center"/>
          </w:tcPr>
          <w:p/>
        </w:tc>
        <w:tc>
          <w:tcPr>
            <w:tcW w:w="7229" w:type="dxa"/>
            <w:vAlign w:val="center"/>
          </w:tcPr>
          <w:p>
            <w:pPr>
              <w:widowControl/>
              <w:spacing w:line="320" w:lineRule="exact"/>
              <w:ind w:firstLineChars="0" w:firstLine="0"/>
              <w:rPr>
                <w:rFonts w:cs="Times New Roman"/>
                <w:spacing w:val="-4"/>
                <w:kern w:val="0"/>
                <w:sz w:val="24"/>
                <w:szCs w:val="24"/>
              </w:rPr>
            </w:pPr>
            <w:r>
              <w:rPr>
                <w:rFonts w:cs="Times New Roman" w:hint="eastAsia"/>
                <w:spacing w:val="-4"/>
                <w:kern w:val="0"/>
                <w:sz w:val="24"/>
                <w:szCs w:val="24"/>
              </w:rPr>
              <w:t>探索</w:t>
            </w:r>
            <w:r>
              <w:rPr>
                <w:rFonts w:cs="Times New Roman"/>
                <w:spacing w:val="-4"/>
                <w:kern w:val="0"/>
                <w:sz w:val="24"/>
                <w:szCs w:val="24"/>
              </w:rPr>
              <w:t>绿色设计和绿色供应链建设，促进固体废物减量和循环利用。</w:t>
            </w:r>
            <w:r>
              <w:rPr>
                <w:rFonts w:cs="Times New Roman" w:hint="eastAsia"/>
                <w:spacing w:val="-4"/>
                <w:kern w:val="0"/>
                <w:sz w:val="24"/>
                <w:szCs w:val="24"/>
              </w:rPr>
              <w:t>支持推广减少工业固体废物产生量和降低工业固体废物危害性的生产工艺和设备，促进从源头上减少工业固体废物产生量、降低危害性。</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6</w:t>
            </w:r>
          </w:p>
        </w:tc>
        <w:tc>
          <w:tcPr>
            <w:tcW w:w="1414"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持续推进绿色矿山建设</w:t>
            </w: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坚持“边开采、边治理”原则，开展废弃矿山生态修复治理工作，</w:t>
            </w:r>
            <w:r>
              <w:rPr>
                <w:rFonts w:cs="Times New Roman"/>
                <w:kern w:val="0"/>
                <w:sz w:val="24"/>
                <w:szCs w:val="24"/>
              </w:rPr>
              <w:t>2025</w:t>
            </w:r>
            <w:r>
              <w:rPr>
                <w:rFonts w:cs="Times New Roman" w:hint="eastAsia"/>
                <w:kern w:val="0"/>
                <w:sz w:val="24"/>
                <w:szCs w:val="24"/>
              </w:rPr>
              <w:t>年底前，对江津区现存未治理废弃矿山按照生态修复工作要求全部“销账归零”。到</w:t>
            </w:r>
            <w:r>
              <w:rPr>
                <w:rFonts w:cs="Times New Roman"/>
                <w:kern w:val="0"/>
                <w:sz w:val="24"/>
                <w:szCs w:val="24"/>
              </w:rPr>
              <w:t>2022</w:t>
            </w:r>
            <w:r>
              <w:rPr>
                <w:rFonts w:cs="Times New Roman" w:hint="eastAsia"/>
                <w:kern w:val="0"/>
                <w:sz w:val="24"/>
                <w:szCs w:val="24"/>
              </w:rPr>
              <w:t>年底前，完成</w:t>
            </w:r>
            <w:r>
              <w:rPr>
                <w:rFonts w:cs="Times New Roman"/>
                <w:kern w:val="0"/>
                <w:sz w:val="24"/>
                <w:szCs w:val="24"/>
              </w:rPr>
              <w:t>10</w:t>
            </w:r>
            <w:r>
              <w:rPr>
                <w:rFonts w:cs="Times New Roman" w:hint="eastAsia"/>
                <w:kern w:val="0"/>
                <w:sz w:val="24"/>
                <w:szCs w:val="24"/>
              </w:rPr>
              <w:t>座其他生产矿山绿色建设。</w:t>
            </w:r>
            <w:r>
              <w:rPr>
                <w:rFonts w:cs="Times New Roman"/>
                <w:kern w:val="0"/>
                <w:sz w:val="24"/>
                <w:szCs w:val="24"/>
              </w:rPr>
              <w:t>2025</w:t>
            </w:r>
            <w:r>
              <w:rPr>
                <w:rFonts w:cs="Times New Roman" w:hint="eastAsia"/>
                <w:kern w:val="0"/>
                <w:sz w:val="24"/>
                <w:szCs w:val="24"/>
                <w:lang w:eastAsia="zh-CN"/>
              </w:rPr>
              <w:t>年</w:t>
            </w:r>
            <w:r>
              <w:rPr>
                <w:rFonts w:cs="Times New Roman" w:hint="eastAsia"/>
                <w:kern w:val="0"/>
                <w:sz w:val="24"/>
                <w:szCs w:val="24"/>
              </w:rPr>
              <w:t>底前，完成</w:t>
            </w:r>
            <w:r>
              <w:rPr>
                <w:rFonts w:cs="Times New Roman"/>
                <w:kern w:val="0"/>
                <w:sz w:val="24"/>
                <w:szCs w:val="24"/>
              </w:rPr>
              <w:t>5</w:t>
            </w:r>
            <w:r>
              <w:rPr>
                <w:rFonts w:cs="Times New Roman" w:hint="eastAsia"/>
                <w:kern w:val="0"/>
                <w:sz w:val="24"/>
                <w:szCs w:val="24"/>
              </w:rPr>
              <w:t>个绿色矿山建设。</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江津区规划和自然资源局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区生态环境局、区应急管理局</w:t>
            </w:r>
          </w:p>
        </w:tc>
      </w:tr>
      <w:tr>
        <w:tc>
          <w:tcPr>
            <w:tcW w:w="12971" w:type="dxa"/>
            <w:gridSpan w:val="5"/>
            <w:vAlign w:val="center"/>
          </w:tcPr>
          <w:p>
            <w:pPr>
              <w:widowControl/>
              <w:spacing w:line="320" w:lineRule="exact"/>
              <w:ind w:firstLineChars="0" w:firstLine="0"/>
              <w:jc w:val="left"/>
              <w:rPr>
                <w:rFonts w:eastAsia="FZHei-B01" w:cs="Times New Roman"/>
                <w:kern w:val="0"/>
                <w:sz w:val="24"/>
                <w:szCs w:val="24"/>
              </w:rPr>
            </w:pPr>
            <w:r>
              <w:rPr>
                <w:rFonts w:eastAsia="FZHei-B01" w:cs="Times New Roman" w:hint="eastAsia"/>
                <w:kern w:val="0"/>
                <w:sz w:val="24"/>
                <w:szCs w:val="24"/>
              </w:rPr>
              <w:t>三、深化实施分类收集，加强贮存运输管理</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7</w:t>
            </w:r>
          </w:p>
        </w:tc>
        <w:tc>
          <w:tcPr>
            <w:tcW w:w="1414" w:type="dxa"/>
            <w:vMerge w:val="restart"/>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健全工业固体废物收集体系</w:t>
            </w: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贯彻落实</w:t>
            </w:r>
            <w:r>
              <w:rPr>
                <w:rFonts w:cs="Times New Roman"/>
                <w:kern w:val="0"/>
                <w:sz w:val="24"/>
                <w:szCs w:val="24"/>
              </w:rPr>
              <w:t>《</w:t>
            </w:r>
            <w:r>
              <w:rPr>
                <w:rFonts w:cs="Times New Roman" w:hint="eastAsia"/>
                <w:kern w:val="0"/>
                <w:sz w:val="24"/>
                <w:szCs w:val="24"/>
              </w:rPr>
              <w:t>国家</w:t>
            </w:r>
            <w:r>
              <w:rPr>
                <w:rFonts w:cs="Times New Roman"/>
                <w:kern w:val="0"/>
                <w:sz w:val="24"/>
                <w:szCs w:val="24"/>
              </w:rPr>
              <w:t>危险废物名录》（2021年版）和《一般固体废物分类与代码》（GB/T39198-2020）</w:t>
            </w:r>
            <w:r>
              <w:rPr>
                <w:rFonts w:cs="Times New Roman" w:hint="eastAsia"/>
                <w:kern w:val="0"/>
                <w:sz w:val="24"/>
                <w:szCs w:val="24"/>
              </w:rPr>
              <w:t>要求</w:t>
            </w:r>
            <w:r>
              <w:rPr>
                <w:rFonts w:cs="Times New Roman"/>
                <w:kern w:val="0"/>
                <w:sz w:val="24"/>
                <w:szCs w:val="24"/>
              </w:rPr>
              <w:t>，</w:t>
            </w:r>
            <w:r>
              <w:rPr>
                <w:rFonts w:cs="Times New Roman" w:hint="eastAsia"/>
                <w:kern w:val="0"/>
                <w:sz w:val="24"/>
                <w:szCs w:val="24"/>
              </w:rPr>
              <w:t>指导辖区内</w:t>
            </w:r>
            <w:r>
              <w:rPr>
                <w:rFonts w:cs="Times New Roman"/>
                <w:kern w:val="0"/>
                <w:sz w:val="24"/>
                <w:szCs w:val="24"/>
              </w:rPr>
              <w:t>企业</w:t>
            </w:r>
            <w:r>
              <w:rPr>
                <w:rFonts w:cs="Times New Roman" w:hint="eastAsia"/>
                <w:kern w:val="0"/>
                <w:sz w:val="24"/>
                <w:szCs w:val="24"/>
              </w:rPr>
              <w:t>建立健全工业固体废物污染防治责任制度，建立工业固体废物管理台账，</w:t>
            </w:r>
            <w:r>
              <w:rPr>
                <w:rFonts w:cs="Times New Roman"/>
                <w:kern w:val="0"/>
                <w:sz w:val="24"/>
                <w:szCs w:val="24"/>
              </w:rPr>
              <w:t>按固体废物特性和类别分开收集一般工业固体废物</w:t>
            </w:r>
            <w:r>
              <w:rPr>
                <w:rFonts w:cs="Times New Roman" w:hint="eastAsia"/>
                <w:kern w:val="0"/>
                <w:sz w:val="24"/>
                <w:szCs w:val="24"/>
              </w:rPr>
              <w:t>和</w:t>
            </w:r>
            <w:r>
              <w:rPr>
                <w:rFonts w:cs="Times New Roman"/>
                <w:kern w:val="0"/>
                <w:sz w:val="24"/>
                <w:szCs w:val="24"/>
              </w:rPr>
              <w:t>工业危险废物，实行安全分类存放</w:t>
            </w:r>
            <w:r>
              <w:rPr>
                <w:rFonts w:cs="Times New Roman" w:hint="eastAsia"/>
                <w:kern w:val="0"/>
                <w:sz w:val="24"/>
                <w:szCs w:val="24"/>
              </w:rPr>
              <w:t>和管理。</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kern w:val="0"/>
                <w:sz w:val="24"/>
                <w:szCs w:val="24"/>
              </w:rPr>
              <w:t>18</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健全粉煤灰、脱硫石膏、炉渣和污泥等大宗工业固废回收利用体系，进一步提高大宗工业固体废物回收率。</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1</w:t>
            </w:r>
            <w:r>
              <w:rPr>
                <w:rFonts w:cs="Times New Roman"/>
                <w:kern w:val="0"/>
                <w:sz w:val="24"/>
                <w:szCs w:val="24"/>
              </w:rPr>
              <w:t>9</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鼓励专业收集转运和利用处置单位建设区域性收集网点和贮存设施，打通包装物、边角料等一般工业固体废物的回收渠道，提升工业固体废物综合利用率。</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c>
          <w:tcPr>
            <w:tcW w:w="1948" w:type="dxa"/>
            <w:vAlign w:val="center"/>
          </w:tcPr>
          <w:p>
            <w:pPr>
              <w:widowControl/>
              <w:spacing w:line="320" w:lineRule="exact"/>
              <w:ind w:firstLineChars="0" w:firstLine="0"/>
              <w:rPr>
                <w:rFonts w:cs="Times New Roman"/>
                <w:kern w:val="0"/>
                <w:sz w:val="24"/>
                <w:szCs w:val="24"/>
                <w:highlight w:val="yellow"/>
              </w:rPr>
            </w:pPr>
            <w:r>
              <w:rPr>
                <w:rFonts w:cs="Times New Roman" w:hint="eastAsia"/>
                <w:kern w:val="0"/>
                <w:sz w:val="24"/>
                <w:szCs w:val="24"/>
              </w:rPr>
              <w:t>区商务委、区城市管理局</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0</w:t>
            </w:r>
          </w:p>
        </w:tc>
        <w:tc>
          <w:tcPr>
            <w:tcW w:w="1414" w:type="dxa"/>
            <w:vMerge w:val="restart"/>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完善小微企业和非工业源危险废物收集体系</w:t>
            </w:r>
          </w:p>
        </w:tc>
        <w:tc>
          <w:tcPr>
            <w:tcW w:w="7229" w:type="dxa"/>
            <w:vAlign w:val="center"/>
          </w:tcPr>
          <w:p>
            <w:pPr>
              <w:widowControl/>
              <w:spacing w:line="320" w:lineRule="exact"/>
              <w:ind w:firstLineChars="0" w:firstLine="0"/>
              <w:rPr>
                <w:rFonts w:cs="Times New Roman"/>
                <w:kern w:val="0"/>
                <w:sz w:val="24"/>
                <w:szCs w:val="24"/>
              </w:rPr>
            </w:pPr>
            <w:r>
              <w:rPr>
                <w:rFonts w:cs="Times New Roman"/>
                <w:kern w:val="0"/>
                <w:sz w:val="24"/>
                <w:szCs w:val="24"/>
              </w:rPr>
              <w:t>加大</w:t>
            </w:r>
            <w:r>
              <w:rPr>
                <w:rFonts w:cs="Times New Roman" w:hint="eastAsia"/>
                <w:kern w:val="0"/>
                <w:sz w:val="24"/>
                <w:szCs w:val="24"/>
              </w:rPr>
              <w:t>非工业</w:t>
            </w:r>
            <w:r>
              <w:rPr>
                <w:rFonts w:cs="Times New Roman"/>
                <w:kern w:val="0"/>
                <w:sz w:val="24"/>
                <w:szCs w:val="24"/>
              </w:rPr>
              <w:t>源危险废物摸底和分类，建立</w:t>
            </w:r>
            <w:r>
              <w:rPr>
                <w:rFonts w:cs="Times New Roman" w:hint="eastAsia"/>
                <w:kern w:val="0"/>
                <w:sz w:val="24"/>
                <w:szCs w:val="24"/>
              </w:rPr>
              <w:t>非工业</w:t>
            </w:r>
            <w:r>
              <w:rPr>
                <w:rFonts w:cs="Times New Roman"/>
                <w:kern w:val="0"/>
                <w:sz w:val="24"/>
                <w:szCs w:val="24"/>
              </w:rPr>
              <w:t>源危险废物名单</w:t>
            </w:r>
            <w:r>
              <w:rPr>
                <w:rFonts w:cs="Times New Roman" w:hint="eastAsia"/>
                <w:kern w:val="0"/>
                <w:sz w:val="24"/>
                <w:szCs w:val="24"/>
              </w:rPr>
              <w:t>。</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区商务委、区城市管理局</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1</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依托区内危险废物收集单位，建立小微企业和非工业源危险废物收集体系，开展小微企业废油、废包装物、机动车维修企业废油、废滤芯和废铅蓄电池、实验室分析用的废酸废碱和建筑工地的废油漆桶等危险废物的分类收集。</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区商务委、区交通局、区城市管理局</w:t>
            </w:r>
          </w:p>
        </w:tc>
      </w:tr>
      <w:tr>
        <w:trPr>
          <w:trHeight w:val="792"/>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2</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配合“无废城市”建设，推进垃圾分类回收与再生资源回收“两网融合”，拓展非工业源危险废物多元化回收渠道。</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区城市管理局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区商务委、区生态环境局</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3</w:t>
            </w:r>
          </w:p>
        </w:tc>
        <w:tc>
          <w:tcPr>
            <w:tcW w:w="1414" w:type="dxa"/>
            <w:vMerge w:val="restart"/>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加强贮存设施建设和管理</w:t>
            </w: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落实《危险废物贮存污染控制标准》和《一般工业固体废物贮存和填埋污染控制标准》要求，分类指导产生工业固体废物产生单位和利用处置单位建设具备防扬散、防流失、防渗漏或者其他防止污染环境的固体废物污染环境防治贮存设施，防止渗漏液等衍生废物、废水和泄漏的液态废物、产生的粉尘和挥发性有机物等污染环境。</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4</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推动医疗机构、机动车维修、高校实验室等单位按照重庆市非工业源危险废物规范化管理要求建设危险废物暂存间并落实相关的管理制度，分类贮存收集的危险废物，做好设施的维护和检查工作。</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区商务委、区城市管理局、区交通局、区卫生健康委</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5</w:t>
            </w:r>
          </w:p>
        </w:tc>
        <w:tc>
          <w:tcPr>
            <w:tcW w:w="1414" w:type="dxa"/>
            <w:vMerge w:val="restart"/>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加强工业固体废物运输和转运管理</w:t>
            </w: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加强工业固体废物产生企业和利用处置企业转移固体废物的指导和管理，发生工业固体废物跨省转移时应执行跨省转移制度。</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区经济信息委、区交通局</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6</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加强粉煤灰、脱硫石膏、炉渣和污泥等大宗工业固体废物运输的监管，防止运输过程中对环境造成污染。</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区交通局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区生态环境局、区经济信息委</w:t>
            </w:r>
          </w:p>
        </w:tc>
      </w:tr>
      <w:tr>
        <w:trPr>
          <w:trHeight w:val="978"/>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2</w:t>
            </w:r>
            <w:r>
              <w:rPr>
                <w:rFonts w:cs="Times New Roman"/>
                <w:kern w:val="0"/>
                <w:sz w:val="24"/>
                <w:szCs w:val="24"/>
              </w:rPr>
              <w:t>7</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加强危险废物运输管理，将危险废物运输车辆、船舶纳入日常检查内容，严控非法转运。</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区交通局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r>
      <w:tr>
        <w:tc>
          <w:tcPr>
            <w:tcW w:w="12971" w:type="dxa"/>
            <w:gridSpan w:val="5"/>
            <w:vAlign w:val="center"/>
          </w:tcPr>
          <w:p>
            <w:pPr>
              <w:widowControl/>
              <w:spacing w:line="320" w:lineRule="exact"/>
              <w:ind w:firstLineChars="0" w:firstLine="0"/>
              <w:jc w:val="left"/>
              <w:rPr>
                <w:rFonts w:eastAsia="FZHei-B01" w:cs="Times New Roman"/>
                <w:kern w:val="0"/>
                <w:sz w:val="24"/>
                <w:szCs w:val="24"/>
              </w:rPr>
            </w:pPr>
            <w:r>
              <w:rPr>
                <w:rFonts w:eastAsia="FZHei-B01" w:cs="Times New Roman" w:hint="eastAsia"/>
                <w:kern w:val="0"/>
                <w:sz w:val="24"/>
                <w:szCs w:val="24"/>
              </w:rPr>
              <w:t>四、推动园区提档升级，强化资源循环利用</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kern w:val="0"/>
                <w:sz w:val="24"/>
                <w:szCs w:val="24"/>
              </w:rPr>
              <w:t>28</w:t>
            </w:r>
          </w:p>
        </w:tc>
        <w:tc>
          <w:tcPr>
            <w:tcW w:w="1414" w:type="dxa"/>
            <w:vMerge w:val="restart"/>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加强工业园区工业固体废物循环利用</w:t>
            </w: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贯彻落实国家及重庆市资源节约集约循环利用政策，推动资源利用方式根本转变，结合工业领域减污降碳要求，加快探索“无废园区”建设路径。推进江津“一区四园”建立工业园区循环型工业体系，促进生产、流通、消费过程再利用、资源化，提高江津区资源产出率，到2025年，完成1个生态工业园区或“无废园区”建设。</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珞璜工业园区发展中心</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kern w:val="0"/>
                <w:sz w:val="24"/>
                <w:szCs w:val="24"/>
              </w:rPr>
              <w:t>29</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开展园区工业企业分类管理，对技术落后、存在固体废物污染隐患的企业要求限期完成整改。</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各工业园区发展中心</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0</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利用政策和市场因素，重点提高工业固体废弃物、废旧金属等综合利用水平，加快固体废物资源化进程，提高综合利用率。</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c>
          <w:tcPr>
            <w:tcW w:w="1948" w:type="dxa"/>
            <w:vAlign w:val="center"/>
          </w:tcPr>
          <w:p>
            <w:pPr>
              <w:widowControl/>
              <w:spacing w:line="320" w:lineRule="exact"/>
              <w:ind w:firstLineChars="0" w:firstLine="0"/>
              <w:rPr>
                <w:rFonts w:cs="Times New Roman"/>
                <w:spacing w:val="-4"/>
                <w:kern w:val="0"/>
                <w:sz w:val="24"/>
                <w:szCs w:val="24"/>
              </w:rPr>
            </w:pPr>
            <w:r>
              <w:rPr>
                <w:rFonts w:cs="Times New Roman" w:hint="eastAsia"/>
                <w:spacing w:val="-4"/>
                <w:kern w:val="0"/>
                <w:sz w:val="24"/>
                <w:szCs w:val="24"/>
              </w:rPr>
              <w:t>区发展改革委、区生态环境局、区商务委、区城市管理局、各工业园区发展中心</w:t>
            </w:r>
          </w:p>
        </w:tc>
      </w:tr>
      <w:tr>
        <w:trPr>
          <w:trHeight w:val="1467"/>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1</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推进园区资源共享、信息共享，实现企业工业固体废物处理优化升级，加强江津工业园区与中心城区工业园区的工业固体废物利用及处置单位联动，探索建立江津、高新、大渡口、永川等区固体废物全过程污染防控体系，实现固体废物全过程高效管理。</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各工业园区发展中心</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2</w:t>
            </w:r>
          </w:p>
        </w:tc>
        <w:tc>
          <w:tcPr>
            <w:tcW w:w="1414" w:type="dxa"/>
            <w:vMerge w:val="restart"/>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提升一般工业固体废物资源化利用水平</w:t>
            </w: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开展粉煤灰、脱硫石膏、炉渣等大宗工业固废资源化利用情况评估，针对利用不充分、综合利用产品附加值低等问题制定措施，建设固体废物资源化利用设施，2022年底前建设水泥窑协同处置一般固废项目（二期），2025年建成粉煤灰和脱硫石膏再生利用项目。</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3</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探索汽车整车制造行业开展生产者责任延伸制度，促进报废汽车拆解提档升级，提升废钢、废轮胎、废塑料资源化利用技术水平，于2025年底实施报废汽车回收项目，延伸报废汽车资源化产业链。</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区商务委</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rPr>
          <w:trHeight w:val="709"/>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4</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开展水泥生产企业技术升级，提升水泥窑协同处置一般工业固体废物能力和效率，提高一般工业固体废物综合利用率。</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5</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引导企业开展一般工业固体废物资源综合利用评价，促进一般工业固体废物资源综合利用产业规范化、绿色化、规模化、高技术化发展。大力发展再生资源利用骨干企业，促进产业间固体废物资源化利用和循环再生，提高资源利用再生效率。</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区生态环境局、各工业园区发展中心、各相关企业</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6</w:t>
            </w:r>
          </w:p>
        </w:tc>
        <w:tc>
          <w:tcPr>
            <w:tcW w:w="1414" w:type="dxa"/>
            <w:vMerge w:val="restart"/>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推进工业危险废物资源化利用</w:t>
            </w: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加强危险废物处置技术支撑，加大“产学研”的投入，在管理模式及技术手段上进行提升创新，减少工业危险废物填埋量。提高工业危险废物资源化利用能力，适时引进先进的管理模式及技术，促进先进制造业、消费品工业、高科技产业危险废物资源化利用。</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区科技局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rPr>
          <w:trHeight w:val="814"/>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7</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依托区内危险废物经营单位现有处置技术，推进铝灰铝渣、废活性炭、废酸、含镍废物、含铜废物等类别危险废物的资源化利用。</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3</w:t>
            </w:r>
            <w:r>
              <w:rPr>
                <w:rFonts w:cs="Times New Roman"/>
                <w:kern w:val="0"/>
                <w:sz w:val="24"/>
                <w:szCs w:val="24"/>
              </w:rPr>
              <w:t>8</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在环境风险可控前提下，探索开展废酸、废树脂粉等危险废物“点对点”定向利用的危险废物经营许可豁免管理试点。</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c>
          <w:tcPr>
            <w:tcW w:w="12971" w:type="dxa"/>
            <w:gridSpan w:val="5"/>
            <w:vAlign w:val="center"/>
          </w:tcPr>
          <w:p>
            <w:pPr>
              <w:widowControl/>
              <w:spacing w:line="320" w:lineRule="exact"/>
              <w:ind w:firstLineChars="0" w:firstLine="0"/>
              <w:jc w:val="left"/>
              <w:rPr>
                <w:rFonts w:eastAsia="FZHei-B01" w:cs="Times New Roman"/>
                <w:kern w:val="0"/>
                <w:sz w:val="24"/>
                <w:szCs w:val="24"/>
              </w:rPr>
            </w:pPr>
            <w:r>
              <w:rPr>
                <w:rFonts w:eastAsia="FZHei-B01" w:cs="Times New Roman" w:hint="eastAsia"/>
                <w:kern w:val="0"/>
                <w:sz w:val="24"/>
                <w:szCs w:val="24"/>
              </w:rPr>
              <w:t>五、优化处置设施建设，保障固废处置安全</w:t>
            </w:r>
          </w:p>
        </w:tc>
      </w:tr>
      <w:tr>
        <w:tc>
          <w:tcPr>
            <w:tcW w:w="679" w:type="dxa"/>
            <w:vAlign w:val="center"/>
          </w:tcPr>
          <w:p>
            <w:pPr>
              <w:widowControl/>
              <w:spacing w:line="320" w:lineRule="exact"/>
              <w:ind w:firstLineChars="0" w:firstLine="0"/>
              <w:jc w:val="center"/>
              <w:rPr>
                <w:rFonts w:eastAsia="FZHei-B01" w:cs="Times New Roman"/>
                <w:kern w:val="0"/>
                <w:sz w:val="24"/>
                <w:szCs w:val="24"/>
              </w:rPr>
            </w:pPr>
            <w:r>
              <w:rPr>
                <w:rFonts w:eastAsia="FZHei-B01" w:cs="Times New Roman"/>
                <w:kern w:val="0"/>
                <w:sz w:val="24"/>
                <w:szCs w:val="24"/>
              </w:rPr>
              <w:t>39</w:t>
            </w:r>
          </w:p>
        </w:tc>
        <w:tc>
          <w:tcPr>
            <w:tcW w:w="1414" w:type="dxa"/>
            <w:vMerge w:val="restart"/>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鼓励企业自建工业固体废物利用处置设施</w:t>
            </w: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鼓励电力、造纸等工业固体废物年产生量较大的企业以资源化为主，不断引进、消化和吸收先进处理工艺，配套建设工业固体废物自行利用处置设施。</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4</w:t>
            </w:r>
            <w:r>
              <w:rPr>
                <w:rFonts w:cs="Times New Roman"/>
                <w:kern w:val="0"/>
                <w:sz w:val="24"/>
                <w:szCs w:val="24"/>
              </w:rPr>
              <w:t>0</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鼓励危险废物年产生1万吨及以上企业、工业园区自行建设或优化升级危险废物利用处置设施，配套建设在线监测和远程视频监控体系。</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rPr>
          <w:trHeight w:val="742"/>
        </w:trPr>
        <w:tc>
          <w:tcPr>
            <w:tcW w:w="679" w:type="dxa"/>
            <w:vAlign w:val="center"/>
          </w:tcPr>
          <w:p>
            <w:pPr>
              <w:widowControl/>
              <w:spacing w:line="320" w:lineRule="exact"/>
              <w:ind w:firstLineChars="0" w:firstLine="0"/>
              <w:jc w:val="center"/>
              <w:rPr>
                <w:rFonts w:cs="Times New Roman"/>
                <w:kern w:val="0"/>
                <w:sz w:val="24"/>
                <w:szCs w:val="24"/>
              </w:rPr>
            </w:pPr>
            <w:r>
              <w:rPr>
                <w:rFonts w:eastAsia="FZHei-B01" w:cs="Times New Roman" w:hint="eastAsia"/>
                <w:kern w:val="0"/>
                <w:sz w:val="24"/>
                <w:szCs w:val="24"/>
              </w:rPr>
              <w:t>4</w:t>
            </w:r>
            <w:r>
              <w:rPr>
                <w:rFonts w:eastAsia="FZHei-B01" w:cs="Times New Roman"/>
                <w:kern w:val="0"/>
                <w:sz w:val="24"/>
                <w:szCs w:val="24"/>
              </w:rPr>
              <w:t>1</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定期开展自建处置设施专项整治工作，规范企业工业固体废物自行处置行为。</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4</w:t>
            </w:r>
            <w:r>
              <w:rPr>
                <w:rFonts w:cs="Times New Roman"/>
                <w:kern w:val="0"/>
                <w:sz w:val="24"/>
                <w:szCs w:val="24"/>
              </w:rPr>
              <w:t>2</w:t>
            </w:r>
          </w:p>
        </w:tc>
        <w:tc>
          <w:tcPr>
            <w:tcW w:w="1414" w:type="dxa"/>
            <w:vMerge w:val="restart"/>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合理规划工业固体废物处置能力</w:t>
            </w: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立足成渝地区双城经济圈建设，充分发挥江津与重庆市璧山、永川等区、四川省泸州市接壤优势，落实危险废物“白名单”制度，促进工业固体废物跨区域利用处置。</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r>
      <w:tr>
        <w:trPr>
          <w:trHeight w:val="1149"/>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4</w:t>
            </w:r>
            <w:r>
              <w:rPr>
                <w:rFonts w:cs="Times New Roman"/>
                <w:kern w:val="0"/>
                <w:sz w:val="24"/>
                <w:szCs w:val="24"/>
              </w:rPr>
              <w:t>3</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依据区域发展定位、产业发展布局和工业固体废物产生量，合理规划处置设施建设。新增一般工业固体废物集中处置场1座，加快推进珞璜电厂污泥处置中心、园林科研院江津污泥处置中心项目建设。</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rPr>
          <w:trHeight w:val="722"/>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4</w:t>
            </w:r>
            <w:r>
              <w:rPr>
                <w:rFonts w:cs="Times New Roman"/>
                <w:kern w:val="0"/>
                <w:sz w:val="24"/>
                <w:szCs w:val="24"/>
              </w:rPr>
              <w:t>4</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在2025年前建设江津区固体废弃物综合利用基地，实施危险废物的无害化处置；完成铝灰和含油金属屑综合利用项目建设。</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4</w:t>
            </w:r>
            <w:r>
              <w:rPr>
                <w:rFonts w:cs="Times New Roman"/>
                <w:kern w:val="0"/>
                <w:sz w:val="24"/>
                <w:szCs w:val="24"/>
              </w:rPr>
              <w:t>5</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实施工业固体废物利用处置行业整治提升行动，加大对行业优秀企业的政策扶持，优先支持其改建扩建，建设至少1家“排放清洁、技术先进、外观美丽、管理规范”的固体废物回收利用处置骨干企业。</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4</w:t>
            </w:r>
            <w:r>
              <w:rPr>
                <w:rFonts w:cs="Times New Roman"/>
                <w:kern w:val="0"/>
                <w:sz w:val="24"/>
                <w:szCs w:val="24"/>
              </w:rPr>
              <w:t>6</w:t>
            </w:r>
          </w:p>
        </w:tc>
        <w:tc>
          <w:tcPr>
            <w:tcW w:w="1414" w:type="dxa"/>
            <w:vMerge w:val="restart"/>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开展危险废物处置设施升级改造</w:t>
            </w: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以市场需求为导向，推进有价值危险废物资源化利用设施建设，提高危险废物资源化利用水平，减轻危险废物末端处置压力。</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4</w:t>
            </w:r>
            <w:r>
              <w:rPr>
                <w:rFonts w:cs="Times New Roman"/>
                <w:kern w:val="0"/>
                <w:sz w:val="24"/>
                <w:szCs w:val="24"/>
              </w:rPr>
              <w:t>7</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鼓励现有资源化利用设施提档升级，实施危险废物综合利用技改项目和扩能工程。</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kern w:val="0"/>
                <w:sz w:val="24"/>
                <w:szCs w:val="24"/>
              </w:rPr>
              <w:t>48</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在2025年前扩建江津区医疗废物处置中心，新建1条高温蒸煮生产线。</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kern w:val="0"/>
                <w:sz w:val="24"/>
                <w:szCs w:val="24"/>
              </w:rPr>
              <w:t>49</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开展部分危险废物经营单位技改项目，扩大废酸、废桶等危险废物处置能力。</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rPr>
          <w:trHeight w:val="707"/>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5</w:t>
            </w:r>
            <w:r>
              <w:rPr>
                <w:rFonts w:cs="Times New Roman"/>
                <w:kern w:val="0"/>
                <w:sz w:val="24"/>
                <w:szCs w:val="24"/>
              </w:rPr>
              <w:t>0</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鼓励专业化第三方机构从事危险废物资源化利用处置、环境污染治理与咨询服务。</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rPr>
          <w:trHeight w:val="774"/>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5</w:t>
            </w:r>
            <w:r>
              <w:rPr>
                <w:rFonts w:cs="Times New Roman"/>
                <w:kern w:val="0"/>
                <w:sz w:val="24"/>
                <w:szCs w:val="24"/>
              </w:rPr>
              <w:t>1</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组织实施危险废物经营单位规范化评估工作，推进危险废物利用处置行业提升改造和扶优汰劣。</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c>
          <w:tcPr>
            <w:tcW w:w="12971" w:type="dxa"/>
            <w:gridSpan w:val="5"/>
            <w:vAlign w:val="center"/>
          </w:tcPr>
          <w:p>
            <w:pPr>
              <w:widowControl/>
              <w:spacing w:line="320" w:lineRule="exact"/>
              <w:ind w:firstLineChars="0" w:firstLine="0"/>
              <w:jc w:val="left"/>
              <w:rPr>
                <w:rFonts w:eastAsia="FZHei-B01" w:cs="Times New Roman"/>
                <w:kern w:val="0"/>
                <w:sz w:val="24"/>
                <w:szCs w:val="24"/>
              </w:rPr>
            </w:pPr>
            <w:r>
              <w:rPr>
                <w:rFonts w:eastAsia="FZHei-B01" w:cs="Times New Roman" w:hint="eastAsia"/>
                <w:kern w:val="0"/>
                <w:sz w:val="24"/>
                <w:szCs w:val="24"/>
              </w:rPr>
              <w:t>六、开展监管能力建设，强化环境风险防控</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kern w:val="0"/>
                <w:sz w:val="24"/>
                <w:szCs w:val="24"/>
              </w:rPr>
              <w:t>52</w:t>
            </w:r>
          </w:p>
        </w:tc>
        <w:tc>
          <w:tcPr>
            <w:tcW w:w="1414" w:type="dxa"/>
            <w:vMerge w:val="restart"/>
            <w:vAlign w:val="center"/>
          </w:tcPr>
          <w:p>
            <w:pPr>
              <w:widowControl/>
              <w:spacing w:line="320" w:lineRule="exact"/>
              <w:ind w:firstLineChars="0" w:firstLine="0"/>
              <w:rPr>
                <w:rFonts w:cs="Times New Roman"/>
                <w:kern w:val="0"/>
                <w:sz w:val="24"/>
                <w:szCs w:val="24"/>
              </w:rPr>
            </w:pPr>
            <w:r>
              <w:rPr>
                <w:rFonts w:cs="Times New Roman"/>
                <w:kern w:val="0"/>
                <w:sz w:val="24"/>
                <w:szCs w:val="24"/>
              </w:rPr>
              <w:t>加强工业固体废物监管能力建设</w:t>
            </w: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配合“无废城市”建设，建立健全跨领域、跨部门、跨区域的工业固体废物管理体系。</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区无废办</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区无废城市成员单位</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kern w:val="0"/>
                <w:sz w:val="24"/>
                <w:szCs w:val="24"/>
              </w:rPr>
              <w:t>53</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加强工业固体废物专业机构及专业人才队伍建设，切实提升工业固体废物环境监管能力和重难点问题解决能力。每年定期组织召开全区固体废物环境管理工作会，加强对生态环境保护督</w:t>
            </w:r>
            <w:r>
              <w:rPr>
                <w:rFonts w:cs="Times New Roman" w:hint="eastAsia"/>
                <w:kern w:val="0"/>
                <w:sz w:val="24"/>
                <w:szCs w:val="24"/>
                <w:lang w:eastAsia="zh-CN"/>
              </w:rPr>
              <w:t>察</w:t>
            </w:r>
            <w:r>
              <w:rPr>
                <w:rFonts w:cs="Times New Roman" w:hint="eastAsia"/>
                <w:kern w:val="0"/>
                <w:sz w:val="24"/>
                <w:szCs w:val="24"/>
              </w:rPr>
              <w:t>、环境影响评价、排污许可、环境执法和固体废物管理机构人员的技术培训和交流。</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r>
      <w:tr>
        <w:trPr>
          <w:trHeight w:val="1217"/>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kern w:val="0"/>
                <w:sz w:val="24"/>
                <w:szCs w:val="24"/>
              </w:rPr>
              <w:t>54</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贯彻落实《一般工业固体废物管理台账制定指南》，推动辖区内产生工业固体废物的单位建立工业固体废物管理台账，实现工业固体废物的可追溯、可查询。</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kern w:val="0"/>
                <w:sz w:val="24"/>
                <w:szCs w:val="24"/>
              </w:rPr>
              <w:t>55</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推进危险废物规范化环境管理，按照生态环境部《关于印发“十四五”全国危险废物规范化环境管理评估工作方案的通知》和重庆市相关要求，应用新的危险废物规范化环境管理评估指标体系，通过第三方专业机构开展工业危险废物产生单位和经营单位的抽查检查，抽查结果纳入街镇年度绩效考核指标体系，督促落实企业环境保护主体责任。</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5</w:t>
            </w:r>
            <w:r>
              <w:rPr>
                <w:rFonts w:cs="Times New Roman"/>
                <w:kern w:val="0"/>
                <w:sz w:val="24"/>
                <w:szCs w:val="24"/>
              </w:rPr>
              <w:t>6</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开展含油金属屑和铝灰等危险废物管理情况调研并整理企业问题清单，开展限期整改。打造重点行业危险废物规范化标杆企业，开展危险废物贮存设施整改和管理制度优化，提升行业危险废物管理能力。</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5</w:t>
            </w:r>
            <w:r>
              <w:rPr>
                <w:rFonts w:cs="Times New Roman"/>
                <w:kern w:val="0"/>
                <w:sz w:val="24"/>
                <w:szCs w:val="24"/>
              </w:rPr>
              <w:t>7</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深入开展危险废物精细化管理工作，将一、二类机动车维修企业、报废汽车单位、二级以上医疗机构、重点检验机构及危险废物集中收集贮存转运试点单位纳入精细化管理。</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区卫生健康委、区交通局</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5</w:t>
            </w:r>
            <w:r>
              <w:rPr>
                <w:rFonts w:cs="Times New Roman"/>
                <w:kern w:val="0"/>
                <w:sz w:val="24"/>
                <w:szCs w:val="24"/>
              </w:rPr>
              <w:t>8</w:t>
            </w:r>
          </w:p>
        </w:tc>
        <w:tc>
          <w:tcPr>
            <w:tcW w:w="1414" w:type="dxa"/>
            <w:vMerge w:val="restart"/>
            <w:vAlign w:val="center"/>
          </w:tcPr>
          <w:p>
            <w:pPr>
              <w:widowControl/>
              <w:spacing w:line="320" w:lineRule="exact"/>
              <w:ind w:firstLineChars="0" w:firstLine="0"/>
              <w:rPr>
                <w:rFonts w:cs="Times New Roman"/>
                <w:kern w:val="0"/>
                <w:sz w:val="24"/>
                <w:szCs w:val="24"/>
              </w:rPr>
            </w:pPr>
            <w:r>
              <w:rPr>
                <w:rFonts w:cs="Times New Roman"/>
                <w:kern w:val="0"/>
                <w:sz w:val="24"/>
                <w:szCs w:val="24"/>
              </w:rPr>
              <w:t>加强工业固体废物应急处置能力建设</w:t>
            </w: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完善工业固体废物污染事故应急处置专业化队伍和应急处置网络。</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区经济信息委、区应急管理局</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5</w:t>
            </w:r>
            <w:r>
              <w:rPr>
                <w:rFonts w:cs="Times New Roman"/>
                <w:kern w:val="0"/>
                <w:sz w:val="24"/>
                <w:szCs w:val="24"/>
              </w:rPr>
              <w:t>9</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提高工业固体废物污染控制应急处理技术和装备水平，配置专业化的工业固体废物环境监测装备，重点配置能够快速现场检测分析工业固体废物危害性质的监测仪器与装备。</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6</w:t>
            </w:r>
            <w:r>
              <w:rPr>
                <w:rFonts w:cs="Times New Roman"/>
                <w:kern w:val="0"/>
                <w:sz w:val="24"/>
                <w:szCs w:val="24"/>
              </w:rPr>
              <w:t>0</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加快推进工业固体废物应急管理，实现污染事故影响迁移的动态跟踪、危害评估和应急处置。</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区应急管理局</w:t>
            </w:r>
          </w:p>
        </w:tc>
      </w:tr>
      <w:tr>
        <w:trPr>
          <w:trHeight w:val="794"/>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6</w:t>
            </w:r>
            <w:r>
              <w:rPr>
                <w:rFonts w:cs="Times New Roman"/>
                <w:kern w:val="0"/>
                <w:sz w:val="24"/>
                <w:szCs w:val="24"/>
              </w:rPr>
              <w:t>1</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积极应用工业固体废物风险防控与利用处置装备，通过现有渠道积极支持相关活动。</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区应急管理局</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6</w:t>
            </w:r>
            <w:r>
              <w:rPr>
                <w:rFonts w:cs="Times New Roman"/>
                <w:kern w:val="0"/>
                <w:sz w:val="24"/>
                <w:szCs w:val="24"/>
              </w:rPr>
              <w:t>2</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开展多部门合作的工业固体废物突发环境事件的应急演练，完善现场处置指挥与协调制度以及信息报告和公开机制。</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区经济信息委、区应急管理局</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6</w:t>
            </w:r>
            <w:r>
              <w:rPr>
                <w:rFonts w:cs="Times New Roman"/>
                <w:kern w:val="0"/>
                <w:sz w:val="24"/>
                <w:szCs w:val="24"/>
              </w:rPr>
              <w:t>3</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将危险废物综合收集单位纳入工业固体废物突发环境事件应急处置社会化救援队伍。</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区应急管理局</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6</w:t>
            </w:r>
            <w:r>
              <w:rPr>
                <w:rFonts w:cs="Times New Roman"/>
                <w:kern w:val="0"/>
                <w:sz w:val="24"/>
                <w:szCs w:val="24"/>
              </w:rPr>
              <w:t>4</w:t>
            </w:r>
          </w:p>
        </w:tc>
        <w:tc>
          <w:tcPr>
            <w:tcW w:w="1414" w:type="dxa"/>
            <w:vMerge w:val="restart"/>
            <w:vAlign w:val="center"/>
          </w:tcPr>
          <w:p>
            <w:pPr>
              <w:widowControl/>
              <w:spacing w:line="320" w:lineRule="exact"/>
              <w:ind w:firstLineChars="0" w:firstLine="0"/>
              <w:rPr>
                <w:rFonts w:cs="Times New Roman"/>
                <w:kern w:val="0"/>
                <w:sz w:val="24"/>
                <w:szCs w:val="24"/>
              </w:rPr>
            </w:pPr>
            <w:r>
              <w:rPr>
                <w:rFonts w:cs="Times New Roman"/>
                <w:kern w:val="0"/>
                <w:sz w:val="24"/>
                <w:szCs w:val="24"/>
              </w:rPr>
              <w:t>加强工业固体废物环境执法能力建设</w:t>
            </w: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强化生态环境保护综合执法队伍能力建设，加强专业人才队伍建设，配齐配强人员力量，切实提升工业固体废物环境监管和风险防控能力。</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6</w:t>
            </w:r>
            <w:r>
              <w:rPr>
                <w:rFonts w:cs="Times New Roman"/>
                <w:kern w:val="0"/>
                <w:sz w:val="24"/>
                <w:szCs w:val="24"/>
              </w:rPr>
              <w:t>5</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加强工业固体废物管理信息共享与联动执法，定期对涉危险化学品、危险废物、港口码头、水源地、地灾点、水灾隐患开展环境安全排查整治专项行动，实行销号制度，严厉打击涉危险废物违法犯罪行为并加强预警监控。</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区经济信息委、区应急管理局、区公安局、区交通局</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6</w:t>
            </w:r>
            <w:r>
              <w:rPr>
                <w:rFonts w:cs="Times New Roman"/>
                <w:kern w:val="0"/>
                <w:sz w:val="24"/>
                <w:szCs w:val="24"/>
              </w:rPr>
              <w:t>6</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将工业固体废物日常环境监管纳入生态环境执法“双随机</w:t>
            </w:r>
            <w:r>
              <w:rPr>
                <w:rFonts w:cs="Times New Roman"/>
                <w:kern w:val="0"/>
                <w:sz w:val="24"/>
                <w:szCs w:val="24"/>
              </w:rPr>
              <w:t>、</w:t>
            </w:r>
            <w:r>
              <w:rPr>
                <w:rFonts w:cs="Times New Roman" w:hint="eastAsia"/>
                <w:kern w:val="0"/>
                <w:sz w:val="24"/>
                <w:szCs w:val="24"/>
              </w:rPr>
              <w:t>一公开”内容，构成违法行为的依法查处。</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6</w:t>
            </w:r>
            <w:r>
              <w:rPr>
                <w:rFonts w:cs="Times New Roman"/>
                <w:kern w:val="0"/>
                <w:sz w:val="24"/>
                <w:szCs w:val="24"/>
              </w:rPr>
              <w:t>7</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加强对工业固体废物申报造假、不执行危险废物转移联单制度、非法收集、贮存、利用、处置危险废物等违法行为的查处力度。</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区公安局</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6</w:t>
            </w:r>
            <w:r>
              <w:rPr>
                <w:rFonts w:cs="Times New Roman"/>
                <w:kern w:val="0"/>
                <w:sz w:val="24"/>
                <w:szCs w:val="24"/>
              </w:rPr>
              <w:t>8</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开展危险废物专项治理，2022年以巩固提升重点行业危险废物规范化管理为重点，持续开展打击危险废物环境违法犯罪专项行动，依法严肃查处违规堆存、随意倾倒以及非法填埋危险废物等环境违法行为。</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区经济信息委、区应急管理局、区公安局、区交通局</w:t>
            </w:r>
          </w:p>
        </w:tc>
      </w:tr>
      <w:tr>
        <w:trPr>
          <w:trHeight w:val="218"/>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6</w:t>
            </w:r>
            <w:r>
              <w:rPr>
                <w:rFonts w:cs="Times New Roman"/>
                <w:kern w:val="0"/>
                <w:sz w:val="24"/>
                <w:szCs w:val="24"/>
              </w:rPr>
              <w:t>9</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强化行政执法与刑事司法、检察公益诉讼的协调联动，实施联合惩戒，发现、处置、侦破固体废物环境污染刑事立案率实现100%，涉固体废物信访、投诉、举报案件办结率100%。</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区人民法院、区检察院</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7</w:t>
            </w:r>
            <w:r>
              <w:rPr>
                <w:rFonts w:cs="Times New Roman"/>
                <w:kern w:val="0"/>
                <w:sz w:val="24"/>
                <w:szCs w:val="24"/>
              </w:rPr>
              <w:t>0</w:t>
            </w:r>
          </w:p>
        </w:tc>
        <w:tc>
          <w:tcPr>
            <w:tcW w:w="1414" w:type="dxa"/>
            <w:vMerge w:val="restart"/>
            <w:vAlign w:val="center"/>
          </w:tcPr>
          <w:p>
            <w:pPr>
              <w:widowControl/>
              <w:spacing w:line="320" w:lineRule="exact"/>
              <w:ind w:firstLineChars="0" w:firstLine="0"/>
              <w:rPr>
                <w:rFonts w:cs="Times New Roman"/>
                <w:kern w:val="0"/>
                <w:sz w:val="24"/>
                <w:szCs w:val="24"/>
              </w:rPr>
            </w:pPr>
            <w:r>
              <w:rPr>
                <w:rFonts w:cs="Times New Roman"/>
                <w:kern w:val="0"/>
                <w:sz w:val="24"/>
                <w:szCs w:val="24"/>
              </w:rPr>
              <w:t>加强企业环境风险评估和预警</w:t>
            </w:r>
            <w:r>
              <w:rPr>
                <w:rFonts w:cs="Times New Roman" w:hint="eastAsia"/>
                <w:kern w:val="0"/>
                <w:sz w:val="24"/>
                <w:szCs w:val="24"/>
              </w:rPr>
              <w:t>建设</w:t>
            </w: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落实企业法人代表环境安全问责制，提高应对突发环境事件责任和意识。</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rPr>
          <w:trHeight w:val="729"/>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7</w:t>
            </w:r>
            <w:r>
              <w:rPr>
                <w:rFonts w:cs="Times New Roman"/>
                <w:kern w:val="0"/>
                <w:sz w:val="24"/>
                <w:szCs w:val="24"/>
              </w:rPr>
              <w:t>1</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落实危险废物重点产生单位和经营单位突发环境事件风险评估制度，推进突发环境事件风险分类分级管理。</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7</w:t>
            </w:r>
            <w:r>
              <w:rPr>
                <w:rFonts w:cs="Times New Roman"/>
                <w:kern w:val="0"/>
                <w:sz w:val="24"/>
                <w:szCs w:val="24"/>
              </w:rPr>
              <w:t>2</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将工业固体废物纳入区域环境风险防范预警体系，强化生态环境、经济信息、交通、公安等多部门的监控预警、信息通报、处置措施、应急资源等衔接与联动。</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区经济信息委、区应急管理局、区公安局、区交通局</w:t>
            </w:r>
          </w:p>
        </w:tc>
      </w:tr>
      <w:tr>
        <w:trPr>
          <w:trHeight w:val="818"/>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7</w:t>
            </w:r>
            <w:r>
              <w:rPr>
                <w:rFonts w:cs="Times New Roman"/>
                <w:kern w:val="0"/>
                <w:sz w:val="24"/>
                <w:szCs w:val="24"/>
              </w:rPr>
              <w:t>3</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结合防范化解生态环境领域重大风险攻坚工作，综合水文、气象、舆情等因素，加强环境风险评估分析与研判。</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区信访办</w:t>
            </w:r>
          </w:p>
        </w:tc>
      </w:tr>
      <w:tr>
        <w:trPr>
          <w:trHeight w:val="844"/>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7</w:t>
            </w:r>
            <w:r>
              <w:rPr>
                <w:rFonts w:cs="Times New Roman"/>
                <w:kern w:val="0"/>
                <w:sz w:val="24"/>
                <w:szCs w:val="24"/>
              </w:rPr>
              <w:t>4</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推动华能珞璜电厂罗家湾、核桃湾2个渣场（尾矿库）的综合整治工作，降低环境污染风险。</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江津区规划和自然资源局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区生态环境局、区应急管理局</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7</w:t>
            </w:r>
            <w:r>
              <w:rPr>
                <w:rFonts w:cs="Times New Roman"/>
                <w:kern w:val="0"/>
                <w:sz w:val="24"/>
                <w:szCs w:val="24"/>
              </w:rPr>
              <w:t>5</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推动工业固体废物产生企业和危险废物经营单位落实污染物排放控制措施和环境管理要求，按规定开展自行监测，定期上报执行报告和开展信息公开，自觉接受监督检查，实现工业固体废物全面达标排放。</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rPr>
          <w:trHeight w:val="831"/>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7</w:t>
            </w:r>
            <w:r>
              <w:rPr>
                <w:rFonts w:cs="Times New Roman"/>
                <w:kern w:val="0"/>
                <w:sz w:val="24"/>
                <w:szCs w:val="24"/>
              </w:rPr>
              <w:t>6</w:t>
            </w:r>
          </w:p>
        </w:tc>
        <w:tc>
          <w:tcPr>
            <w:tcW w:w="1414" w:type="dxa"/>
            <w:vAlign w:val="center"/>
          </w:tcPr>
          <w:p>
            <w:pPr>
              <w:widowControl/>
              <w:spacing w:line="320" w:lineRule="exact"/>
              <w:ind w:firstLineChars="0" w:firstLine="0"/>
              <w:rPr>
                <w:rFonts w:cs="Times New Roman"/>
                <w:kern w:val="0"/>
                <w:sz w:val="24"/>
                <w:szCs w:val="24"/>
              </w:rPr>
            </w:p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推动落实环境污染责任保险，从危险废物经营单位逐步扩展到固体废物经营单位和工业固体废物重点产废单位。</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江津银保监分局</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7</w:t>
            </w:r>
            <w:r>
              <w:rPr>
                <w:rFonts w:cs="Times New Roman"/>
                <w:kern w:val="0"/>
                <w:sz w:val="24"/>
                <w:szCs w:val="24"/>
              </w:rPr>
              <w:t>7</w:t>
            </w:r>
          </w:p>
        </w:tc>
        <w:tc>
          <w:tcPr>
            <w:tcW w:w="1414" w:type="dxa"/>
            <w:vMerge w:val="restart"/>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加强</w:t>
            </w:r>
            <w:r>
              <w:rPr>
                <w:rFonts w:cs="Times New Roman"/>
                <w:kern w:val="0"/>
                <w:sz w:val="24"/>
                <w:szCs w:val="24"/>
              </w:rPr>
              <w:t>企业环境信用</w:t>
            </w:r>
            <w:r>
              <w:rPr>
                <w:rFonts w:cs="Times New Roman" w:hint="eastAsia"/>
                <w:kern w:val="0"/>
                <w:sz w:val="24"/>
                <w:szCs w:val="24"/>
              </w:rPr>
              <w:t>评价建设</w:t>
            </w: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严格落实《重庆市企业环境信用评价办法》，全面实施企业环境信用评价制度和动态调整机制，依法依规向社会公开工业固体废物产生企业环境信用信息。</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7</w:t>
            </w:r>
            <w:r>
              <w:rPr>
                <w:rFonts w:cs="Times New Roman"/>
                <w:kern w:val="0"/>
                <w:sz w:val="24"/>
                <w:szCs w:val="24"/>
              </w:rPr>
              <w:t>8</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健全企业环境信用信息共享，强化信用评价结果运用，推行企业环境信用与政府采购、财税补贴、评先创优、水电价、信贷等挂钩机制。</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rPr>
          <w:trHeight w:val="749"/>
        </w:trP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7</w:t>
            </w:r>
            <w:r>
              <w:rPr>
                <w:rFonts w:cs="Times New Roman"/>
                <w:kern w:val="0"/>
                <w:sz w:val="24"/>
                <w:szCs w:val="24"/>
              </w:rPr>
              <w:t>9</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落实排污企业“红黑名单”制度、环境信用积分制度、失信惩戒机制。</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8</w:t>
            </w:r>
            <w:r>
              <w:rPr>
                <w:rFonts w:cs="Times New Roman"/>
                <w:kern w:val="0"/>
                <w:sz w:val="24"/>
                <w:szCs w:val="24"/>
              </w:rPr>
              <w:t>0</w:t>
            </w:r>
          </w:p>
        </w:tc>
        <w:tc>
          <w:tcPr>
            <w:tcW w:w="1414" w:type="dxa"/>
            <w:vMerge/>
            <w:vAlign w:val="center"/>
          </w:tcP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落实国家上市公司环境信息披露相关要求及配套激励约束机制，落实环境影响评价单位、社会化环境监测单位、危险废物经营单位等环保服务企业的信用评价制度。到2025年，纳入企业环境信用评价范围的工业固体废物相关企业数量实现全覆盖。</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8</w:t>
            </w:r>
            <w:r>
              <w:rPr>
                <w:rFonts w:cs="Times New Roman"/>
                <w:kern w:val="0"/>
                <w:sz w:val="24"/>
                <w:szCs w:val="24"/>
              </w:rPr>
              <w:t>1</w:t>
            </w:r>
          </w:p>
        </w:tc>
        <w:tc>
          <w:tcPr>
            <w:tcW w:w="1414" w:type="dxa"/>
            <w:vAlign w:val="center"/>
          </w:tcPr>
          <w:p>
            <w:pPr>
              <w:widowControl/>
              <w:spacing w:line="320" w:lineRule="exact"/>
              <w:ind w:firstLineChars="0" w:firstLine="0"/>
              <w:rPr>
                <w:rFonts w:cs="Times New Roman"/>
                <w:kern w:val="0"/>
                <w:sz w:val="24"/>
                <w:szCs w:val="24"/>
              </w:rPr>
            </w:pPr>
            <w:r>
              <w:rPr>
                <w:rFonts w:cs="Times New Roman"/>
                <w:kern w:val="0"/>
                <w:sz w:val="24"/>
                <w:szCs w:val="24"/>
              </w:rPr>
              <w:t>推动工业固体废物信息化建设</w:t>
            </w: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深化应用重庆市固体废物管理信息系统，自2022年起，推进年产生量100吨及以上的一般工业固体废物产生企业建立工业固体废物管理电子月台账，有序推进工业固体废物产生、收集、贮存、转移、利用、处置等全过程监控和信息化追溯。到2025年，实现固体废物管理信息系统企事业单位覆盖率达到95%。</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各相关企业</w:t>
            </w:r>
          </w:p>
        </w:tc>
      </w:tr>
      <w:tr>
        <w:tc>
          <w:tcPr>
            <w:tcW w:w="679" w:type="dxa"/>
            <w:vAlign w:val="center"/>
          </w:tcPr>
          <w:p>
            <w:pPr>
              <w:widowControl/>
              <w:spacing w:line="320" w:lineRule="exact"/>
              <w:ind w:firstLineChars="0" w:firstLine="0"/>
              <w:jc w:val="center"/>
              <w:rPr>
                <w:rFonts w:cs="Times New Roman"/>
                <w:kern w:val="0"/>
                <w:sz w:val="24"/>
                <w:szCs w:val="24"/>
              </w:rPr>
            </w:pPr>
            <w:r>
              <w:rPr>
                <w:rFonts w:cs="Times New Roman" w:hint="eastAsia"/>
                <w:kern w:val="0"/>
                <w:sz w:val="24"/>
                <w:szCs w:val="24"/>
              </w:rPr>
              <w:t>8</w:t>
            </w:r>
            <w:r>
              <w:rPr>
                <w:rFonts w:cs="Times New Roman"/>
                <w:kern w:val="0"/>
                <w:sz w:val="24"/>
                <w:szCs w:val="24"/>
              </w:rPr>
              <w:t>2</w:t>
            </w:r>
          </w:p>
        </w:tc>
        <w:tc>
          <w:tcPr>
            <w:tcW w:w="1414"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加强</w:t>
            </w:r>
            <w:r>
              <w:rPr>
                <w:rFonts w:cs="Times New Roman"/>
                <w:kern w:val="0"/>
                <w:sz w:val="24"/>
                <w:szCs w:val="24"/>
              </w:rPr>
              <w:t>生态环境行业专家智库</w:t>
            </w:r>
            <w:r>
              <w:rPr>
                <w:rFonts w:cs="Times New Roman" w:hint="eastAsia"/>
                <w:kern w:val="0"/>
                <w:sz w:val="24"/>
                <w:szCs w:val="24"/>
              </w:rPr>
              <w:t>建设</w:t>
            </w:r>
          </w:p>
        </w:tc>
        <w:tc>
          <w:tcPr>
            <w:tcW w:w="7229"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依托重庆市固体废物专家库、生态环境技术评估专家库、排污许可专家库、环境应急专家库等各类专家库和智库，对固体废物项目准入、清洁生产、危险废物规范化、危险废物经营许可证核查、风险评估及应急预案、固体废物排污许可等方面进行专家论证。</w:t>
            </w:r>
          </w:p>
        </w:tc>
        <w:tc>
          <w:tcPr>
            <w:tcW w:w="1701" w:type="dxa"/>
            <w:vAlign w:val="center"/>
          </w:tcPr>
          <w:p>
            <w:pPr>
              <w:widowControl/>
              <w:spacing w:line="320" w:lineRule="exact"/>
              <w:ind w:firstLineChars="0" w:firstLine="0"/>
              <w:rPr>
                <w:rFonts w:cs="Times New Roman"/>
                <w:kern w:val="0"/>
                <w:sz w:val="24"/>
                <w:szCs w:val="24"/>
              </w:rPr>
            </w:pPr>
            <w:r>
              <w:rPr>
                <w:rFonts w:cs="Times New Roman" w:hint="eastAsia"/>
                <w:kern w:val="0"/>
                <w:sz w:val="24"/>
                <w:szCs w:val="24"/>
              </w:rPr>
              <w:t>区生态环境局</w:t>
            </w:r>
          </w:p>
        </w:tc>
        <w:tc>
          <w:tcPr>
            <w:tcW w:w="1948" w:type="dxa"/>
            <w:vAlign w:val="center"/>
          </w:tcPr>
          <w:p>
            <w:pPr>
              <w:widowControl/>
              <w:spacing w:line="320" w:lineRule="exact"/>
              <w:ind w:firstLineChars="0" w:firstLine="0"/>
              <w:rPr>
                <w:rFonts w:cs="Times New Roman"/>
                <w:kern w:val="0"/>
                <w:sz w:val="24"/>
                <w:szCs w:val="24"/>
              </w:rPr>
            </w:pPr>
          </w:p>
        </w:tc>
      </w:tr>
    </w:tbl>
    <w:p>
      <w:pPr>
        <w:ind w:firstLineChars="0" w:firstLine="0"/>
      </w:pPr>
    </w:p>
    <w:sectPr>
      <w:headerReference w:type="default" r:id="rId16"/>
      <w:pgSz w:w="16838" w:h="11906" w:orient="landscape"/>
      <w:pgMar w:top="1588" w:right="2098" w:bottom="1474" w:left="1985" w:header="851" w:footer="992" w:gutter="0"/>
      <w:docGrid w:type="lines" w:linePitch="408" w:charSpace="0"/>
    </w:sectPr>
  </w:body>
</w:document>
</file>

<file path=word/fontTable.xml><?xml version="1.0" encoding="utf-8"?>
<w:fonts xmlns:w="http://schemas.openxmlformats.org/wordprocessingml/2006/main" xmlns:r="http://schemas.openxmlformats.org/officeDocument/2006/relationships">
  <w:font w:name="FZHei-B01">
    <w:altName w:val="Microsoft YaHei UI"/>
    <w:panose1 w:val="02000000000000000000"/>
    <w:charset w:val="86"/>
    <w:family w:val="script"/>
    <w:pitch w:val="variable"/>
    <w:sig w:usb0="00000001" w:usb1="08000000" w:usb2="00000000" w:usb3="00000000" w:csb0="00040000" w:csb1="00000000"/>
  </w:font>
  <w:font w:name="FZXiaoBiaoSong-B05">
    <w:altName w:val="Microsoft YaHei UI"/>
    <w:panose1 w:val="02000000000000000000"/>
    <w:charset w:val="86"/>
    <w:family w:val="script"/>
    <w:pitch w:val="variable"/>
    <w:sig w:usb0="00000001" w:usb1="08000000" w:usb2="00000000" w:usb3="00000000" w:csb0="00040000" w:csb1="00000000"/>
  </w:font>
  <w:font w:name="FZFangSong-Z02">
    <w:altName w:val="Microsoft YaHei UI"/>
    <w:panose1 w:val="02000000000000000000"/>
    <w:charset w:val="86"/>
    <w:family w:val="script"/>
    <w:pitch w:val="variable"/>
    <w:sig w:usb0="00000001" w:usb1="08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variable"/>
    <w:sig w:usb0="00000000" w:usb1="00000000" w:usb2="00000000" w:usb3="00000000" w:csb0="00000000" w:csb1="00000000"/>
  </w:font>
  <w:font w:name="FangSong">
    <w:altName w:val="方正仿宋_GBK"/>
    <w:panose1 w:val="02010609060101010101"/>
    <w:charset w:val="86"/>
    <w:family w:val="modern"/>
    <w:pitch w:val="variable"/>
    <w:sig w:usb0="00000000" w:usb1="00000000" w:usb2="00000016" w:usb3="00000000" w:csb0="00040001" w:csb1="00000000"/>
  </w:font>
  <w:font w:name="FZKai-Z03">
    <w:altName w:val="Microsoft YaHei UI"/>
    <w:panose1 w:val="02000000000000000000"/>
    <w:charset w:val="86"/>
    <w:family w:val="script"/>
    <w:pitch w:val="variable"/>
    <w:sig w:usb0="00000001" w:usb1="08000000" w:usb2="00000000" w:usb3="00000000" w:csb0="00040000" w:csb1="00000000"/>
  </w:font>
  <w:font w:name="Tahoma">
    <w:altName w:val="DejaVu Sans"/>
    <w:panose1 w:val="020B0604030504040204"/>
    <w:charset w:val="00"/>
    <w:family w:val="swiss"/>
    <w:pitch w:val="variable"/>
    <w:sig w:usb0="00000000" w:usb1="00000000" w:usb2="00000029" w:usb3="00000000" w:csb0="200101FF" w:csb1="20280000"/>
  </w:font>
  <w:font w:name="FangSong_GB2312">
    <w:altName w:val="方正仿宋_GBK"/>
    <w:panose1 w:val="02010609030101010101"/>
    <w:charset w:val="86"/>
    <w:family w:val="modern"/>
    <w:pitch w:val="variable"/>
    <w:sig w:usb0="00000000" w:usb1="00000000" w:usb2="00000000" w:usb3="00000000" w:csb0="00040000" w:csb1="00000000"/>
  </w:font>
  <w:font w:name="Arial">
    <w:altName w:val="DejaVu Sans"/>
    <w:panose1 w:val="020B0604020202020204"/>
    <w:charset w:val="01"/>
    <w:family w:val="swiss"/>
    <w:pitch w:val="variable"/>
    <w:sig w:usb0="E0002AFF" w:usb1="C0007843" w:usb2="00000009" w:usb3="00000000" w:csb0="400001FF" w:csb1="FFFF0000"/>
  </w:font>
  <w:font w:name="KaiTi">
    <w:altName w:val="方正楷体_GBK"/>
    <w:panose1 w:val="02010609060101010101"/>
    <w:charset w:val="86"/>
    <w:family w:val="modern"/>
    <w:pitch w:val="variable"/>
    <w:sig w:usb0="00000000" w:usb1="00000000" w:usb2="00000016" w:usb3="00000000" w:csb0="00040001" w:csb1="00000000"/>
  </w:font>
  <w:font w:name="FZKai-Z03S">
    <w:altName w:val="Microsoft YaHei UI"/>
    <w:panose1 w:val="03000509000000000000"/>
    <w:charset w:val="86"/>
    <w:family w:val="script"/>
    <w:pitch w:val="variable"/>
    <w:sig w:usb0="00000000" w:usb1="00000000" w:usb2="00000000" w:usb3="00000000" w:csb0="00040000" w:csb1="00000000"/>
  </w:font>
  <w:font w:name="Calibri">
    <w:altName w:val="DejaVu Sans"/>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0"/>
      <w:tabs>
        <w:tab w:val="center" w:pos="4153"/>
        <w:tab w:val="right" w:pos="8306"/>
      </w:tabs>
      <w:spacing w:before="120" w:after="120"/>
      <w:jc w:val="center"/>
    </w:pPr>
  </w:p>
  <w:p>
    <w:pPr>
      <w:pStyle w:val="20"/>
      <w:tabs>
        <w:tab w:val="center" w:pos="4153"/>
        <w:tab w:val="right" w:pos="8306"/>
      </w:tabs>
      <w:spacing w:before="120" w:after="12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0"/>
      <w:tabs>
        <w:tab w:val="center" w:pos="4153"/>
        <w:tab w:val="right" w:pos="8306"/>
      </w:tabs>
      <w:ind w:firstLineChars="0" w:firstLine="0"/>
      <w:rPr>
        <w:sz w:val="21"/>
        <w:szCs w:val="21"/>
      </w:rPr>
    </w:pPr>
    <w:r>
      <w:rPr>
        <w:sz w:val="21"/>
        <w:szCs w:val="21"/>
      </w:rPr>
      <w:t xml:space="preserve">     </w: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0"/>
      <w:tabs>
        <w:tab w:val="center" w:pos="4153"/>
        <w:tab w:val="right" w:pos="8306"/>
      </w:tabs>
      <w:spacing w:before="120" w:after="120"/>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0"/>
      <w:tabs>
        <w:tab w:val="center" w:pos="4153"/>
        <w:tab w:val="right" w:pos="8306"/>
      </w:tabs>
      <w:jc w:val="right"/>
      <w:rPr>
        <w:sz w:val="28"/>
        <w:szCs w:val="28"/>
      </w:rPr>
    </w:pPr>
    <w:r>
      <w:rPr>
        <w:rFonts w:ascii="宋体" w:eastAsia="宋体" w:cs="宋体" w:hint="eastAsia"/>
        <w:sz w:val="28"/>
        <w:szCs w:val="28"/>
      </w:rPr>
      <w:t>—</w:t>
    </w:r>
    <w:r>
      <w:rPr>
        <w:rFonts w:ascii="宋体" w:eastAsia="宋体" w:cs="宋体" w:hint="eastAsia"/>
        <w:sz w:val="28"/>
        <w:szCs w:val="28"/>
      </w:rPr>
      <w:fldChar w:fldCharType="begin"/>
    </w:r>
    <w:r>
      <w:rPr>
        <w:rFonts w:ascii="宋体" w:eastAsia="宋体" w:cs="宋体" w:hint="eastAsia"/>
        <w:sz w:val="28"/>
        <w:szCs w:val="28"/>
      </w:rPr>
      <w:instrText>PAGE   \* MERGEFORMAT</w:instrText>
    </w:r>
    <w:r>
      <w:rPr>
        <w:rFonts w:ascii="宋体" w:eastAsia="宋体" w:cs="宋体" w:hint="eastAsia"/>
        <w:sz w:val="28"/>
        <w:szCs w:val="28"/>
      </w:rPr>
      <w:fldChar w:fldCharType="separate"/>
    </w:r>
    <w:r>
      <w:rPr>
        <w:rFonts w:ascii="宋体" w:eastAsia="宋体" w:cs="宋体"/>
        <w:sz w:val="28"/>
        <w:szCs w:val="28"/>
        <w:lang w:val="zh-CN"/>
      </w:rPr>
      <w:t>I</w:t>
    </w:r>
    <w:r>
      <w:rPr>
        <w:rFonts w:ascii="宋体" w:eastAsia="宋体" w:cs="宋体" w:hint="eastAsia"/>
        <w:sz w:val="28"/>
        <w:szCs w:val="28"/>
      </w:rPr>
      <w:fldChar w:fldCharType="end"/>
    </w:r>
    <w:r>
      <w:rPr>
        <w:rFonts w:ascii="宋体" w:eastAsia="宋体" w:cs="宋体" w:hint="eastAsia"/>
        <w:sz w:val="28"/>
        <w:szCs w:val="28"/>
      </w:rPr>
      <w:t>—</w: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0"/>
      <w:tabs>
        <w:tab w:val="center" w:pos="4153"/>
        <w:tab w:val="right" w:pos="8306"/>
      </w:tabs>
      <w:ind w:firstLineChars="0" w:firstLine="0"/>
      <w:rPr>
        <w:sz w:val="21"/>
        <w:szCs w:val="21"/>
      </w:rPr>
    </w:pPr>
    <w:r>
      <w:rPr>
        <w:rFonts w:ascii="宋体" w:eastAsia="宋体" w:cs="宋体" w:hint="eastAsia"/>
        <w:sz w:val="28"/>
        <w:szCs w:val="28"/>
      </w:rPr>
      <w:t>—</w:t>
    </w:r>
    <w:r>
      <w:rPr>
        <w:rFonts w:ascii="宋体" w:eastAsia="宋体" w:cs="宋体" w:hint="eastAsia"/>
        <w:sz w:val="28"/>
        <w:szCs w:val="28"/>
      </w:rPr>
      <w:fldChar w:fldCharType="begin"/>
    </w:r>
    <w:r>
      <w:rPr>
        <w:rFonts w:ascii="宋体" w:eastAsia="宋体" w:cs="宋体" w:hint="eastAsia"/>
        <w:sz w:val="28"/>
        <w:szCs w:val="28"/>
      </w:rPr>
      <w:instrText>PAGE   \* MERGEFORMAT</w:instrText>
    </w:r>
    <w:r>
      <w:rPr>
        <w:rFonts w:ascii="宋体" w:eastAsia="宋体" w:cs="宋体" w:hint="eastAsia"/>
        <w:sz w:val="28"/>
        <w:szCs w:val="28"/>
      </w:rPr>
      <w:fldChar w:fldCharType="separate"/>
    </w:r>
    <w:r>
      <w:rPr>
        <w:rFonts w:ascii="宋体" w:eastAsia="宋体" w:cs="宋体"/>
        <w:sz w:val="28"/>
        <w:szCs w:val="28"/>
        <w:lang w:val="zh-CN"/>
      </w:rPr>
      <w:t>40</w:t>
    </w:r>
    <w:r>
      <w:rPr>
        <w:rFonts w:ascii="宋体" w:eastAsia="宋体" w:cs="宋体" w:hint="eastAsia"/>
        <w:sz w:val="28"/>
        <w:szCs w:val="28"/>
      </w:rPr>
      <w:fldChar w:fldCharType="end"/>
    </w:r>
    <w:r>
      <w:rPr>
        <w:rFonts w:ascii="宋体" w:eastAsia="宋体" w:cs="宋体" w:hint="eastAsia"/>
        <w:sz w:val="28"/>
        <w:szCs w:val="28"/>
      </w:rPr>
      <w:t>—</w: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0"/>
      <w:tabs>
        <w:tab w:val="center" w:pos="4153"/>
        <w:tab w:val="right" w:pos="8306"/>
      </w:tabs>
      <w:spacing w:before="120" w:after="120"/>
      <w:jc w:val="center"/>
    </w:pPr>
    <w:r>
      <w:fldChar w:fldCharType="begin"/>
    </w:r>
    <w:r>
      <w:instrText>PAGE   \* MERGEFORMAT</w:instrText>
    </w:r>
    <w:r>
      <w:fldChar w:fldCharType="separate"/>
    </w:r>
    <w:r>
      <w:rPr>
        <w:lang w:val="zh-CN"/>
      </w:rPr>
      <w:t>2</w:t>
    </w:r>
    <w:r>
      <w:fldChar w:fldCharType="end"/>
    </w:r>
  </w:p>
  <w:p>
    <w:pPr>
      <w:pStyle w:val="20"/>
      <w:tabs>
        <w:tab w:val="center" w:pos="4153"/>
        <w:tab w:val="right" w:pos="8306"/>
      </w:tabs>
      <w:spacing w:before="120" w:after="120"/>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0"/>
      <w:tabs>
        <w:tab w:val="center" w:pos="4153"/>
        <w:tab w:val="right" w:pos="8306"/>
      </w:tabs>
      <w:jc w:val="right"/>
      <w:rPr>
        <w:sz w:val="28"/>
        <w:szCs w:val="28"/>
      </w:rPr>
    </w:pPr>
    <w:r>
      <w:rPr>
        <w:rFonts w:ascii="宋体" w:eastAsia="宋体" w:cs="宋体" w:hint="eastAsia"/>
        <w:sz w:val="28"/>
        <w:szCs w:val="28"/>
      </w:rPr>
      <w:t>—</w:t>
    </w:r>
    <w:r>
      <w:rPr>
        <w:rFonts w:ascii="宋体" w:eastAsia="宋体" w:cs="宋体" w:hint="eastAsia"/>
        <w:sz w:val="28"/>
        <w:szCs w:val="28"/>
      </w:rPr>
      <w:fldChar w:fldCharType="begin"/>
    </w:r>
    <w:r>
      <w:rPr>
        <w:rFonts w:ascii="宋体" w:eastAsia="宋体" w:cs="宋体" w:hint="eastAsia"/>
        <w:sz w:val="28"/>
        <w:szCs w:val="28"/>
      </w:rPr>
      <w:instrText>PAGE   \* MERGEFORMAT</w:instrText>
    </w:r>
    <w:r>
      <w:rPr>
        <w:rFonts w:ascii="宋体" w:eastAsia="宋体" w:cs="宋体" w:hint="eastAsia"/>
        <w:sz w:val="28"/>
        <w:szCs w:val="28"/>
      </w:rPr>
      <w:fldChar w:fldCharType="separate"/>
    </w:r>
    <w:r>
      <w:rPr>
        <w:rFonts w:ascii="宋体" w:eastAsia="宋体" w:cs="宋体"/>
        <w:sz w:val="28"/>
        <w:szCs w:val="28"/>
        <w:lang w:val="zh-CN"/>
      </w:rPr>
      <w:t>41</w:t>
    </w:r>
    <w:r>
      <w:rPr>
        <w:rFonts w:ascii="宋体" w:eastAsia="宋体" w:cs="宋体" w:hint="eastAsia"/>
        <w:sz w:val="28"/>
        <w:szCs w:val="28"/>
      </w:rPr>
      <w:fldChar w:fldCharType="end"/>
    </w:r>
    <w:r>
      <w:rPr>
        <w:rFonts w:ascii="宋体" w:eastAsia="宋体" w:cs="宋体" w:hint="eastAsia"/>
        <w:sz w:val="28"/>
        <w:szCs w:val="28"/>
      </w:rPr>
      <w:t>—</w:t>
    </w:r>
  </w:p>
</w:ftr>
</file>

<file path=word/footnotes.xml><?xml version="1.0" encoding="utf-8"?>
<w:footnotes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http://schemas.openxmlformats.org/drawingml/2006/wordprocessingDrawing" xmlns:pic="http://schemas.openxmlformats.org/drawingml/2006/picture">
  <w:footnote w:type="separator" w:id="0">
    <w:p>
      <w:r>
        <w:separator/>
      </w:r>
    </w:p>
  </w:footnote>
  <w:footnote w:type="continuationSeparator" w:id="1">
    <w:p>
      <w:r>
        <w:continuationSeparator/>
      </w:r>
    </w:p>
  </w:footnote>
  <w:footnote w:id="2">
    <w:p>
      <w:pPr>
        <w:pStyle w:val="23"/>
        <w:spacing w:line="240" w:lineRule="exact"/>
        <w:ind w:firstLineChars="0" w:firstLine="0"/>
        <w:rPr>
          <w:szCs w:val="21"/>
        </w:rPr>
      </w:pPr>
      <w:r>
        <w:rPr>
          <w:shd w:val="clear" w:color="auto" w:fill="FFFFFF"/>
          <w:vertAlign w:val="superscript"/>
        </w:rPr>
        <w:footnoteRef/>
      </w:r>
      <w:r>
        <w:rPr>
          <w:rFonts w:hint="eastAsia"/>
          <w:szCs w:val="21"/>
          <w:shd w:val="clear" w:color="auto" w:fill="FFFFFF"/>
        </w:rPr>
        <w:t>固体废物：是指在生产、生活和其他活动中产生的丧失原有利用价值或者虽未丧失利用价值但被抛弃或者放弃的固态、半固态和置于容器中的气态的物品、物质。经无害化加工处理，并且符合强制性国家产品质量标准，不会危害公众健康和生态安全，或者根据固体废物鉴别标准和鉴别程序认定为不属于固体废物的除外。</w:t>
      </w:r>
    </w:p>
  </w:footnote>
  <w:footnote w:id="3">
    <w:p>
      <w:pPr>
        <w:spacing w:line="240" w:lineRule="exact"/>
        <w:ind w:firstLineChars="0" w:firstLine="0"/>
        <w:rPr>
          <w:sz w:val="18"/>
        </w:rPr>
      </w:pPr>
      <w:r>
        <w:rPr>
          <w:sz w:val="18"/>
          <w:szCs w:val="21"/>
          <w:shd w:val="clear" w:color="auto" w:fill="FFFFFF"/>
          <w:vertAlign w:val="superscript"/>
        </w:rPr>
        <w:footnoteRef/>
      </w:r>
      <w:r>
        <w:rPr>
          <w:rFonts w:hint="eastAsia"/>
          <w:sz w:val="18"/>
          <w:szCs w:val="21"/>
          <w:shd w:val="clear" w:color="auto" w:fill="FFFFFF"/>
        </w:rPr>
        <w:t>工业固体废物：是指在工业生产活动中产生的丧失原有利用价值或者虽未丧失利用价值但被抛弃或者放弃的固态、半固态和置于容器中的气态的物品、物质以及法律、行政法规规定纳入固体废物管理的物品、物质。按照管理要求来分，工业固体废物（简称工业固废）可分为一般工业固体废物和工业危险废物两类。</w:t>
      </w:r>
    </w:p>
  </w:footnote>
  <w:footnote w:id="4">
    <w:p>
      <w:pPr>
        <w:spacing w:line="240" w:lineRule="exact"/>
        <w:ind w:firstLineChars="0" w:firstLine="0"/>
        <w:rPr>
          <w:sz w:val="18"/>
          <w:shd w:val="clear" w:color="auto" w:fill="FFFFFF"/>
        </w:rPr>
      </w:pPr>
      <w:r>
        <w:rPr>
          <w:sz w:val="18"/>
          <w:szCs w:val="21"/>
          <w:shd w:val="clear" w:color="auto" w:fill="FFFFFF"/>
          <w:vertAlign w:val="superscript"/>
        </w:rPr>
        <w:footnoteRef/>
      </w:r>
      <w:r>
        <w:rPr>
          <w:rFonts w:hint="eastAsia"/>
          <w:sz w:val="18"/>
          <w:szCs w:val="21"/>
          <w:shd w:val="clear" w:color="auto" w:fill="FFFFFF"/>
        </w:rPr>
        <w:t>危险废物：是指列入国家危险废物名录或者根据国家规定的危险废物鉴别标准和鉴别方法认定的具有危险特性的固体废物。</w:t>
      </w:r>
    </w:p>
  </w:footnote>
  <w:footnote w:id="5">
    <w:p>
      <w:pPr>
        <w:spacing w:line="240" w:lineRule="exact"/>
        <w:ind w:firstLineChars="0" w:firstLine="0"/>
        <w:rPr>
          <w:sz w:val="18"/>
          <w:shd w:val="clear" w:color="auto" w:fill="FFFFFF"/>
        </w:rPr>
      </w:pPr>
      <w:r>
        <w:rPr>
          <w:sz w:val="18"/>
          <w:szCs w:val="21"/>
          <w:shd w:val="clear" w:color="auto" w:fill="FFFFFF"/>
          <w:vertAlign w:val="superscript"/>
        </w:rPr>
        <w:footnoteRef/>
      </w:r>
      <w:r>
        <w:rPr>
          <w:rFonts w:hint="eastAsia"/>
          <w:sz w:val="18"/>
          <w:szCs w:val="21"/>
          <w:shd w:val="clear" w:color="auto" w:fill="FFFFFF"/>
        </w:rPr>
        <w:t>无废城市：</w:t>
      </w:r>
      <w:r>
        <w:rPr>
          <w:sz w:val="18"/>
          <w:szCs w:val="21"/>
          <w:shd w:val="clear" w:color="auto" w:fill="FFFFFF"/>
        </w:rPr>
        <w:t>是</w:t>
      </w:r>
      <w:r>
        <w:rPr>
          <w:rFonts w:hint="eastAsia"/>
          <w:sz w:val="18"/>
          <w:szCs w:val="21"/>
          <w:shd w:val="clear" w:color="auto" w:fill="FFFFFF"/>
        </w:rPr>
        <w:t>指以</w:t>
      </w:r>
      <w:r>
        <w:rPr>
          <w:sz w:val="18"/>
          <w:szCs w:val="21"/>
          <w:shd w:val="clear" w:color="auto" w:fill="FFFFFF"/>
        </w:rPr>
        <w:t>创新、协调、绿色、开放、共享的新发展理念为引领，通过推动形成绿色发展方式和</w:t>
      </w:r>
      <w:r>
        <w:rPr>
          <w:sz w:val="18"/>
          <w:szCs w:val="21"/>
          <w:shd w:val="clear" w:color="auto" w:fill="FFFFFF"/>
        </w:rPr>
        <w:fldChar w:fldCharType="begin"/>
      </w:r>
      <w:r>
        <w:instrText>HYPERLINK "https://baike.baidu.com/item/%E7%94%9F%E6%B4%BB%E6%96%B9%E5%BC%8F/2853"</w:instrText>
      </w:r>
      <w:r>
        <w:rPr>
          <w:sz w:val="18"/>
          <w:szCs w:val="21"/>
          <w:shd w:val="clear" w:color="auto" w:fill="FFFFFF"/>
        </w:rPr>
        <w:fldChar w:fldCharType="separate"/>
      </w:r>
      <w:r>
        <w:rPr>
          <w:sz w:val="18"/>
          <w:szCs w:val="21"/>
          <w:shd w:val="clear" w:color="auto" w:fill="FFFFFF"/>
        </w:rPr>
        <w:t>生活方式</w:t>
      </w:r>
      <w:r>
        <w:rPr>
          <w:sz w:val="18"/>
          <w:szCs w:val="21"/>
          <w:shd w:val="clear" w:color="auto" w:fill="FFFFFF"/>
        </w:rPr>
        <w:fldChar w:fldCharType="end"/>
      </w:r>
      <w:r>
        <w:rPr>
          <w:sz w:val="18"/>
          <w:szCs w:val="21"/>
          <w:shd w:val="clear" w:color="auto" w:fill="FFFFFF"/>
        </w:rPr>
        <w:t>，持续推进固体废物源头减量和资源化利用，最大限度减少填埋量，将固体废物环境影响降至最低的城市发展模式，也是一种先进的城市管理理念。</w:t>
      </w:r>
    </w:p>
  </w:footnote>
</w:footnote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1"/>
      <w:pBdr>
        <w:bottom w:val="none" w:sz="0" w:space="0" w:color="auto"/>
      </w:pBdr>
      <w:tabs>
        <w:tab w:val="center" w:pos="4153"/>
        <w:tab w:val="right" w:pos="8306"/>
      </w:tabs>
      <w:spacing w:before="120" w:after="120"/>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1"/>
      <w:pBdr>
        <w:bottom w:val="none" w:sz="0" w:space="0" w:color="auto"/>
      </w:pBdr>
      <w:tabs>
        <w:tab w:val="center" w:pos="4153"/>
        <w:tab w:val="right" w:pos="8306"/>
      </w:tabs>
      <w:spacing w:before="120" w:after="120"/>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32"/>
      <w:tabs>
        <w:tab w:val="center" w:pos="4153"/>
        <w:tab w:val="right" w:pos="8306"/>
      </w:tabs>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32"/>
      <w:tabs>
        <w:tab w:val="center" w:pos="4153"/>
        <w:tab w:val="right" w:pos="8306"/>
      </w:tabs>
    </w:pP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1"/>
      <w:pBdr>
        <w:bottom w:val="none" w:sz="0" w:space="0" w:color="auto"/>
      </w:pBdr>
      <w:tabs>
        <w:tab w:val="center" w:pos="4153"/>
        <w:tab w:val="right" w:pos="8306"/>
      </w:tabs>
      <w:spacing w:before="120" w:after="120"/>
      <w:ind w:firstLineChars="0" w:firstLine="0"/>
      <w:rPr>
        <w:sz w:val="21"/>
        <w:szCs w:val="21"/>
      </w:rPr>
    </w:pP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1"/>
      <w:pBdr>
        <w:bottom w:val="none" w:sz="0" w:space="0" w:color="auto"/>
      </w:pBdr>
      <w:tabs>
        <w:tab w:val="center" w:pos="4153"/>
        <w:tab w:val="right" w:pos="8306"/>
      </w:tabs>
      <w:spacing w:before="120" w:after="120"/>
      <w:ind w:firstLineChars="0" w:firstLine="0"/>
      <w:jc w:val="both"/>
      <w:rPr>
        <w:sz w:val="21"/>
        <w:szCs w:val="21"/>
      </w:rPr>
    </w:pP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1"/>
      <w:pBdr>
        <w:bottom w:val="none" w:sz="0" w:space="0" w:color="auto"/>
      </w:pBdr>
      <w:tabs>
        <w:tab w:val="center" w:pos="4153"/>
        <w:tab w:val="right" w:pos="8306"/>
      </w:tabs>
      <w:spacing w:before="120" w:after="120"/>
      <w:ind w:firstLineChars="0" w:firstLine="0"/>
      <w:jc w:val="both"/>
      <w:rPr>
        <w:sz w:val="21"/>
        <w:szCs w:val="21"/>
      </w:rPr>
    </w:pP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ind w:firstLineChars="0" w:firstLine="0"/>
      <w:jc w:val="left"/>
      <w:rPr>
        <w:sz w:val="21"/>
        <w:szCs w:val="21"/>
      </w:rPr>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50"/>
  <w:drawingGridVerticalSpacing w:val="204"/>
  <w:displayHorizontalDrawingGridEvery w:val="0"/>
  <w:displayVerticalDrawingGridEvery w:val="2"/>
  <w:characterSpacingControl w:val="compressPunctuation"/>
  <w:footnotePr>
    <w:footnote w:id="0"/>
    <w:footnote w:id="1"/>
  </w:footnotePr>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560" w:lineRule="exact"/>
      <w:ind w:firstLineChars="200" w:firstLine="200"/>
      <w:jc w:val="both"/>
    </w:pPr>
    <w:rPr>
      <w:rFonts w:ascii="Times New Roman" w:eastAsia="FZFangSong-Z02" w:cs="Arial" w:hAnsi="Times New Roman"/>
      <w:kern w:val="2"/>
      <w:sz w:val="30"/>
      <w:szCs w:val="22"/>
      <w:lang w:val="en-US" w:eastAsia="zh-CN" w:bidi="ar-SA"/>
    </w:rPr>
  </w:style>
  <w:style w:type="paragraph" w:styleId="1">
    <w:name w:val="heading 1"/>
    <w:basedOn w:val="0"/>
    <w:next w:val="0"/>
    <w:pPr>
      <w:keepNext/>
      <w:keepLines/>
      <w:widowControl w:val="0"/>
      <w:ind w:firstLineChars="0" w:firstLine="0"/>
      <w:jc w:val="center"/>
      <w:outlineLvl w:val="0"/>
    </w:pPr>
    <w:rPr>
      <w:rFonts w:eastAsia="FZXiaoBiaoSong-B05"/>
      <w:bCs/>
      <w:kern w:val="44"/>
      <w:sz w:val="36"/>
      <w:szCs w:val="44"/>
    </w:rPr>
  </w:style>
  <w:style w:type="paragraph" w:styleId="2">
    <w:name w:val="heading 2"/>
    <w:basedOn w:val="0"/>
    <w:next w:val="0"/>
    <w:pPr>
      <w:keepNext/>
      <w:keepLines/>
      <w:widowControl w:val="0"/>
      <w:ind w:firstLineChars="0" w:firstLine="0"/>
      <w:jc w:val="center"/>
      <w:outlineLvl w:val="1"/>
    </w:pPr>
    <w:rPr>
      <w:rFonts w:eastAsia="FZKai-Z03" w:cs="Times New Roman"/>
      <w:b/>
      <w:bCs/>
      <w:sz w:val="32"/>
      <w:szCs w:val="32"/>
    </w:rPr>
  </w:style>
  <w:style w:type="paragraph" w:styleId="3">
    <w:name w:val="heading 3"/>
    <w:basedOn w:val="0"/>
    <w:next w:val="0"/>
    <w:pPr>
      <w:keepNext/>
      <w:keepLines/>
      <w:widowControl w:val="0"/>
      <w:outlineLvl w:val="2"/>
    </w:pPr>
    <w:rPr>
      <w:rFonts w:eastAsia="FZHei-B01"/>
      <w:bCs/>
      <w:szCs w:val="32"/>
    </w:rPr>
  </w:style>
  <w:style w:type="character" w:default="1" w:styleId="10">
    <w:name w:val="Default Paragraph Font"/>
  </w:style>
  <w:style w:type="paragraph" w:styleId="15">
    <w:name w:val="annotation text"/>
    <w:basedOn w:val="0"/>
    <w:pPr>
      <w:jc w:val="left"/>
    </w:pPr>
  </w:style>
  <w:style w:type="paragraph" w:styleId="16">
    <w:name w:val="Body Text"/>
    <w:basedOn w:val="0"/>
    <w:pPr>
      <w:spacing w:after="120"/>
    </w:pPr>
    <w:rPr>
      <w:rFonts w:ascii="Calibri" w:eastAsia="FangSong" w:cs="Times New Roman" w:hAnsi="Calibri"/>
      <w:sz w:val="28"/>
      <w:szCs w:val="24"/>
    </w:rPr>
  </w:style>
  <w:style w:type="paragraph" w:styleId="17">
    <w:name w:val="toc 3"/>
    <w:basedOn w:val="0"/>
    <w:next w:val="0"/>
    <w:pPr>
      <w:spacing w:line="400" w:lineRule="exact"/>
      <w:ind w:leftChars="400" w:left="400"/>
    </w:pPr>
    <w:rPr>
      <w:sz w:val="24"/>
    </w:rPr>
  </w:style>
  <w:style w:type="paragraph" w:styleId="18">
    <w:name w:val="endnote text"/>
    <w:basedOn w:val="0"/>
    <w:pPr>
      <w:snapToGrid w:val="0"/>
      <w:jc w:val="left"/>
    </w:pPr>
  </w:style>
  <w:style w:type="paragraph" w:styleId="19">
    <w:name w:val="Balloon Text"/>
    <w:basedOn w:val="0"/>
    <w:pPr>
      <w:spacing w:line="240" w:lineRule="auto"/>
    </w:pPr>
    <w:rPr>
      <w:sz w:val="18"/>
      <w:szCs w:val="18"/>
    </w:rPr>
  </w:style>
  <w:style w:type="paragraph" w:styleId="20">
    <w:name w:val="footer"/>
    <w:basedOn w:val="0"/>
    <w:pPr>
      <w:tabs>
        <w:tab w:val="center" w:pos="4153"/>
        <w:tab w:val="right" w:pos="8306"/>
      </w:tabs>
      <w:snapToGrid w:val="0"/>
      <w:jc w:val="left"/>
    </w:pPr>
    <w:rPr>
      <w:sz w:val="18"/>
      <w:szCs w:val="18"/>
    </w:rPr>
  </w:style>
  <w:style w:type="paragraph" w:styleId="21">
    <w:name w:val="header"/>
    <w:basedOn w:val="0"/>
    <w:pPr>
      <w:pBdr>
        <w:bottom w:val="single" w:sz="6" w:space="1" w:color="auto"/>
      </w:pBdr>
      <w:tabs>
        <w:tab w:val="center" w:pos="4153"/>
        <w:tab w:val="right" w:pos="8306"/>
      </w:tabs>
      <w:snapToGrid w:val="0"/>
      <w:jc w:val="center"/>
    </w:pPr>
    <w:rPr>
      <w:sz w:val="18"/>
      <w:szCs w:val="18"/>
    </w:rPr>
  </w:style>
  <w:style w:type="paragraph" w:styleId="22">
    <w:name w:val="toc 1"/>
    <w:basedOn w:val="0"/>
    <w:next w:val="0"/>
    <w:pPr>
      <w:tabs>
        <w:tab w:val="right" w:leader="dot" w:pos="8296"/>
      </w:tabs>
      <w:spacing w:line="240" w:lineRule="exact"/>
      <w:ind w:firstLineChars="0" w:firstLine="0"/>
    </w:pPr>
    <w:rPr>
      <w:rFonts w:eastAsia="FZXiaoBiaoSong-B05"/>
      <w:sz w:val="24"/>
    </w:rPr>
  </w:style>
  <w:style w:type="paragraph" w:styleId="23">
    <w:name w:val="footnote text"/>
    <w:basedOn w:val="0"/>
    <w:pPr>
      <w:snapToGrid w:val="0"/>
      <w:jc w:val="left"/>
    </w:pPr>
    <w:rPr>
      <w:sz w:val="18"/>
      <w:szCs w:val="18"/>
    </w:rPr>
  </w:style>
  <w:style w:type="paragraph" w:styleId="24">
    <w:name w:val="toc 2"/>
    <w:basedOn w:val="0"/>
    <w:next w:val="0"/>
    <w:pPr>
      <w:tabs>
        <w:tab w:val="right" w:leader="dot" w:pos="8296"/>
      </w:tabs>
      <w:spacing w:line="300" w:lineRule="exact"/>
      <w:ind w:leftChars="200" w:left="200" w:firstLineChars="0" w:firstLine="0"/>
    </w:pPr>
    <w:rPr>
      <w:rFonts w:eastAsia="FZKai-Z03"/>
      <w:sz w:val="24"/>
    </w:rPr>
  </w:style>
  <w:style w:type="paragraph" w:styleId="25">
    <w:name w:val="Normal (Web)"/>
    <w:basedOn w:val="0"/>
    <w:pPr>
      <w:widowControl/>
      <w:spacing w:before="100" w:beforeAutospacing="1" w:after="100" w:afterAutospacing="1"/>
      <w:jc w:val="left"/>
    </w:pPr>
    <w:rPr>
      <w:rFonts w:ascii="宋体" w:eastAsia="宋体" w:cs="宋体"/>
      <w:kern w:val="0"/>
      <w:sz w:val="24"/>
      <w:szCs w:val="24"/>
    </w:rPr>
  </w:style>
  <w:style w:type="paragraph" w:styleId="26">
    <w:name w:val="annotation subject"/>
    <w:basedOn w:val="15"/>
    <w:next w:val="15"/>
    <w:rPr>
      <w:b/>
      <w:bCs/>
    </w:rPr>
  </w:style>
  <w:style w:type="character" w:styleId="27">
    <w:name w:val="endnote reference"/>
    <w:basedOn w:val="10"/>
    <w:rPr>
      <w:vertAlign w:val="superscript"/>
    </w:rPr>
  </w:style>
  <w:style w:type="character" w:styleId="28">
    <w:name w:val="Hyperlink"/>
    <w:basedOn w:val="10"/>
    <w:rPr>
      <w:color w:val="0563C1"/>
      <w:u w:val="single"/>
    </w:rPr>
  </w:style>
  <w:style w:type="character" w:styleId="29">
    <w:name w:val="annotation reference"/>
    <w:basedOn w:val="10"/>
    <w:rPr>
      <w:sz w:val="21"/>
      <w:szCs w:val="21"/>
    </w:rPr>
  </w:style>
  <w:style w:type="character" w:styleId="30">
    <w:name w:val="footnote reference"/>
    <w:basedOn w:val="10"/>
    <w:rPr>
      <w:vertAlign w:val="superscript"/>
    </w:rPr>
  </w:style>
  <w:style w:type="paragraph" w:customStyle="1" w:styleId="31">
    <w:name w:val="List Paragraph"/>
    <w:basedOn w:val="0"/>
  </w:style>
  <w:style w:type="paragraph" w:customStyle="1" w:styleId="32">
    <w:name w:val="页眉1"/>
    <w:basedOn w:val="21"/>
    <w:pPr>
      <w:pBdr>
        <w:bottom w:val="none" w:sz="0" w:space="0" w:color="auto"/>
      </w:pBdr>
      <w:tabs>
        <w:tab w:val="center" w:pos="4153"/>
        <w:tab w:val="right" w:pos="8306"/>
      </w:tabs>
      <w:spacing w:before="120" w:after="120"/>
    </w:pPr>
  </w:style>
  <w:style w:type="paragraph" w:customStyle="1" w:styleId="33">
    <w:name w:val="列出段落1"/>
    <w:basedOn w:val="0"/>
    <w:rPr>
      <w:rFonts w:cs="Times New Roman"/>
      <w:sz w:val="32"/>
      <w:szCs w:val="20"/>
    </w:rPr>
  </w:style>
  <w:style w:type="paragraph" w:customStyle="1" w:styleId="34">
    <w:name w:val="修订1"/>
    <w:rPr>
      <w:rFonts w:ascii="Times New Roman" w:eastAsia="FZFangSong-Z02" w:cs="Arial" w:hAnsi="Times New Roman"/>
      <w:kern w:val="2"/>
      <w:sz w:val="30"/>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header" Target="header5.xml"/><Relationship Id="rId13" Type="http://schemas.openxmlformats.org/officeDocument/2006/relationships/footer" Target="footer7.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notes" Target="footnotes.xml"/><Relationship Id="rId18" Type="http://schemas.openxmlformats.org/officeDocument/2006/relationships/styles" Target="styles.xml"/><Relationship Id="rId19" Type="http://schemas.openxmlformats.org/officeDocument/2006/relationships/fontTable" Target="fontTable.xml"/></Relationships>
</file>

<file path=docProps/app.xml><?xml version="1.0" encoding="utf-8"?>
<Properties xmlns="http://schemas.openxmlformats.org/officeDocument/2006/extended-properties">
  <Template>Normal.eit</Template>
  <TotalTime>52</TotalTime>
  <Application>Yozo_Office</Application>
  <Pages>47</Pages>
  <Words>23868</Words>
  <Characters>24642</Characters>
  <Lines>1459</Lines>
  <Paragraphs>646</Paragraphs>
  <CharactersWithSpaces>24717</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王 华</dc:creator>
  <cp:lastModifiedBy>AutoBVT</cp:lastModifiedBy>
  <cp:revision>826</cp:revision>
  <cp:lastPrinted>2021-12-10T21:32:00Z</cp:lastPrinted>
  <dcterms:created xsi:type="dcterms:W3CDTF">2021-09-27T17:13:00Z</dcterms:created>
  <dcterms:modified xsi:type="dcterms:W3CDTF">2024-05-07T07:30:08Z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2052-11.8.2.1112</vt:lpwstr>
  </property>
  <property fmtid="{D5CDD505-2E9C-101B-9397-08002B2CF9AE}" pid="3" name="ICV">
    <vt:lpwstr>F10BD49F1F4744488635CB06A63600C8</vt:lpwstr>
  </property>
</Properties>
</file>