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579" w:lineRule="exact"/>
        <w:jc w:val="center"/>
        <w:rPr>
          <w:rFonts w:eastAsia="方正小标宋_GBK"/>
          <w:bCs/>
          <w:kern w:val="44"/>
          <w:sz w:val="44"/>
          <w:szCs w:val="44"/>
        </w:rPr>
      </w:pPr>
      <w:bookmarkStart w:id="0" w:name="_Toc359483011"/>
      <w:r>
        <w:rPr>
          <w:rFonts w:eastAsia="方正小标宋_GBK"/>
          <w:bCs/>
          <w:kern w:val="44"/>
          <w:sz w:val="44"/>
          <w:szCs w:val="44"/>
        </w:rPr>
        <w:t>重庆市江津区</w:t>
      </w:r>
      <w:bookmarkEnd w:id="0"/>
      <w:r>
        <w:rPr>
          <w:rFonts w:eastAsia="方正小标宋_GBK"/>
          <w:bCs/>
          <w:kern w:val="44"/>
          <w:sz w:val="44"/>
          <w:szCs w:val="44"/>
        </w:rPr>
        <w:t>生态环境局</w:t>
      </w:r>
    </w:p>
    <w:p>
      <w:pPr>
        <w:keepNext w:val="0"/>
        <w:keepLines w:val="0"/>
        <w:pageBreakBefore w:val="0"/>
        <w:widowControl w:val="0"/>
        <w:kinsoku/>
        <w:wordWrap/>
        <w:overflowPunct/>
        <w:topLinePunct w:val="0"/>
        <w:bidi w:val="0"/>
        <w:snapToGrid w:val="0"/>
        <w:spacing w:line="579" w:lineRule="exact"/>
        <w:jc w:val="center"/>
        <w:rPr>
          <w:rFonts w:eastAsia="方正小标宋_GBK"/>
          <w:bCs/>
          <w:kern w:val="44"/>
          <w:sz w:val="44"/>
          <w:szCs w:val="44"/>
        </w:rPr>
      </w:pPr>
      <w:bookmarkStart w:id="1" w:name="_Toc359484386"/>
      <w:r>
        <w:rPr>
          <w:rFonts w:eastAsia="方正小标宋_GBK"/>
          <w:bCs/>
          <w:kern w:val="44"/>
          <w:sz w:val="44"/>
          <w:szCs w:val="44"/>
        </w:rPr>
        <w:t>行 政 处 罚 决 定 书</w:t>
      </w:r>
      <w:bookmarkEnd w:id="1"/>
    </w:p>
    <w:p>
      <w:pPr>
        <w:keepNext w:val="0"/>
        <w:keepLines w:val="0"/>
        <w:pageBreakBefore w:val="0"/>
        <w:widowControl w:val="0"/>
        <w:kinsoku/>
        <w:wordWrap/>
        <w:overflowPunct/>
        <w:topLinePunct w:val="0"/>
        <w:bidi w:val="0"/>
        <w:snapToGrid w:val="0"/>
        <w:spacing w:line="579" w:lineRule="exact"/>
        <w:jc w:val="center"/>
        <w:rPr>
          <w:rFonts w:eastAsia="方正楷体_GBK"/>
          <w:bCs/>
          <w:kern w:val="44"/>
          <w:szCs w:val="32"/>
        </w:rPr>
      </w:pPr>
      <w:r>
        <w:rPr>
          <w:rFonts w:eastAsia="方正楷体_GBK"/>
          <w:bCs/>
          <w:kern w:val="44"/>
          <w:szCs w:val="32"/>
        </w:rPr>
        <w:t>津环罚〔202</w:t>
      </w:r>
      <w:r>
        <w:rPr>
          <w:rFonts w:hint="eastAsia" w:eastAsia="方正楷体_GBK"/>
          <w:bCs/>
          <w:kern w:val="44"/>
          <w:szCs w:val="32"/>
          <w:lang w:val="en-US" w:eastAsia="zh-CN"/>
        </w:rPr>
        <w:t>4</w:t>
      </w:r>
      <w:r>
        <w:rPr>
          <w:rFonts w:eastAsia="方正楷体_GBK"/>
          <w:bCs/>
          <w:kern w:val="44"/>
          <w:szCs w:val="32"/>
        </w:rPr>
        <w:t>〕0</w:t>
      </w:r>
      <w:r>
        <w:rPr>
          <w:rFonts w:hint="eastAsia" w:eastAsia="方正楷体_GBK"/>
          <w:bCs/>
          <w:kern w:val="44"/>
          <w:szCs w:val="32"/>
          <w:lang w:val="en-US" w:eastAsia="zh-CN"/>
        </w:rPr>
        <w:t>03</w:t>
      </w:r>
      <w:r>
        <w:rPr>
          <w:rFonts w:eastAsia="方正楷体_GBK"/>
          <w:bCs/>
          <w:kern w:val="44"/>
          <w:szCs w:val="32"/>
        </w:rPr>
        <w:t>号</w:t>
      </w:r>
    </w:p>
    <w:p>
      <w:pPr>
        <w:keepNext w:val="0"/>
        <w:keepLines w:val="0"/>
        <w:pageBreakBefore w:val="0"/>
        <w:widowControl w:val="0"/>
        <w:kinsoku/>
        <w:wordWrap/>
        <w:overflowPunct/>
        <w:topLinePunct w:val="0"/>
        <w:bidi w:val="0"/>
        <w:spacing w:line="579" w:lineRule="exact"/>
        <w:rPr>
          <w:rFonts w:eastAsia="方正仿宋_GBK"/>
          <w:sz w:val="32"/>
          <w:szCs w:val="32"/>
          <w:lang w:bidi="ar-SA"/>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lang w:val="en-US" w:eastAsia="zh-CN" w:bidi="ar-SA"/>
        </w:rPr>
      </w:pPr>
      <w:r>
        <w:rPr>
          <w:rFonts w:eastAsia="方正仿宋_GBK"/>
          <w:sz w:val="32"/>
          <w:szCs w:val="32"/>
          <w:lang w:bidi="ar-SA"/>
        </w:rPr>
        <w:t>被处罚单位：</w:t>
      </w:r>
      <w:r>
        <w:rPr>
          <w:rFonts w:hint="eastAsia" w:eastAsia="方正仿宋_GBK"/>
          <w:sz w:val="32"/>
          <w:szCs w:val="32"/>
          <w:lang w:val="en-US" w:eastAsia="zh-CN" w:bidi="ar-SA"/>
        </w:rPr>
        <w:t>江津区园宏石料加工厂</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r>
        <w:rPr>
          <w:rFonts w:hint="default" w:ascii="Times New Roman" w:hAnsi="Times New Roman" w:eastAsia="方正仿宋_GBK" w:cs="Times New Roman"/>
          <w:sz w:val="32"/>
          <w:szCs w:val="32"/>
          <w:lang w:eastAsia="zh-CN" w:bidi="ar-SA"/>
        </w:rPr>
        <w:t>统一社会信用代码</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92500116MA5XFNLT1W</w:t>
      </w:r>
    </w:p>
    <w:p>
      <w:pPr>
        <w:keepNext w:val="0"/>
        <w:keepLines w:val="0"/>
        <w:pageBreakBefore w:val="0"/>
        <w:widowControl w:val="0"/>
        <w:kinsoku/>
        <w:wordWrap/>
        <w:overflowPunct/>
        <w:topLinePunct w:val="0"/>
        <w:autoSpaceDE/>
        <w:autoSpaceDN/>
        <w:bidi w:val="0"/>
        <w:spacing w:line="579" w:lineRule="exact"/>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经营者</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况云海</w:t>
      </w:r>
    </w:p>
    <w:p>
      <w:pPr>
        <w:keepNext w:val="0"/>
        <w:keepLines w:val="0"/>
        <w:pageBreakBefore w:val="0"/>
        <w:widowControl w:val="0"/>
        <w:kinsoku/>
        <w:wordWrap/>
        <w:overflowPunct/>
        <w:topLinePunct w:val="0"/>
        <w:autoSpaceDE/>
        <w:autoSpaceDN/>
        <w:bidi w:val="0"/>
        <w:spacing w:line="579" w:lineRule="exact"/>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经营场所：重庆市江津区德感工业园区德园路K幢5单元4-2号</w:t>
      </w:r>
    </w:p>
    <w:p>
      <w:pPr>
        <w:keepNext w:val="0"/>
        <w:keepLines w:val="0"/>
        <w:pageBreakBefore w:val="0"/>
        <w:widowControl w:val="0"/>
        <w:kinsoku/>
        <w:wordWrap/>
        <w:overflowPunct/>
        <w:topLinePunct w:val="0"/>
        <w:bidi w:val="0"/>
        <w:spacing w:line="579" w:lineRule="exact"/>
        <w:rPr>
          <w:rFonts w:hint="eastAsia" w:eastAsia="方正仿宋_GBK" w:cs="Times New Roman"/>
          <w:sz w:val="32"/>
          <w:szCs w:val="32"/>
          <w:lang w:val="en-US" w:eastAsia="zh-CN" w:bidi="ar-SA"/>
        </w:rPr>
      </w:pPr>
    </w:p>
    <w:p>
      <w:pPr>
        <w:pStyle w:val="6"/>
        <w:rPr>
          <w:lang w:val="en-US" w:eastAsia="zh-CN"/>
        </w:rPr>
      </w:pPr>
    </w:p>
    <w:p>
      <w:pPr>
        <w:keepNext w:val="0"/>
        <w:keepLines w:val="0"/>
        <w:pageBreakBefore w:val="0"/>
        <w:widowControl w:val="0"/>
        <w:kinsoku/>
        <w:wordWrap/>
        <w:overflowPunct/>
        <w:topLinePunct w:val="0"/>
        <w:bidi w:val="0"/>
        <w:adjustRightInd w:val="0"/>
        <w:snapToGrid w:val="0"/>
        <w:spacing w:line="579" w:lineRule="exact"/>
        <w:ind w:firstLine="640" w:firstLineChars="200"/>
        <w:rPr>
          <w:rFonts w:eastAsia="华文仿宋"/>
          <w:sz w:val="32"/>
          <w:szCs w:val="32"/>
          <w:lang w:bidi="ar-SA"/>
        </w:rPr>
      </w:pPr>
      <w:r>
        <w:rPr>
          <w:rFonts w:eastAsia="方正黑体_GBK"/>
          <w:szCs w:val="32"/>
          <w:lang w:val="en-US" w:eastAsia="zh-CN" w:bidi="ar-SA"/>
        </w:rPr>
        <w:t>一、</w:t>
      </w:r>
      <w:r>
        <w:rPr>
          <w:rFonts w:eastAsia="方正黑体_GBK"/>
          <w:szCs w:val="32"/>
        </w:rPr>
        <w:t>环境违法事实、证据和陈述申辩（听证）意见、采纳情况及裁量理由</w:t>
      </w:r>
    </w:p>
    <w:p>
      <w:pPr>
        <w:keepNext w:val="0"/>
        <w:keepLines w:val="0"/>
        <w:pageBreakBefore w:val="0"/>
        <w:widowControl w:val="0"/>
        <w:kinsoku/>
        <w:wordWrap/>
        <w:overflowPunct/>
        <w:topLinePunct w:val="0"/>
        <w:autoSpaceDE/>
        <w:autoSpaceDN/>
        <w:bidi w:val="0"/>
        <w:spacing w:line="579" w:lineRule="exact"/>
        <w:ind w:left="0" w:firstLine="640" w:firstLineChars="200"/>
        <w:rPr>
          <w:rFonts w:hint="eastAsia" w:eastAsia="方正仿宋_GBK"/>
          <w:sz w:val="32"/>
          <w:szCs w:val="32"/>
          <w:lang w:val="en-US" w:eastAsia="zh-CN" w:bidi="ar-SA"/>
        </w:rPr>
      </w:pPr>
      <w:r>
        <w:rPr>
          <w:rFonts w:hint="eastAsia" w:eastAsia="方正仿宋_GBK"/>
          <w:sz w:val="32"/>
          <w:szCs w:val="32"/>
          <w:lang w:val="en-US" w:eastAsia="zh-CN" w:bidi="ar-SA"/>
        </w:rPr>
        <w:t>2023年11月28日，根据群众投诉，重庆市江津区生态环境局执法人员对你厂碎石加工生产项目进行了现场检查，检查发现你厂碎石生产线堆放有大量碎石石粉，大部分无覆盖，现场道路积尘明显，未采取洒水围挡等抑尘控尘措施。你厂未设置不低于堆放物高度的严密围挡，并采取有效覆盖措施防治扬尘污染，已构成环境违法行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eastAsia="zh-CN"/>
        </w:rPr>
      </w:pPr>
      <w:r>
        <w:rPr>
          <w:rFonts w:hint="default" w:eastAsia="方正仿宋_GBK"/>
          <w:sz w:val="32"/>
          <w:szCs w:val="32"/>
          <w:lang w:val="en-US" w:eastAsia="zh-CN"/>
        </w:rPr>
        <w:t>你</w:t>
      </w:r>
      <w:r>
        <w:rPr>
          <w:rFonts w:hint="eastAsia" w:eastAsia="方正仿宋_GBK"/>
          <w:sz w:val="32"/>
          <w:szCs w:val="32"/>
          <w:lang w:val="en-US" w:eastAsia="zh-CN"/>
        </w:rPr>
        <w:t>厂</w:t>
      </w:r>
      <w:r>
        <w:rPr>
          <w:rFonts w:hint="default" w:eastAsia="方正仿宋_GBK"/>
          <w:sz w:val="32"/>
          <w:szCs w:val="32"/>
          <w:lang w:eastAsia="zh-CN"/>
        </w:rPr>
        <w:t>的上述行为违反了《中华人民共和国大气污染防治法》第七十二条第一款“贮存煤炭、煤矸石、煤渣、煤灰、水泥、石灰、石膏、砂土等易产生扬尘的物料应当密闭；不能密闭的，应当设置不低于堆放物高度的严密围挡，并采取有效覆盖措施防治扬尘污染。”的规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eastAsia="方正仿宋_GBK"/>
          <w:sz w:val="32"/>
          <w:szCs w:val="32"/>
        </w:rPr>
      </w:pPr>
      <w:r>
        <w:rPr>
          <w:rFonts w:eastAsia="方正仿宋_GBK"/>
          <w:sz w:val="32"/>
          <w:szCs w:val="32"/>
        </w:rPr>
        <w:t>以上事实，有下列主要证据为证：</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以上事实，有下列主要证据为证：</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1. 2023年11月28日对江津区园宏石料加工厂所作的《现场检查勘验笔录》；</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2. 2023年11月28日对江津区园宏石料加工厂负责人作的调查询问笔录；</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3. 2023年11月28日对江津区园宏石料加工厂作的现场检查（勘验）方位图；</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4. 2023年11月28日对江津区园宏石料加工厂作的视听资料；</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证据1-4证明江津区园宏石料加工厂现场堆放碎石和石粉未采取有效覆盖措施防治扬尘污染；</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5.2023年11月28日由江津区园宏石料加工厂提供的租赁协议，证明重庆市江津区德感工业园区爱康二期旁地块堆场使用者为江津区园宏石料加工厂；</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6.《固定污染源排污许可分类管理名录》（2019年版）部分资料，证明江津区园宏石料加工厂排污管理类别为登记管理；</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7.2023年11月28日由江津区园宏石料加工厂经营者提供的居民身份证复印件；</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8.2023年11月28日由江津区园宏石料加工厂经营者提供的营业执照（副本）复印件；</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证据7-8证明违法行为主体是江津区园宏石料加工厂。</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lang w:val="en-US" w:eastAsia="zh-CN"/>
        </w:rPr>
      </w:pPr>
      <w:r>
        <w:rPr>
          <w:rFonts w:hint="eastAsia" w:eastAsia="方正仿宋_GBK" w:cs="Times New Roman"/>
          <w:sz w:val="32"/>
          <w:szCs w:val="32"/>
          <w:lang w:val="en-US" w:eastAsia="zh-CN" w:bidi="ar-SA"/>
        </w:rPr>
        <w:t>2024年1月30日我局以直接送达方式向你厂送达</w:t>
      </w:r>
      <w:r>
        <w:rPr>
          <w:rFonts w:eastAsia="方正仿宋_GBK"/>
          <w:sz w:val="32"/>
          <w:szCs w:val="32"/>
        </w:rPr>
        <w:t>《责令改正违法行为</w:t>
      </w:r>
      <w:r>
        <w:rPr>
          <w:rFonts w:eastAsia="方正仿宋_GBK"/>
          <w:sz w:val="32"/>
          <w:szCs w:val="32"/>
          <w:lang w:val="en-US" w:eastAsia="zh-CN"/>
        </w:rPr>
        <w:t>决定书</w:t>
      </w:r>
      <w:r>
        <w:rPr>
          <w:rFonts w:eastAsia="方正仿宋_GBK"/>
          <w:sz w:val="32"/>
          <w:szCs w:val="32"/>
        </w:rPr>
        <w:t>》（津环责改字〔202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001</w:t>
      </w:r>
      <w:r>
        <w:rPr>
          <w:rFonts w:eastAsia="方正仿宋_GBK"/>
          <w:sz w:val="32"/>
          <w:szCs w:val="32"/>
        </w:rPr>
        <w:t>号）责令</w:t>
      </w:r>
      <w:r>
        <w:rPr>
          <w:rFonts w:hint="eastAsia" w:eastAsia="方正仿宋_GBK" w:cs="Times New Roman"/>
          <w:sz w:val="32"/>
          <w:szCs w:val="32"/>
          <w:lang w:val="en-US" w:eastAsia="zh-CN" w:bidi="ar-SA"/>
        </w:rPr>
        <w:t>你厂</w:t>
      </w:r>
      <w:r>
        <w:rPr>
          <w:rFonts w:eastAsia="方正仿宋_GBK"/>
          <w:sz w:val="32"/>
          <w:szCs w:val="32"/>
        </w:rPr>
        <w:t>改正违法行为</w:t>
      </w:r>
      <w:r>
        <w:rPr>
          <w:rFonts w:hint="eastAsia" w:eastAsia="方正仿宋_GBK"/>
          <w:sz w:val="32"/>
          <w:szCs w:val="32"/>
          <w:lang w:eastAsia="zh-CN"/>
        </w:rPr>
        <w:t>。</w:t>
      </w:r>
      <w:r>
        <w:rPr>
          <w:rFonts w:hint="eastAsia" w:eastAsia="方正仿宋_GBK"/>
          <w:sz w:val="32"/>
          <w:szCs w:val="32"/>
          <w:lang w:val="en-US" w:eastAsia="zh-CN"/>
        </w:rPr>
        <w:t>2024年1月30日我局</w:t>
      </w:r>
      <w:r>
        <w:rPr>
          <w:rFonts w:hint="eastAsia" w:eastAsia="方正仿宋_GBK" w:cs="Times New Roman"/>
          <w:sz w:val="32"/>
          <w:szCs w:val="32"/>
          <w:lang w:val="en-US" w:eastAsia="zh-CN" w:bidi="ar-SA"/>
        </w:rPr>
        <w:t>以直接送达方式向你厂送达《行政处罚事先（听证）告知书》</w:t>
      </w:r>
      <w:r>
        <w:rPr>
          <w:rFonts w:hint="eastAsia" w:eastAsia="方正仿宋_GBK"/>
          <w:sz w:val="32"/>
          <w:szCs w:val="32"/>
          <w:lang w:val="en-US" w:eastAsia="zh-CN"/>
        </w:rPr>
        <w:t>（津环罚告字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001号），将拟作出行政处罚的事实、理由、依据及处罚内容告知你厂，并告知了你厂自收到该告知书之日起五个工作日内，有陈述、申辩，并要求举行听证的权利。</w:t>
      </w:r>
      <w:r>
        <w:rPr>
          <w:rFonts w:hint="eastAsia" w:eastAsia="方正仿宋_GBK" w:cs="Times New Roman"/>
          <w:sz w:val="32"/>
          <w:szCs w:val="32"/>
          <w:lang w:val="en-US" w:eastAsia="zh-CN" w:bidi="ar-SA"/>
        </w:rPr>
        <w:t>你厂在规定期限内未陈述申辩也未申请听证。</w:t>
      </w:r>
    </w:p>
    <w:p>
      <w:pPr>
        <w:keepNext w:val="0"/>
        <w:keepLines w:val="0"/>
        <w:pageBreakBefore w:val="0"/>
        <w:widowControl w:val="0"/>
        <w:kinsoku/>
        <w:wordWrap/>
        <w:overflowPunct/>
        <w:topLinePunct w:val="0"/>
        <w:autoSpaceDE/>
        <w:autoSpaceDN/>
        <w:bidi w:val="0"/>
        <w:spacing w:line="579" w:lineRule="exact"/>
        <w:ind w:firstLine="640" w:firstLineChars="200"/>
        <w:rPr>
          <w:rFonts w:eastAsia="方正仿宋_GBK"/>
          <w:sz w:val="32"/>
          <w:szCs w:val="32"/>
        </w:rPr>
      </w:pPr>
      <w:r>
        <w:rPr>
          <w:rFonts w:eastAsia="方正仿宋_GBK"/>
          <w:sz w:val="32"/>
          <w:szCs w:val="32"/>
          <w:lang w:bidi="ar-SA"/>
        </w:rPr>
        <w:t>重庆市江津区生态环境局认为</w:t>
      </w:r>
      <w:r>
        <w:rPr>
          <w:rFonts w:hint="eastAsia" w:ascii="方正仿宋_GBK" w:hAnsi="方正仿宋_GBK" w:eastAsia="方正仿宋_GBK" w:cs="方正仿宋_GBK"/>
          <w:sz w:val="32"/>
          <w:szCs w:val="32"/>
          <w:lang w:bidi="ar-SA"/>
        </w:rPr>
        <w:t>:</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eastAsia="方正仿宋_GBK" w:cs="Times New Roman"/>
          <w:color w:val="000000" w:themeColor="text1"/>
          <w:sz w:val="32"/>
          <w:szCs w:val="32"/>
          <w:lang w:val="en-US" w:eastAsia="zh-CN" w:bidi="ar-SA"/>
          <w14:textFill>
            <w14:solidFill>
              <w14:schemeClr w14:val="tx1"/>
            </w14:solidFill>
          </w14:textFill>
        </w:rPr>
      </w:pPr>
      <w:r>
        <w:rPr>
          <w:rFonts w:hint="eastAsia" w:eastAsia="方正仿宋_GBK"/>
          <w:sz w:val="32"/>
          <w:szCs w:val="32"/>
          <w:lang w:val="en-US" w:eastAsia="zh-CN" w:bidi="ar-SA"/>
        </w:rPr>
        <w:t>你厂碎石生产线堆放有大量碎石石粉，未按规定设置不低于堆放物高度的严密围挡，并采取有效覆盖措施防治扬尘污染，</w:t>
      </w:r>
      <w:r>
        <w:rPr>
          <w:rFonts w:eastAsia="方正仿宋_GBK"/>
          <w:sz w:val="32"/>
          <w:szCs w:val="32"/>
        </w:rPr>
        <w:t>已违反了</w:t>
      </w:r>
      <w:r>
        <w:rPr>
          <w:rFonts w:hint="default" w:eastAsia="方正仿宋_GBK"/>
          <w:sz w:val="32"/>
          <w:szCs w:val="32"/>
          <w:lang w:eastAsia="zh-CN"/>
        </w:rPr>
        <w:t>《中华人民共和国大气污染防治法》第七十二条第一款</w:t>
      </w:r>
      <w:r>
        <w:rPr>
          <w:rFonts w:hint="eastAsia" w:ascii="方正仿宋_GBK" w:hAnsi="方正仿宋_GBK" w:eastAsia="方正仿宋_GBK" w:cs="方正仿宋_GBK"/>
          <w:sz w:val="32"/>
          <w:szCs w:val="32"/>
          <w:lang w:eastAsia="zh-CN" w:bidi="ar-SA"/>
        </w:rPr>
        <w:t>的规定</w:t>
      </w:r>
      <w:r>
        <w:rPr>
          <w:rFonts w:eastAsia="方正仿宋_GBK"/>
          <w:sz w:val="32"/>
          <w:szCs w:val="32"/>
        </w:rPr>
        <w:t>，应当为此承担相应的法律责任。</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default" w:eastAsia="方正仿宋_GBK"/>
          <w:sz w:val="32"/>
          <w:szCs w:val="32"/>
          <w:lang w:val="en-US" w:eastAsia="zh-CN" w:bidi="ar-SA"/>
        </w:rPr>
      </w:pPr>
      <w:r>
        <w:rPr>
          <w:rFonts w:eastAsia="方正仿宋_GBK"/>
          <w:sz w:val="32"/>
          <w:szCs w:val="32"/>
        </w:rPr>
        <w:t>针对本次违法行为，</w:t>
      </w:r>
      <w:r>
        <w:rPr>
          <w:rFonts w:hint="eastAsia" w:eastAsia="方正仿宋_GBK"/>
          <w:sz w:val="32"/>
          <w:szCs w:val="32"/>
          <w:lang w:eastAsia="zh-CN"/>
        </w:rPr>
        <w:t>应当</w:t>
      </w:r>
      <w:r>
        <w:rPr>
          <w:rFonts w:eastAsia="方正仿宋_GBK"/>
          <w:sz w:val="32"/>
          <w:szCs w:val="32"/>
          <w:lang w:bidi="ar-SA"/>
        </w:rPr>
        <w:t>依据</w:t>
      </w:r>
      <w:r>
        <w:rPr>
          <w:rFonts w:hint="eastAsia" w:eastAsia="方正仿宋_GBK"/>
          <w:sz w:val="32"/>
          <w:szCs w:val="32"/>
          <w:lang w:eastAsia="zh-CN" w:bidi="ar-SA"/>
        </w:rPr>
        <w:t>《中华人民共和国大气污染防治法》第一百</w:t>
      </w:r>
      <w:r>
        <w:rPr>
          <w:rFonts w:hint="eastAsia" w:eastAsia="方正仿宋_GBK"/>
          <w:sz w:val="32"/>
          <w:szCs w:val="32"/>
          <w:lang w:val="en-US" w:eastAsia="zh-CN" w:bidi="ar-SA"/>
        </w:rPr>
        <w:t>一十七</w:t>
      </w:r>
      <w:r>
        <w:rPr>
          <w:rFonts w:hint="eastAsia" w:eastAsia="方正仿宋_GBK"/>
          <w:sz w:val="32"/>
          <w:szCs w:val="32"/>
          <w:lang w:eastAsia="zh-CN" w:bidi="ar-SA"/>
        </w:rPr>
        <w:t>条第</w:t>
      </w:r>
      <w:r>
        <w:rPr>
          <w:rFonts w:hint="eastAsia" w:eastAsia="方正仿宋_GBK"/>
          <w:sz w:val="32"/>
          <w:szCs w:val="32"/>
          <w:lang w:val="en-US" w:eastAsia="zh-CN" w:bidi="ar-SA"/>
        </w:rPr>
        <w:t>二项</w:t>
      </w:r>
      <w:r>
        <w:rPr>
          <w:rFonts w:eastAsia="方正仿宋_GBK"/>
          <w:sz w:val="32"/>
          <w:szCs w:val="32"/>
          <w:lang w:bidi="ar-SA"/>
        </w:rPr>
        <w:t>的规定</w:t>
      </w:r>
      <w:r>
        <w:rPr>
          <w:rFonts w:hint="eastAsia" w:eastAsia="方正仿宋_GBK"/>
          <w:sz w:val="32"/>
          <w:szCs w:val="32"/>
          <w:lang w:eastAsia="zh-CN" w:bidi="ar-SA"/>
        </w:rPr>
        <w:t>进行行政处罚。依据</w:t>
      </w:r>
      <w:r>
        <w:rPr>
          <w:rFonts w:hint="eastAsia" w:eastAsia="方正仿宋_GBK"/>
          <w:sz w:val="32"/>
          <w:szCs w:val="32"/>
          <w:lang w:val="en-US" w:eastAsia="zh-CN" w:bidi="ar-SA"/>
        </w:rPr>
        <w:t>《重庆市生态环境行政处罚裁量基准》（渝环规</w:t>
      </w:r>
      <w:r>
        <w:rPr>
          <w:rFonts w:hint="eastAsia" w:eastAsia="方正仿宋_GBK"/>
          <w:sz w:val="32"/>
          <w:szCs w:val="32"/>
          <w:lang w:eastAsia="zh-CN" w:bidi="ar-SA"/>
        </w:rPr>
        <w:t>〔202</w:t>
      </w:r>
      <w:r>
        <w:rPr>
          <w:rFonts w:hint="eastAsia" w:eastAsia="方正仿宋_GBK"/>
          <w:sz w:val="32"/>
          <w:szCs w:val="32"/>
          <w:lang w:val="en-US" w:eastAsia="zh-CN" w:bidi="ar-SA"/>
        </w:rPr>
        <w:t>2</w:t>
      </w:r>
      <w:r>
        <w:rPr>
          <w:rFonts w:hint="eastAsia" w:eastAsia="方正仿宋_GBK"/>
          <w:sz w:val="32"/>
          <w:szCs w:val="32"/>
          <w:lang w:eastAsia="zh-CN" w:bidi="ar-SA"/>
        </w:rPr>
        <w:t>〕</w:t>
      </w:r>
      <w:r>
        <w:rPr>
          <w:rFonts w:hint="eastAsia" w:eastAsia="方正仿宋_GBK"/>
          <w:sz w:val="32"/>
          <w:szCs w:val="32"/>
          <w:lang w:val="en-US" w:eastAsia="zh-CN" w:bidi="ar-SA"/>
        </w:rPr>
        <w:t>6号）设定的《生态环境行政处罚裁量因子及计算公式》，对你厂的本次环境违法行为裁量认定如下：个性裁量因子：排污单位管理类别为登记管理；管理要求为</w:t>
      </w:r>
      <w:r>
        <w:rPr>
          <w:rFonts w:hint="eastAsia" w:eastAsia="方正仿宋_GBK"/>
          <w:sz w:val="32"/>
          <w:szCs w:val="32"/>
          <w:lang w:val="zh-CN" w:eastAsia="zh-CN" w:bidi="ar-SA"/>
        </w:rPr>
        <w:t>部分落实集中收集处理、密闭、围挡、遮盖、清扫、洒水等措施</w:t>
      </w:r>
      <w:r>
        <w:rPr>
          <w:rFonts w:hint="eastAsia" w:eastAsia="方正仿宋_GBK"/>
          <w:sz w:val="32"/>
          <w:szCs w:val="32"/>
          <w:lang w:val="en-US" w:eastAsia="zh-CN" w:bidi="ar-SA"/>
        </w:rPr>
        <w:t>。共性裁量因子：两年内受到生态环境行政处罚次数和受处罚情况为两年内未受过行政处罚；配合调查情况为积极配合调查。修正裁量因子：改正情况为整改措施正在落实中；社会影响力为</w:t>
      </w:r>
      <w:r>
        <w:rPr>
          <w:rFonts w:hint="eastAsia" w:ascii="方正仿宋_GBK" w:eastAsia="方正仿宋_GBK"/>
          <w:sz w:val="32"/>
          <w:szCs w:val="32"/>
          <w:lang w:val="en-US" w:eastAsia="zh"/>
        </w:rPr>
        <w:t>个体工商户</w:t>
      </w:r>
      <w:r>
        <w:rPr>
          <w:rFonts w:hint="eastAsia" w:eastAsia="方正仿宋_GBK"/>
          <w:sz w:val="32"/>
          <w:szCs w:val="32"/>
          <w:lang w:val="en-US" w:eastAsia="zh-CN" w:bidi="ar-SA"/>
        </w:rPr>
        <w:t>；主观过错程度为过失。</w:t>
      </w:r>
      <w:r>
        <w:rPr>
          <w:rFonts w:hint="eastAsia" w:eastAsia="方正仿宋_GBK"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行政处罚事先（听证）告知书</w:t>
      </w:r>
      <w:r>
        <w:rPr>
          <w:rFonts w:hint="eastAsia" w:eastAsia="方正仿宋_GBK"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津环罚告字〔2024〕001号</w:t>
      </w:r>
      <w:r>
        <w:rPr>
          <w:rFonts w:hint="eastAsia" w:eastAsia="方正仿宋_GBK" w:cs="Times New Roman"/>
          <w:color w:val="auto"/>
          <w:sz w:val="32"/>
          <w:szCs w:val="32"/>
          <w:lang w:val="en-US" w:eastAsia="zh-CN" w:bidi="ar-SA"/>
        </w:rPr>
        <w:t>）文书中所取因子</w:t>
      </w:r>
      <w:r>
        <w:rPr>
          <w:rFonts w:hint="eastAsia" w:eastAsia="方正仿宋_GBK"/>
          <w:sz w:val="32"/>
          <w:szCs w:val="32"/>
          <w:lang w:val="en-US" w:eastAsia="zh-CN" w:bidi="ar-SA"/>
        </w:rPr>
        <w:t>社会影响力</w:t>
      </w:r>
      <w:r>
        <w:rPr>
          <w:rFonts w:hint="default" w:ascii="Times New Roman" w:hAnsi="Times New Roman" w:eastAsia="方正仿宋_GBK" w:cs="Times New Roman"/>
          <w:sz w:val="32"/>
          <w:szCs w:val="32"/>
          <w:lang w:val="en-US" w:eastAsia="zh-CN" w:bidi="ar-SA"/>
        </w:rPr>
        <w:t>为一般企事业单位</w:t>
      </w:r>
      <w:r>
        <w:rPr>
          <w:rFonts w:hint="eastAsia" w:eastAsia="方正仿宋_GBK"/>
          <w:sz w:val="32"/>
          <w:szCs w:val="32"/>
          <w:lang w:val="en-US" w:eastAsia="zh-CN" w:bidi="ar-SA"/>
        </w:rPr>
        <w:t>有误，你厂类型为个体工商户，</w:t>
      </w:r>
      <w:r>
        <w:rPr>
          <w:rFonts w:hint="default" w:ascii="Times New Roman" w:hAnsi="Times New Roman" w:eastAsia="方正仿宋_GBK" w:cs="Times New Roman"/>
          <w:color w:val="auto"/>
          <w:sz w:val="32"/>
          <w:szCs w:val="32"/>
          <w:lang w:val="en-US" w:eastAsia="zh-CN" w:bidi="ar-SA"/>
        </w:rPr>
        <w:t>按照《重庆市生态环境行政处罚裁量基准》（渝环规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6号）第五条规定的裁量方法，根据裁量因子及计算公式</w:t>
      </w:r>
      <w:r>
        <w:rPr>
          <w:rFonts w:hint="eastAsia" w:eastAsia="方正仿宋_GBK" w:cs="Times New Roman"/>
          <w:color w:val="auto"/>
          <w:sz w:val="32"/>
          <w:szCs w:val="32"/>
          <w:lang w:val="en-US" w:eastAsia="zh-CN" w:bidi="ar-SA"/>
        </w:rPr>
        <w:t>重新</w:t>
      </w:r>
      <w:r>
        <w:rPr>
          <w:rFonts w:hint="default" w:ascii="Times New Roman" w:hAnsi="Times New Roman" w:eastAsia="方正仿宋_GBK" w:cs="Times New Roman"/>
          <w:color w:val="auto"/>
          <w:sz w:val="32"/>
          <w:szCs w:val="32"/>
          <w:lang w:val="en-US" w:eastAsia="zh-CN" w:bidi="ar-SA"/>
        </w:rPr>
        <w:t>计算罚款金额为30250元。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eastAsia="方正仿宋_GBK"/>
          <w:sz w:val="32"/>
          <w:szCs w:val="32"/>
        </w:rPr>
      </w:pPr>
      <w:r>
        <w:rPr>
          <w:rFonts w:hint="eastAsia" w:eastAsia="方正仿宋_GBK"/>
          <w:sz w:val="32"/>
          <w:szCs w:val="32"/>
          <w:lang w:eastAsia="zh-CN" w:bidi="ar-SA"/>
        </w:rPr>
        <w:t>你</w:t>
      </w:r>
      <w:r>
        <w:rPr>
          <w:rFonts w:hint="eastAsia" w:eastAsia="方正仿宋_GBK"/>
          <w:sz w:val="32"/>
          <w:szCs w:val="32"/>
          <w:lang w:val="en-US" w:eastAsia="zh-CN" w:bidi="ar-SA"/>
        </w:rPr>
        <w:t>厂</w:t>
      </w:r>
      <w:r>
        <w:rPr>
          <w:rFonts w:eastAsia="方正仿宋_GBK"/>
          <w:sz w:val="32"/>
          <w:szCs w:val="32"/>
        </w:rPr>
        <w:t>在本次处罚后应当引以为戒，认真学习并严格遵守环保法律法规，同时加强管理，落实各项措施，杜绝违法行为再次发生，为我区生态文明建设作出贡献。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lang w:bidi="ar-SA"/>
        </w:rPr>
      </w:pPr>
      <w:r>
        <w:rPr>
          <w:rFonts w:eastAsia="方正黑体_GBK"/>
          <w:b w:val="0"/>
          <w:bCs w:val="0"/>
          <w:sz w:val="32"/>
          <w:szCs w:val="32"/>
        </w:rPr>
        <w:t>二、行政处罚的依据、种类及其履行方式、期限</w:t>
      </w:r>
    </w:p>
    <w:p>
      <w:pPr>
        <w:keepNext w:val="0"/>
        <w:keepLines w:val="0"/>
        <w:pageBreakBefore w:val="0"/>
        <w:widowControl w:val="0"/>
        <w:tabs>
          <w:tab w:val="left" w:pos="0"/>
        </w:tabs>
        <w:kinsoku/>
        <w:wordWrap/>
        <w:overflowPunct/>
        <w:topLinePunct w:val="0"/>
        <w:bidi w:val="0"/>
        <w:adjustRightInd w:val="0"/>
        <w:snapToGrid w:val="0"/>
        <w:spacing w:line="579" w:lineRule="exact"/>
        <w:ind w:firstLine="640" w:firstLineChars="200"/>
        <w:rPr>
          <w:rFonts w:hint="eastAsia" w:ascii="方正仿宋_GBK" w:hAnsi="方正仿宋_GBK" w:eastAsia="方正仿宋_GBK" w:cs="方正仿宋_GBK"/>
          <w:sz w:val="32"/>
          <w:szCs w:val="32"/>
          <w:lang w:eastAsia="zh-CN" w:bidi="ar-SA"/>
        </w:rPr>
      </w:pPr>
      <w:r>
        <w:rPr>
          <w:rFonts w:eastAsia="方正仿宋_GBK"/>
          <w:sz w:val="32"/>
          <w:szCs w:val="32"/>
          <w:lang w:bidi="ar-SA"/>
        </w:rPr>
        <w:t>依据</w:t>
      </w:r>
      <w:r>
        <w:rPr>
          <w:rFonts w:hint="eastAsia" w:eastAsia="方正仿宋_GBK"/>
          <w:sz w:val="32"/>
          <w:szCs w:val="32"/>
          <w:lang w:eastAsia="zh-CN" w:bidi="ar-SA"/>
        </w:rPr>
        <w:t>《中华人民共和国大气污染防治法》第一百</w:t>
      </w:r>
      <w:r>
        <w:rPr>
          <w:rFonts w:hint="eastAsia" w:eastAsia="方正仿宋_GBK"/>
          <w:sz w:val="32"/>
          <w:szCs w:val="32"/>
          <w:lang w:val="en-US" w:eastAsia="zh-CN" w:bidi="ar-SA"/>
        </w:rPr>
        <w:t>一十七</w:t>
      </w:r>
      <w:r>
        <w:rPr>
          <w:rFonts w:hint="eastAsia" w:eastAsia="方正仿宋_GBK"/>
          <w:sz w:val="32"/>
          <w:szCs w:val="32"/>
          <w:lang w:eastAsia="zh-CN" w:bidi="ar-SA"/>
        </w:rPr>
        <w:t>条第</w:t>
      </w:r>
      <w:r>
        <w:rPr>
          <w:rFonts w:hint="eastAsia" w:eastAsia="方正仿宋_GBK"/>
          <w:sz w:val="32"/>
          <w:szCs w:val="32"/>
          <w:lang w:val="en-US" w:eastAsia="zh-CN" w:bidi="ar-SA"/>
        </w:rPr>
        <w:t>二项</w:t>
      </w:r>
      <w:r>
        <w:rPr>
          <w:rFonts w:hint="eastAsia" w:eastAsia="方正仿宋_GBK"/>
          <w:sz w:val="32"/>
          <w:szCs w:val="32"/>
          <w:lang w:eastAsia="zh-CN" w:bidi="ar-SA"/>
        </w:rPr>
        <w:t>“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r>
        <w:rPr>
          <w:rFonts w:hint="eastAsia" w:ascii="方正仿宋_GBK" w:hAnsi="方正仿宋_GBK" w:eastAsia="方正仿宋_GBK" w:cs="方正仿宋_GBK"/>
          <w:sz w:val="32"/>
          <w:szCs w:val="32"/>
          <w:lang w:bidi="ar-SA"/>
        </w:rPr>
        <w:t>”</w:t>
      </w:r>
      <w:r>
        <w:rPr>
          <w:rFonts w:hint="eastAsia" w:ascii="方正仿宋_GBK" w:hAnsi="方正仿宋_GBK" w:eastAsia="方正仿宋_GBK" w:cs="方正仿宋_GBK"/>
          <w:sz w:val="32"/>
          <w:szCs w:val="32"/>
          <w:lang w:eastAsia="zh-CN" w:bidi="ar-SA"/>
        </w:rPr>
        <w:t>和</w:t>
      </w:r>
      <w:r>
        <w:rPr>
          <w:rFonts w:hint="eastAsia" w:ascii="方正仿宋_GBK" w:hAnsi="方正仿宋_GBK" w:eastAsia="方正仿宋_GBK" w:cs="方正仿宋_GBK"/>
          <w:sz w:val="32"/>
          <w:szCs w:val="32"/>
          <w:lang w:val="en-US" w:eastAsia="zh-CN" w:bidi="ar-SA"/>
        </w:rPr>
        <w:t>和《重庆市生态环境行政处罚裁量基准》（渝环规〔2022〕6号）第五条的规定。</w:t>
      </w:r>
      <w:r>
        <w:rPr>
          <w:rFonts w:hint="eastAsia" w:ascii="方正仿宋_GBK" w:hAnsi="方正仿宋_GBK" w:eastAsia="方正仿宋_GBK" w:cs="方正仿宋_GBK"/>
          <w:sz w:val="32"/>
          <w:szCs w:val="32"/>
          <w:lang w:eastAsia="zh-CN" w:bidi="ar-SA"/>
        </w:rPr>
        <w:t>我局决定对</w:t>
      </w:r>
      <w:r>
        <w:rPr>
          <w:rFonts w:hint="eastAsia" w:ascii="方正仿宋_GBK" w:hAnsi="方正仿宋_GBK" w:eastAsia="方正仿宋_GBK" w:cs="方正仿宋_GBK"/>
          <w:sz w:val="32"/>
          <w:szCs w:val="32"/>
          <w:lang w:val="en-US" w:eastAsia="zh-CN" w:bidi="ar-SA"/>
        </w:rPr>
        <w:t>你厂</w:t>
      </w:r>
      <w:r>
        <w:rPr>
          <w:rFonts w:hint="eastAsia" w:ascii="方正仿宋_GBK" w:hAnsi="方正仿宋_GBK" w:eastAsia="方正仿宋_GBK" w:cs="方正仿宋_GBK"/>
          <w:sz w:val="32"/>
          <w:szCs w:val="32"/>
          <w:lang w:eastAsia="zh-CN" w:bidi="ar-SA"/>
        </w:rPr>
        <w:t>作出如下行政处罚：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黑体_GBK" w:cs="Times New Roman"/>
          <w:kern w:val="36"/>
          <w:sz w:val="32"/>
          <w:szCs w:val="32"/>
          <w:lang w:eastAsia="zh-CN" w:bidi="ar-SA"/>
        </w:rPr>
      </w:pPr>
      <w:r>
        <w:rPr>
          <w:rFonts w:hint="default" w:ascii="Times New Roman" w:hAnsi="Times New Roman" w:eastAsia="方正黑体_GBK" w:cs="Times New Roman"/>
          <w:kern w:val="36"/>
          <w:sz w:val="32"/>
          <w:szCs w:val="32"/>
          <w:lang w:bidi="ar-SA"/>
        </w:rPr>
        <w:t>处罚款</w:t>
      </w:r>
      <w:r>
        <w:rPr>
          <w:rFonts w:hint="default" w:ascii="Times New Roman" w:hAnsi="Times New Roman" w:eastAsia="方正黑体_GBK" w:cs="Times New Roman"/>
          <w:kern w:val="36"/>
          <w:sz w:val="32"/>
          <w:szCs w:val="32"/>
          <w:lang w:val="en-US" w:eastAsia="zh-CN" w:bidi="ar-SA"/>
        </w:rPr>
        <w:t>人民币叁万零贰佰伍拾元整</w:t>
      </w:r>
      <w:r>
        <w:rPr>
          <w:rFonts w:hint="default" w:ascii="Times New Roman" w:hAnsi="Times New Roman" w:eastAsia="方正黑体_GBK" w:cs="Times New Roman"/>
          <w:kern w:val="36"/>
          <w:sz w:val="32"/>
          <w:szCs w:val="32"/>
          <w:lang w:eastAsia="zh-CN" w:bidi="ar-SA"/>
        </w:rPr>
        <w:t>（</w:t>
      </w:r>
      <w:r>
        <w:rPr>
          <w:rFonts w:hint="default" w:ascii="Times New Roman" w:hAnsi="Times New Roman" w:eastAsia="方正黑体_GBK" w:cs="Times New Roman"/>
          <w:kern w:val="36"/>
          <w:sz w:val="32"/>
          <w:szCs w:val="32"/>
          <w:lang w:val="en-US" w:eastAsia="zh-CN" w:bidi="ar-SA"/>
        </w:rPr>
        <w:t>小写：</w:t>
      </w:r>
      <w:r>
        <w:rPr>
          <w:rFonts w:hint="eastAsia" w:eastAsia="方正黑体_GBK" w:cs="Times New Roman"/>
          <w:kern w:val="36"/>
          <w:sz w:val="32"/>
          <w:szCs w:val="32"/>
          <w:lang w:val="en-US" w:eastAsia="zh-CN" w:bidi="ar-SA"/>
        </w:rPr>
        <w:t>30250</w:t>
      </w:r>
      <w:r>
        <w:rPr>
          <w:rFonts w:hint="default" w:ascii="Times New Roman" w:hAnsi="Times New Roman" w:eastAsia="方正黑体_GBK" w:cs="Times New Roman"/>
          <w:kern w:val="36"/>
          <w:sz w:val="32"/>
          <w:szCs w:val="32"/>
          <w:lang w:val="en-US" w:eastAsia="zh-CN" w:bidi="ar-SA"/>
        </w:rPr>
        <w:t>元</w:t>
      </w:r>
      <w:r>
        <w:rPr>
          <w:rFonts w:hint="default" w:ascii="Times New Roman" w:hAnsi="Times New Roman" w:eastAsia="方正黑体_GBK" w:cs="Times New Roman"/>
          <w:kern w:val="36"/>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rPr>
      </w:pPr>
      <w:r>
        <w:rPr>
          <w:rFonts w:eastAsia="方正仿宋_GBK"/>
          <w:sz w:val="32"/>
          <w:szCs w:val="32"/>
        </w:rPr>
        <w:t>限</w:t>
      </w:r>
      <w:r>
        <w:rPr>
          <w:rFonts w:hint="eastAsia" w:eastAsia="方正仿宋_GBK"/>
          <w:sz w:val="32"/>
          <w:szCs w:val="32"/>
          <w:lang w:eastAsia="zh-CN" w:bidi="ar-SA"/>
        </w:rPr>
        <w:t>你</w:t>
      </w:r>
      <w:r>
        <w:rPr>
          <w:rFonts w:hint="eastAsia" w:eastAsia="方正仿宋_GBK"/>
          <w:sz w:val="32"/>
          <w:szCs w:val="32"/>
          <w:lang w:val="en-US" w:eastAsia="zh-CN" w:bidi="ar-SA"/>
        </w:rPr>
        <w:t>厂</w:t>
      </w:r>
      <w:r>
        <w:rPr>
          <w:rFonts w:eastAsia="方正仿宋_GBK"/>
          <w:sz w:val="32"/>
          <w:szCs w:val="32"/>
        </w:rPr>
        <w:t>于接到本处罚决定书之日起十五日内到重庆市江津区生态环境局210办公室（地址：重庆市江津区鼎山大道744号附2号）开具《非税收入缴款通知书》，并完成罚款缴纳。缴纳完成后可按《非税收入缴款通知书》要求获取电子发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rPr>
      </w:pPr>
      <w:r>
        <w:rPr>
          <w:rFonts w:eastAsia="方正仿宋_GBK"/>
          <w:sz w:val="32"/>
          <w:szCs w:val="32"/>
        </w:rPr>
        <w:t>逾期如不缴纳，依据《中华人民共和国行政处罚法》第七十二条第一款第一项，重庆市江津区生态环境局可以每日按罚款数额的3%加处罚款。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rPr>
      </w:pPr>
      <w:r>
        <w:rPr>
          <w:rFonts w:eastAsia="方正黑体_GBK"/>
          <w:sz w:val="32"/>
          <w:szCs w:val="32"/>
        </w:rPr>
        <w:t>三、申请行政复议或者提起行政诉讼的途径和期限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rPr>
      </w:pPr>
      <w:r>
        <w:rPr>
          <w:rFonts w:eastAsia="方正仿宋_GBK"/>
          <w:sz w:val="32"/>
          <w:szCs w:val="32"/>
        </w:rPr>
        <w:t>如不服本处罚决定，可在收到本处罚决定书之日起六十日内向重庆市江津区人民政府申请行政复议，也可在六个月内直接向重庆市江津区人民法院起诉。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eastAsia="方正仿宋_GBK"/>
          <w:sz w:val="32"/>
          <w:szCs w:val="32"/>
        </w:rPr>
      </w:pPr>
      <w:r>
        <w:rPr>
          <w:rFonts w:eastAsia="方正仿宋_GBK"/>
          <w:sz w:val="32"/>
          <w:szCs w:val="32"/>
        </w:rPr>
        <w:t>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left"/>
        <w:textAlignment w:val="top"/>
      </w:pPr>
      <w:r>
        <w:rPr>
          <w:rFonts w:eastAsia="方正仿宋_GBK"/>
          <w:sz w:val="32"/>
          <w:szCs w:val="32"/>
        </w:rPr>
        <w:t>逾期不申请行政复议，也不提起行政诉讼，又不履行本处罚决定的，重庆市江津区生态环境局将依法申请重庆市江津区人民法院强制执行。</w:t>
      </w: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eastAsia="方正仿宋_GBK"/>
          <w:sz w:val="32"/>
          <w:szCs w:val="32"/>
        </w:rPr>
      </w:pPr>
      <w:r>
        <w:rPr>
          <w:rFonts w:eastAsia="方正仿宋_GBK"/>
          <w:sz w:val="32"/>
          <w:szCs w:val="32"/>
        </w:rPr>
        <w:t>重庆市江津区生态环境局</w:t>
      </w:r>
    </w:p>
    <w:p>
      <w:pPr>
        <w:keepNext w:val="0"/>
        <w:keepLines w:val="0"/>
        <w:pageBreakBefore w:val="0"/>
        <w:widowControl w:val="0"/>
        <w:kinsoku/>
        <w:wordWrap/>
        <w:overflowPunct/>
        <w:topLinePunct w:val="0"/>
        <w:autoSpaceDE/>
        <w:autoSpaceDN/>
        <w:bidi w:val="0"/>
        <w:adjustRightInd w:val="0"/>
        <w:snapToGrid w:val="0"/>
        <w:spacing w:line="579" w:lineRule="exact"/>
        <w:ind w:firstLine="5600" w:firstLineChars="1750"/>
        <w:jc w:val="left"/>
        <w:textAlignment w:val="top"/>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3</w:t>
      </w:r>
      <w:r>
        <w:rPr>
          <w:rFonts w:eastAsia="方正仿宋_GBK"/>
          <w:sz w:val="32"/>
          <w:szCs w:val="32"/>
        </w:rPr>
        <w:t>月</w:t>
      </w:r>
      <w:r>
        <w:rPr>
          <w:rFonts w:hint="eastAsia" w:eastAsia="方正仿宋_GBK"/>
          <w:sz w:val="32"/>
          <w:szCs w:val="32"/>
          <w:lang w:val="en-US" w:eastAsia="zh-CN"/>
        </w:rPr>
        <w:t>4</w:t>
      </w:r>
      <w:bookmarkStart w:id="2" w:name="_GoBack"/>
      <w:bookmarkEnd w:id="2"/>
      <w:r>
        <w:rPr>
          <w:rFonts w:eastAsia="方正仿宋_GBK"/>
          <w:sz w:val="32"/>
          <w:szCs w:val="32"/>
        </w:rPr>
        <w:t>日</w:t>
      </w:r>
    </w:p>
    <w:sectPr>
      <w:footerReference r:id="rId3" w:type="default"/>
      <w:footerReference r:id="rId4" w:type="even"/>
      <w:pgSz w:w="11907" w:h="16840"/>
      <w:pgMar w:top="1587" w:right="1361" w:bottom="1474" w:left="1474" w:header="851" w:footer="992" w:gutter="0"/>
      <w:pgNumType w:fmt="decimal"/>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aco">
    <w:altName w:val="Courier New"/>
    <w:panose1 w:val="00000000000000000000"/>
    <w:charset w:val="00"/>
    <w:family w:val="auto"/>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mc:AlternateContent>
        <mc:Choice Requires="wps">
          <w:drawing>
            <wp:anchor distT="0" distB="0" distL="113665" distR="113665" simplePos="0" relativeHeight="251659264" behindDoc="0" locked="0" layoutInCell="1" allowOverlap="1">
              <wp:simplePos x="0" y="0"/>
              <wp:positionH relativeFrom="margin">
                <wp:posOffset>5204460</wp:posOffset>
              </wp:positionH>
              <wp:positionV relativeFrom="paragraph">
                <wp:posOffset>-153035</wp:posOffset>
              </wp:positionV>
              <wp:extent cx="570230" cy="257175"/>
              <wp:effectExtent l="0" t="0" r="0" b="0"/>
              <wp:wrapNone/>
              <wp:docPr id="1" name="矩形 1"/>
              <wp:cNvGraphicFramePr/>
              <a:graphic xmlns:a="http://schemas.openxmlformats.org/drawingml/2006/main">
                <a:graphicData uri="http://schemas.microsoft.com/office/word/2010/wordprocessingShape">
                  <wps:wsp>
                    <wps:cNvSpPr/>
                    <wps:spPr>
                      <a:xfrm>
                        <a:off x="0" y="0"/>
                        <a:ext cx="570229" cy="257175"/>
                      </a:xfrm>
                      <a:prstGeom prst="rect">
                        <a:avLst/>
                      </a:prstGeom>
                      <a:noFill/>
                      <a:ln w="9525" cap="flat" cmpd="sng">
                        <a:noFill/>
                        <a:prstDash val="solid"/>
                        <a:miter/>
                      </a:ln>
                    </wps:spPr>
                    <wps:txbx>
                      <w:txbxContent>
                        <w:p>
                          <w:pPr>
                            <w:pStyle w:val="7"/>
                            <w:rPr>
                              <w:rFonts w:ascii="方正仿宋_GBK" w:eastAsia="方正仿宋_GBK" w:cs="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 MERGEFORMAT </w:instrText>
                          </w:r>
                          <w:r>
                            <w:rPr>
                              <w:rFonts w:ascii="方正仿宋_GBK" w:eastAsia="方正仿宋_GBK" w:cs="方正仿宋_GBK"/>
                              <w:sz w:val="28"/>
                              <w:szCs w:val="28"/>
                            </w:rPr>
                            <w:fldChar w:fldCharType="separate"/>
                          </w:r>
                          <w:r>
                            <w:rPr>
                              <w:rFonts w:ascii="方正仿宋_GBK" w:eastAsia="方正仿宋_GBK" w:cs="方正仿宋_GBK"/>
                              <w:sz w:val="28"/>
                              <w:szCs w:val="28"/>
                            </w:rPr>
                            <w:t>- 1 -</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txbxContent>
                    </wps:txbx>
                    <wps:bodyPr vert="horz" wrap="square" lIns="0" tIns="0" rIns="0" bIns="0" anchor="t" anchorCtr="0" upright="1">
                      <a:noAutofit/>
                    </wps:bodyPr>
                  </wps:wsp>
                </a:graphicData>
              </a:graphic>
            </wp:anchor>
          </w:drawing>
        </mc:Choice>
        <mc:Fallback>
          <w:pict>
            <v:rect id="_x0000_s1026" o:spid="_x0000_s1026" o:spt="1" style="position:absolute;left:0pt;margin-left:409.8pt;margin-top:-12.05pt;height:20.25pt;width:44.9pt;mso-position-horizontal-relative:margin;z-index:251659264;mso-width-relative:page;mso-height-relative:page;" filled="f" stroked="f" coordsize="21600,21600" o:gfxdata="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oQd/aAAAACgEAAA8AAAAAAAAAAQAgAAAAIgAAAGRycy9k&#10;b3ducmV2LnhtbFBLAQIUABQAAAAIAIdO4kAHvNfFAAIAAPMDAAAOAAAAAAAAAAEAIAAAACkBAABk&#10;cnMvZTJvRG9jLnhtbFBLBQYAAAAABgAGAFkBAACbBQAAAAA=&#10;">
              <v:fill on="f" focussize="0,0"/>
              <v:stroke on="f" joinstyle="miter"/>
              <v:imagedata o:title=""/>
              <o:lock v:ext="edit" aspectratio="f"/>
              <v:textbox inset="0mm,0mm,0mm,0mm">
                <w:txbxContent>
                  <w:p>
                    <w:pPr>
                      <w:pStyle w:val="7"/>
                      <w:rPr>
                        <w:rFonts w:ascii="方正仿宋_GBK" w:eastAsia="方正仿宋_GBK" w:cs="方正仿宋_GBK"/>
                        <w:sz w:val="28"/>
                        <w:szCs w:val="28"/>
                      </w:rPr>
                    </w:pPr>
                    <w:r>
                      <w:rPr>
                        <w:rFonts w:ascii="方正仿宋_GBK" w:eastAsia="方正仿宋_GBK" w:cs="方正仿宋_GBK"/>
                        <w:sz w:val="28"/>
                        <w:szCs w:val="28"/>
                      </w:rPr>
                      <w:t xml:space="preserve">— </w:t>
                    </w:r>
                    <w:r>
                      <w:rPr>
                        <w:rFonts w:ascii="方正仿宋_GBK" w:eastAsia="方正仿宋_GBK" w:cs="方正仿宋_GBK"/>
                        <w:sz w:val="28"/>
                        <w:szCs w:val="28"/>
                      </w:rPr>
                      <w:fldChar w:fldCharType="begin"/>
                    </w:r>
                    <w:r>
                      <w:rPr>
                        <w:rFonts w:ascii="方正仿宋_GBK" w:eastAsia="方正仿宋_GBK" w:cs="方正仿宋_GBK"/>
                        <w:sz w:val="28"/>
                        <w:szCs w:val="28"/>
                      </w:rPr>
                      <w:instrText xml:space="preserve"> PAGE  \* MERGEFORMAT </w:instrText>
                    </w:r>
                    <w:r>
                      <w:rPr>
                        <w:rFonts w:ascii="方正仿宋_GBK" w:eastAsia="方正仿宋_GBK" w:cs="方正仿宋_GBK"/>
                        <w:sz w:val="28"/>
                        <w:szCs w:val="28"/>
                      </w:rPr>
                      <w:fldChar w:fldCharType="separate"/>
                    </w:r>
                    <w:r>
                      <w:rPr>
                        <w:rFonts w:ascii="方正仿宋_GBK" w:eastAsia="方正仿宋_GBK" w:cs="方正仿宋_GBK"/>
                        <w:sz w:val="28"/>
                        <w:szCs w:val="28"/>
                      </w:rPr>
                      <w:t>- 1 -</w:t>
                    </w:r>
                    <w:r>
                      <w:rPr>
                        <w:rFonts w:ascii="方正仿宋_GBK" w:eastAsia="方正仿宋_GBK" w:cs="方正仿宋_GBK"/>
                        <w:sz w:val="28"/>
                        <w:szCs w:val="28"/>
                      </w:rPr>
                      <w:fldChar w:fldCharType="end"/>
                    </w:r>
                    <w:r>
                      <w:rPr>
                        <w:rFonts w:ascii="方正仿宋_GBK" w:eastAsia="方正仿宋_GBK" w:cs="方正仿宋_GBK"/>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rPr>
        <w:rStyle w:val="13"/>
      </w:rPr>
    </w:pPr>
    <w:r>
      <w:rPr>
        <w:rStyle w:val="13"/>
      </w:rPr>
      <w:fldChar w:fldCharType="begin"/>
    </w:r>
    <w:r>
      <w:rPr>
        <w:rStyle w:val="13"/>
      </w:rPr>
      <w:instrText xml:space="preserve">PAGE  </w:instrText>
    </w:r>
    <w:r>
      <w:fldChar w:fldCharType="separate"/>
    </w:r>
    <w:r>
      <w:fldChar w:fldCharType="end"/>
    </w:r>
  </w:p>
  <w:p>
    <w:pPr>
      <w:pStyle w:val="7"/>
      <w:tabs>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05"/>
  <w:drawingGridVerticalSpacing w:val="222"/>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ODE3MjdjYzhiZjA5ZTMwOGYxNjM5OTc2OWNmMTc0OGMifQ=="/>
  </w:docVars>
  <w:rsids>
    <w:rsidRoot w:val="00000000"/>
    <w:rsid w:val="029E4F2A"/>
    <w:rsid w:val="031C0674"/>
    <w:rsid w:val="05E530D0"/>
    <w:rsid w:val="06513AE4"/>
    <w:rsid w:val="08B46BC8"/>
    <w:rsid w:val="09BA6342"/>
    <w:rsid w:val="09D50527"/>
    <w:rsid w:val="0C9D6A11"/>
    <w:rsid w:val="110C4138"/>
    <w:rsid w:val="184C497D"/>
    <w:rsid w:val="1AF05A5C"/>
    <w:rsid w:val="1D5E1AE9"/>
    <w:rsid w:val="1FB77D3E"/>
    <w:rsid w:val="21325EA1"/>
    <w:rsid w:val="223F476A"/>
    <w:rsid w:val="228F6446"/>
    <w:rsid w:val="247E1F51"/>
    <w:rsid w:val="2D13678B"/>
    <w:rsid w:val="34441586"/>
    <w:rsid w:val="36291986"/>
    <w:rsid w:val="377B3758"/>
    <w:rsid w:val="389950F6"/>
    <w:rsid w:val="396653D5"/>
    <w:rsid w:val="4A630034"/>
    <w:rsid w:val="4A9B332A"/>
    <w:rsid w:val="4BE331DB"/>
    <w:rsid w:val="4E9C34E3"/>
    <w:rsid w:val="4EA1456E"/>
    <w:rsid w:val="4FFF2102"/>
    <w:rsid w:val="5003580C"/>
    <w:rsid w:val="5455724E"/>
    <w:rsid w:val="57DD6DEE"/>
    <w:rsid w:val="58050DA1"/>
    <w:rsid w:val="5E873079"/>
    <w:rsid w:val="646709F5"/>
    <w:rsid w:val="6511133C"/>
    <w:rsid w:val="6EB70A6D"/>
    <w:rsid w:val="6FF96D1A"/>
    <w:rsid w:val="755367E0"/>
    <w:rsid w:val="76C07975"/>
    <w:rsid w:val="79005F3B"/>
    <w:rsid w:val="7EEF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kern w:val="44"/>
      <w:sz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Arial" w:hAnsi="Arial" w:eastAsia="黑体"/>
      <w:b/>
      <w:sz w:val="20"/>
    </w:rPr>
  </w:style>
  <w:style w:type="paragraph" w:styleId="4">
    <w:name w:val="heading 3"/>
    <w:basedOn w:val="1"/>
    <w:next w:val="1"/>
    <w:autoRedefine/>
    <w:qFormat/>
    <w:uiPriority w:val="0"/>
    <w:pPr>
      <w:keepNext/>
      <w:keepLines/>
      <w:widowControl w:val="0"/>
      <w:spacing w:before="260" w:after="260" w:line="415" w:lineRule="auto"/>
      <w:outlineLvl w:val="2"/>
    </w:pPr>
    <w:rPr>
      <w:b/>
      <w:sz w:val="20"/>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index 6"/>
    <w:basedOn w:val="1"/>
    <w:next w:val="1"/>
    <w:autoRedefine/>
    <w:qFormat/>
    <w:uiPriority w:val="0"/>
    <w:pPr>
      <w:ind w:left="2100"/>
    </w:pPr>
  </w:style>
  <w:style w:type="paragraph" w:styleId="6">
    <w:name w:val="Body Text"/>
    <w:basedOn w:val="1"/>
    <w:next w:val="5"/>
    <w:autoRedefine/>
    <w:qFormat/>
    <w:uiPriority w:val="0"/>
    <w:pPr>
      <w:autoSpaceDE w:val="0"/>
      <w:autoSpaceDN w:val="0"/>
      <w:jc w:val="left"/>
    </w:pPr>
    <w:rPr>
      <w:rFonts w:ascii="宋体" w:hAnsi="宋体" w:cs="宋体"/>
      <w:kern w:val="0"/>
      <w:sz w:val="33"/>
      <w:szCs w:val="33"/>
      <w:lang w:val="zh-CN" w:bidi="zh-CN"/>
    </w:rPr>
  </w:style>
  <w:style w:type="paragraph" w:styleId="7">
    <w:name w:val="footer"/>
    <w:next w:val="1"/>
    <w:autoRedefine/>
    <w:qFormat/>
    <w:uiPriority w:val="0"/>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宋体" w:eastAsia="宋体"/>
      <w:sz w:val="24"/>
    </w:rPr>
  </w:style>
  <w:style w:type="character" w:styleId="12">
    <w:name w:val="Strong"/>
    <w:basedOn w:val="11"/>
    <w:autoRedefine/>
    <w:qFormat/>
    <w:uiPriority w:val="0"/>
    <w:rPr>
      <w:b/>
      <w:color w:val="FFFFFF"/>
      <w:bdr w:val="single" w:color="DBECFF" w:sz="6" w:space="0"/>
      <w:shd w:val="clear" w:color="auto" w:fill="1580C8"/>
    </w:rPr>
  </w:style>
  <w:style w:type="character" w:styleId="13">
    <w:name w:val="page number"/>
    <w:autoRedefine/>
    <w:qFormat/>
    <w:uiPriority w:val="0"/>
  </w:style>
  <w:style w:type="character" w:styleId="14">
    <w:name w:val="FollowedHyperlink"/>
    <w:basedOn w:val="11"/>
    <w:autoRedefine/>
    <w:qFormat/>
    <w:uiPriority w:val="0"/>
    <w:rPr>
      <w:color w:val="0E90D2"/>
      <w:u w:val="none"/>
    </w:rPr>
  </w:style>
  <w:style w:type="character" w:styleId="15">
    <w:name w:val="Emphasis"/>
    <w:basedOn w:val="11"/>
    <w:autoRedefine/>
    <w:qFormat/>
    <w:uiPriority w:val="0"/>
  </w:style>
  <w:style w:type="character" w:styleId="16">
    <w:name w:val="Hyperlink"/>
    <w:autoRedefine/>
    <w:qFormat/>
    <w:uiPriority w:val="0"/>
    <w:rPr>
      <w:color w:val="136EC2"/>
      <w:u w:val="single"/>
    </w:rPr>
  </w:style>
  <w:style w:type="character" w:styleId="17">
    <w:name w:val="HTML Code"/>
    <w:basedOn w:val="11"/>
    <w:autoRedefine/>
    <w:qFormat/>
    <w:uiPriority w:val="0"/>
    <w:rPr>
      <w:rFonts w:ascii="Monaco" w:hAnsi="Monaco" w:eastAsia="Monaco" w:cs="Monaco"/>
      <w:color w:val="C7254E"/>
      <w:sz w:val="21"/>
      <w:szCs w:val="21"/>
      <w:shd w:val="clear" w:color="auto" w:fill="F8F8F8"/>
      <w:lang w:bidi="ar-SA"/>
    </w:rPr>
  </w:style>
  <w:style w:type="character" w:styleId="18">
    <w:name w:val="HTML Keyboard"/>
    <w:basedOn w:val="11"/>
    <w:autoRedefine/>
    <w:qFormat/>
    <w:uiPriority w:val="0"/>
    <w:rPr>
      <w:rFonts w:ascii="Monaco" w:hAnsi="Monaco" w:eastAsia="Monaco" w:cs="Monaco"/>
      <w:sz w:val="21"/>
      <w:szCs w:val="21"/>
      <w:lang w:bidi="ar-SA"/>
    </w:rPr>
  </w:style>
  <w:style w:type="character" w:styleId="19">
    <w:name w:val="HTML Sample"/>
    <w:basedOn w:val="11"/>
    <w:autoRedefine/>
    <w:qFormat/>
    <w:uiPriority w:val="0"/>
    <w:rPr>
      <w:rFonts w:ascii="Monaco" w:hAnsi="Monaco" w:eastAsia="Monaco" w:cs="Monaco"/>
      <w:sz w:val="21"/>
      <w:szCs w:val="21"/>
      <w:lang w:bidi="ar-SA"/>
    </w:rPr>
  </w:style>
  <w:style w:type="paragraph" w:customStyle="1" w:styleId="20">
    <w:name w:val="默认"/>
    <w:autoRedefine/>
    <w:qFormat/>
    <w:uiPriority w:val="0"/>
    <w:rPr>
      <w:rFonts w:ascii="Helvetica" w:hAnsi="Helvetica" w:eastAsia="宋体" w:cs="Helvetica"/>
      <w:color w:val="000000"/>
      <w:sz w:val="22"/>
      <w:szCs w:val="22"/>
      <w:lang w:val="en-US" w:eastAsia="zh-CN" w:bidi="ar-SA"/>
    </w:rPr>
  </w:style>
  <w:style w:type="character" w:customStyle="1" w:styleId="21">
    <w:name w:val="am-active19"/>
    <w:basedOn w:val="11"/>
    <w:autoRedefine/>
    <w:qFormat/>
    <w:uiPriority w:val="0"/>
    <w:rPr>
      <w:color w:val="C10802"/>
    </w:rPr>
  </w:style>
  <w:style w:type="character" w:customStyle="1" w:styleId="22">
    <w:name w:val="gwds_nopic"/>
    <w:basedOn w:val="11"/>
    <w:autoRedefine/>
    <w:qFormat/>
    <w:uiPriority w:val="0"/>
  </w:style>
  <w:style w:type="character" w:customStyle="1" w:styleId="23">
    <w:name w:val="am-active11"/>
    <w:basedOn w:val="11"/>
    <w:autoRedefine/>
    <w:qFormat/>
    <w:uiPriority w:val="0"/>
    <w:rPr>
      <w:color w:val="C10802"/>
    </w:rPr>
  </w:style>
  <w:style w:type="character" w:customStyle="1" w:styleId="24">
    <w:name w:val="am-datepicker-old3"/>
    <w:basedOn w:val="11"/>
    <w:autoRedefine/>
    <w:qFormat/>
    <w:uiPriority w:val="0"/>
    <w:rPr>
      <w:color w:val="FFAD6D"/>
    </w:rPr>
  </w:style>
  <w:style w:type="character" w:customStyle="1" w:styleId="25">
    <w:name w:val="am-active18"/>
    <w:basedOn w:val="11"/>
    <w:autoRedefine/>
    <w:qFormat/>
    <w:uiPriority w:val="0"/>
    <w:rPr>
      <w:color w:val="1B961B"/>
    </w:rPr>
  </w:style>
  <w:style w:type="character" w:customStyle="1" w:styleId="26">
    <w:name w:val="am-datepicker-old"/>
    <w:basedOn w:val="11"/>
    <w:autoRedefine/>
    <w:qFormat/>
    <w:uiPriority w:val="0"/>
    <w:rPr>
      <w:color w:val="89D7FF"/>
    </w:rPr>
  </w:style>
  <w:style w:type="character" w:customStyle="1" w:styleId="27">
    <w:name w:val="gwds_nopic2"/>
    <w:basedOn w:val="11"/>
    <w:autoRedefine/>
    <w:qFormat/>
    <w:uiPriority w:val="0"/>
  </w:style>
  <w:style w:type="character" w:customStyle="1" w:styleId="28">
    <w:name w:val="left"/>
    <w:basedOn w:val="11"/>
    <w:autoRedefine/>
    <w:qFormat/>
    <w:uiPriority w:val="0"/>
  </w:style>
  <w:style w:type="character" w:customStyle="1" w:styleId="29">
    <w:name w:val="am-active10"/>
    <w:basedOn w:val="11"/>
    <w:autoRedefine/>
    <w:qFormat/>
    <w:uiPriority w:val="0"/>
    <w:rPr>
      <w:color w:val="1B961B"/>
    </w:rPr>
  </w:style>
  <w:style w:type="character" w:customStyle="1" w:styleId="30">
    <w:name w:val="am-active17"/>
    <w:basedOn w:val="11"/>
    <w:autoRedefine/>
    <w:qFormat/>
    <w:uiPriority w:val="0"/>
    <w:rPr>
      <w:color w:val="0084C7"/>
      <w:shd w:val="clear" w:color="auto" w:fill="F0F0F0"/>
    </w:rPr>
  </w:style>
  <w:style w:type="character" w:customStyle="1" w:styleId="31">
    <w:name w:val="hover20"/>
    <w:basedOn w:val="11"/>
    <w:autoRedefine/>
    <w:qFormat/>
    <w:uiPriority w:val="0"/>
    <w:rPr>
      <w:shd w:val="clear" w:color="auto" w:fill="F0F0F0"/>
    </w:rPr>
  </w:style>
  <w:style w:type="character" w:customStyle="1" w:styleId="32">
    <w:name w:val="am-active12"/>
    <w:basedOn w:val="11"/>
    <w:autoRedefine/>
    <w:qFormat/>
    <w:uiPriority w:val="0"/>
    <w:rPr>
      <w:color w:val="AA4B00"/>
    </w:rPr>
  </w:style>
  <w:style w:type="character" w:customStyle="1" w:styleId="33">
    <w:name w:val="am-disabled"/>
    <w:basedOn w:val="11"/>
    <w:autoRedefine/>
    <w:qFormat/>
    <w:uiPriority w:val="0"/>
    <w:rPr>
      <w:color w:val="999999"/>
      <w:shd w:val="clear" w:color="auto" w:fill="FAFAFA"/>
    </w:rPr>
  </w:style>
  <w:style w:type="character" w:customStyle="1" w:styleId="34">
    <w:name w:val="hover18"/>
    <w:basedOn w:val="11"/>
    <w:autoRedefine/>
    <w:qFormat/>
    <w:uiPriority w:val="0"/>
    <w:rPr>
      <w:shd w:val="clear" w:color="auto" w:fill="F0F0F0"/>
    </w:rPr>
  </w:style>
  <w:style w:type="character" w:customStyle="1" w:styleId="35">
    <w:name w:val="am-datepicker-hour"/>
    <w:basedOn w:val="11"/>
    <w:autoRedefine/>
    <w:qFormat/>
    <w:uiPriority w:val="0"/>
  </w:style>
  <w:style w:type="character" w:customStyle="1" w:styleId="36">
    <w:name w:val="am-datepicker-old1"/>
    <w:basedOn w:val="11"/>
    <w:autoRedefine/>
    <w:qFormat/>
    <w:uiPriority w:val="0"/>
    <w:rPr>
      <w:color w:val="94DF94"/>
    </w:rPr>
  </w:style>
  <w:style w:type="character" w:customStyle="1" w:styleId="37">
    <w:name w:val="am-active20"/>
    <w:basedOn w:val="11"/>
    <w:autoRedefine/>
    <w:qFormat/>
    <w:uiPriority w:val="0"/>
    <w:rPr>
      <w:color w:val="AA4B00"/>
    </w:rPr>
  </w:style>
  <w:style w:type="character" w:customStyle="1" w:styleId="38">
    <w:name w:val="gwds_nopic1"/>
    <w:basedOn w:val="11"/>
    <w:autoRedefine/>
    <w:qFormat/>
    <w:uiPriority w:val="0"/>
  </w:style>
  <w:style w:type="character" w:customStyle="1" w:styleId="39">
    <w:name w:val="am-datepicker-old2"/>
    <w:basedOn w:val="11"/>
    <w:autoRedefine/>
    <w:qFormat/>
    <w:uiPriority w:val="0"/>
    <w:rPr>
      <w:color w:val="F59490"/>
    </w:rPr>
  </w:style>
  <w:style w:type="character" w:customStyle="1" w:styleId="40">
    <w:name w:val="am-active9"/>
    <w:basedOn w:val="11"/>
    <w:autoRedefine/>
    <w:qFormat/>
    <w:uiPriority w:val="0"/>
    <w:rPr>
      <w:color w:val="0084C7"/>
      <w:shd w:val="clear" w:color="auto" w:fill="F0F0F0"/>
    </w:rPr>
  </w:style>
  <w:style w:type="character" w:customStyle="1" w:styleId="41">
    <w:name w:val="right"/>
    <w:basedOn w:val="11"/>
    <w:autoRedefine/>
    <w:qFormat/>
    <w:uiPriority w:val="0"/>
  </w:style>
  <w:style w:type="paragraph" w:customStyle="1" w:styleId="42">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6</Pages>
  <Words>3116</Words>
  <Characters>3347</Characters>
  <Lines>111</Lines>
  <Paragraphs>41</Paragraphs>
  <TotalTime>13</TotalTime>
  <ScaleCrop>false</ScaleCrop>
  <LinksUpToDate>false</LinksUpToDate>
  <CharactersWithSpaces>3366</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2020-09-08T08:04:00Z</dcterms:created>
  <dc:creator>微软用户</dc:creator>
  <cp:lastModifiedBy>两片片</cp:lastModifiedBy>
  <cp:lastPrinted>2024-03-11T03:17:26Z</cp:lastPrinted>
  <dcterms:modified xsi:type="dcterms:W3CDTF">2024-03-11T08:37:40Z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2052-11.1.0.8214</vt:lpwstr>
  </property>
  <property fmtid="{D5CDD505-2E9C-101B-9397-08002B2CF9AE}" pid="3" name="KSOProductBuildVer">
    <vt:lpwstr>2052-12.1.0.16399</vt:lpwstr>
  </property>
  <property fmtid="{D5CDD505-2E9C-101B-9397-08002B2CF9AE}" pid="4" name="ICV">
    <vt:lpwstr>11A42BD4124B42F5B143DE07410047BA_13</vt:lpwstr>
  </property>
</Properties>
</file>