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snapToGrid w:val="0"/>
        <w:spacing w:after="100" w:afterAutospacing="0" w:line="560" w:lineRule="exact"/>
        <w:contextualSpacing w:val="0"/>
        <w:jc w:val="center"/>
        <w:rPr>
          <w:rFonts w:hint="eastAsia" w:ascii="方正小标宋_GBK" w:eastAsia="方正小标宋_GBK" w:cs="宋体"/>
          <w:vanish w:val="0"/>
          <w:kern w:val="0"/>
          <w:sz w:val="44"/>
          <w:szCs w:val="44"/>
        </w:rPr>
      </w:pPr>
      <w:r>
        <w:rPr>
          <w:rFonts w:hint="eastAsia" w:ascii="方正小标宋_GBK" w:eastAsia="方正小标宋_GBK" w:cs="宋体"/>
          <w:vanish w:val="0"/>
          <w:kern w:val="0"/>
          <w:sz w:val="44"/>
          <w:szCs w:val="44"/>
          <w:shd w:val="clear" w:color="auto" w:fill="FFFFFF"/>
        </w:rPr>
        <w:t>重庆市江津区清溪沟水库管理所</w:t>
      </w:r>
    </w:p>
    <w:p>
      <w:pPr>
        <w:pBdr>
          <w:top w:val="none" w:color="auto" w:sz="0" w:space="0"/>
          <w:left w:val="none" w:color="auto" w:sz="0" w:space="0"/>
          <w:bottom w:val="none" w:color="auto" w:sz="0" w:space="0"/>
          <w:right w:val="none" w:color="auto" w:sz="0" w:space="0"/>
        </w:pBdr>
        <w:spacing w:line="600" w:lineRule="exact"/>
        <w:jc w:val="center"/>
        <w:rPr>
          <w:rFonts w:hint="eastAsia" w:ascii="华文中宋" w:eastAsia="华文中宋"/>
          <w:vanish w:val="0"/>
          <w:kern w:val="2"/>
          <w:sz w:val="44"/>
          <w:szCs w:val="44"/>
        </w:rPr>
      </w:pPr>
      <w:r>
        <w:rPr>
          <w:rFonts w:hint="eastAsia" w:ascii="华文中宋" w:eastAsia="华文中宋"/>
          <w:vanish w:val="0"/>
          <w:kern w:val="2"/>
          <w:sz w:val="44"/>
          <w:szCs w:val="44"/>
        </w:rPr>
        <w:t>2023年预算情况说明</w:t>
      </w:r>
    </w:p>
    <w:p>
      <w:pPr>
        <w:pBdr>
          <w:top w:val="none" w:color="auto" w:sz="0" w:space="0"/>
          <w:left w:val="none" w:color="auto" w:sz="0" w:space="0"/>
          <w:bottom w:val="none" w:color="auto" w:sz="0" w:space="0"/>
          <w:right w:val="none" w:color="auto" w:sz="0" w:space="0"/>
        </w:pBdr>
        <w:spacing w:line="600" w:lineRule="exact"/>
        <w:ind w:firstLine="880" w:firstLineChars="200"/>
        <w:jc w:val="center"/>
        <w:rPr>
          <w:rFonts w:hint="eastAsia" w:ascii="华文中宋" w:eastAsia="华文中宋"/>
          <w:vanish w:val="0"/>
          <w:kern w:val="2"/>
          <w:sz w:val="44"/>
          <w:szCs w:val="44"/>
        </w:rPr>
      </w:pPr>
    </w:p>
    <w:p>
      <w:pPr>
        <w:numPr>
          <w:ilvl w:val="0"/>
          <w:numId w:val="1"/>
        </w:numPr>
        <w:pBdr>
          <w:top w:val="none" w:color="auto" w:sz="0" w:space="0"/>
          <w:left w:val="none" w:color="auto" w:sz="0" w:space="0"/>
          <w:bottom w:val="none" w:color="auto" w:sz="0" w:space="0"/>
          <w:right w:val="none" w:color="auto" w:sz="0" w:space="0"/>
        </w:pBdr>
        <w:spacing w:line="600" w:lineRule="exact"/>
        <w:ind w:left="0" w:firstLine="640" w:firstLineChars="200"/>
        <w:rPr>
          <w:rFonts w:hint="eastAsia" w:ascii="黑体" w:eastAsia="黑体" w:cs="仿宋_GB2312"/>
          <w:vanish w:val="0"/>
          <w:kern w:val="2"/>
          <w:sz w:val="32"/>
          <w:szCs w:val="32"/>
        </w:rPr>
      </w:pPr>
      <w:r>
        <w:rPr>
          <w:rFonts w:hint="eastAsia" w:ascii="黑体" w:eastAsia="黑体" w:cs="仿宋_GB2312"/>
          <w:vanish w:val="0"/>
          <w:kern w:val="2"/>
          <w:sz w:val="32"/>
          <w:szCs w:val="32"/>
        </w:rPr>
        <w:t>单位基本情况</w:t>
      </w:r>
    </w:p>
    <w:p>
      <w:pPr>
        <w:pBdr>
          <w:top w:val="none" w:color="auto" w:sz="0" w:space="0"/>
          <w:left w:val="none" w:color="auto" w:sz="0" w:space="0"/>
          <w:bottom w:val="none" w:color="auto" w:sz="0" w:space="0"/>
          <w:right w:val="none" w:color="auto" w:sz="0" w:space="0"/>
        </w:pBdr>
        <w:spacing w:line="600" w:lineRule="exact"/>
        <w:ind w:firstLine="640" w:firstLineChars="200"/>
        <w:rPr>
          <w:rFonts w:hint="eastAsia" w:ascii="仿宋_GB2312" w:eastAsia="仿宋_GB2312"/>
          <w:vanish w:val="0"/>
          <w:kern w:val="2"/>
          <w:sz w:val="32"/>
          <w:szCs w:val="32"/>
        </w:rPr>
      </w:pPr>
      <w:r>
        <w:rPr>
          <w:rFonts w:hint="eastAsia" w:ascii="仿宋_GB2312" w:eastAsia="仿宋_GB2312"/>
          <w:vanish w:val="0"/>
          <w:kern w:val="2"/>
          <w:sz w:val="32"/>
          <w:szCs w:val="32"/>
        </w:rPr>
        <w:t>（一）职能职责。</w:t>
      </w:r>
    </w:p>
    <w:p>
      <w:pPr>
        <w:pBdr>
          <w:top w:val="none" w:color="auto" w:sz="0" w:space="0"/>
          <w:left w:val="none" w:color="auto" w:sz="0" w:space="0"/>
          <w:bottom w:val="none" w:color="auto" w:sz="0" w:space="0"/>
          <w:right w:val="none" w:color="auto" w:sz="0" w:space="0"/>
        </w:pBdr>
        <w:shd w:val="clear" w:color="auto" w:fill="auto"/>
        <w:adjustRightInd/>
        <w:snapToGrid w:val="0"/>
        <w:spacing w:line="560" w:lineRule="exact"/>
        <w:ind w:firstLine="640" w:firstLineChars="200"/>
        <w:contextualSpacing w:val="0"/>
        <w:rPr>
          <w:rFonts w:hint="eastAsia" w:ascii="方正仿宋_GBK" w:eastAsia="方正仿宋_GBK" w:cs="仿宋_GB2312"/>
          <w:vanish w:val="0"/>
          <w:kern w:val="2"/>
          <w:sz w:val="32"/>
          <w:szCs w:val="32"/>
        </w:rPr>
      </w:pPr>
      <w:r>
        <w:rPr>
          <w:rFonts w:hint="eastAsia" w:ascii="方正仿宋_GBK" w:eastAsia="方正仿宋_GBK" w:cs="仿宋_GB2312"/>
          <w:vanish w:val="0"/>
          <w:kern w:val="2"/>
          <w:sz w:val="32"/>
          <w:szCs w:val="32"/>
        </w:rPr>
        <w:t>重庆市江津区清溪沟水库管理所其主要职责任务和工作项目是：1.宣传贯彻水利工程管理的法律法规和有关政策；2.负责清溪沟水库的日常管理，制定管理规则和操作规程并严格执行；3.负责维修养护清溪沟水库及其附属设施设备；4.负责制定清溪沟水库防洪预案和度汛措施；5.承办行政主管部门交办的其他任务。</w:t>
      </w:r>
    </w:p>
    <w:p>
      <w:pPr>
        <w:pBdr>
          <w:top w:val="none" w:color="auto" w:sz="0" w:space="0"/>
          <w:left w:val="none" w:color="auto" w:sz="0" w:space="0"/>
          <w:bottom w:val="none" w:color="auto" w:sz="0" w:space="0"/>
          <w:right w:val="none" w:color="auto" w:sz="0" w:space="0"/>
        </w:pBdr>
        <w:shd w:val="clear" w:color="auto" w:fill="auto"/>
        <w:adjustRightInd/>
        <w:snapToGrid w:val="0"/>
        <w:spacing w:line="560" w:lineRule="exact"/>
        <w:ind w:firstLine="640" w:firstLineChars="200"/>
        <w:contextualSpacing w:val="0"/>
        <w:rPr>
          <w:rFonts w:hint="eastAsia" w:ascii="方正仿宋_GBK" w:eastAsia="方正仿宋_GBK" w:cs="仿宋_GB2312"/>
          <w:vanish w:val="0"/>
          <w:kern w:val="2"/>
          <w:sz w:val="32"/>
          <w:szCs w:val="32"/>
        </w:rPr>
      </w:pPr>
      <w:r>
        <w:rPr>
          <w:rFonts w:hint="eastAsia" w:ascii="方正仿宋_GBK" w:eastAsia="方正仿宋_GBK" w:cs="仿宋_GB2312"/>
          <w:vanish w:val="0"/>
          <w:kern w:val="2"/>
          <w:sz w:val="32"/>
          <w:szCs w:val="32"/>
        </w:rPr>
        <w:t>（二）单位构成。重庆市江津区清溪沟水库管理所是江津区水利局下属事业单位，经费来源为财政全额拨款，单位规格为正科级。</w:t>
      </w:r>
    </w:p>
    <w:p>
      <w:pPr>
        <w:numPr>
          <w:ilvl w:val="0"/>
          <w:numId w:val="1"/>
        </w:numPr>
        <w:pBdr>
          <w:top w:val="none" w:color="auto" w:sz="0" w:space="0"/>
          <w:left w:val="none" w:color="auto" w:sz="0" w:space="0"/>
          <w:bottom w:val="none" w:color="auto" w:sz="0" w:space="0"/>
          <w:right w:val="none" w:color="auto" w:sz="0" w:space="0"/>
        </w:pBdr>
        <w:spacing w:line="600" w:lineRule="exact"/>
        <w:ind w:left="0" w:firstLine="640" w:firstLineChars="200"/>
        <w:rPr>
          <w:rFonts w:hint="eastAsia" w:ascii="黑体" w:eastAsia="黑体" w:cs="仿宋_GB2312"/>
          <w:vanish w:val="0"/>
          <w:kern w:val="2"/>
          <w:sz w:val="32"/>
          <w:szCs w:val="32"/>
        </w:rPr>
      </w:pPr>
      <w:r>
        <w:rPr>
          <w:rFonts w:hint="eastAsia" w:ascii="黑体" w:eastAsia="黑体" w:cs="仿宋_GB2312"/>
          <w:vanish w:val="0"/>
          <w:kern w:val="2"/>
          <w:sz w:val="32"/>
          <w:szCs w:val="32"/>
        </w:rPr>
        <w:t>收支总体情况</w:t>
      </w:r>
    </w:p>
    <w:p>
      <w:pPr>
        <w:pBdr>
          <w:top w:val="none" w:color="auto" w:sz="0" w:space="0"/>
          <w:left w:val="none" w:color="auto" w:sz="0" w:space="0"/>
          <w:bottom w:val="none" w:color="auto" w:sz="0" w:space="0"/>
          <w:right w:val="none" w:color="auto" w:sz="0" w:space="0"/>
        </w:pBdr>
        <w:spacing w:line="600" w:lineRule="exact"/>
        <w:ind w:firstLine="640" w:firstLineChars="200"/>
        <w:rPr>
          <w:rFonts w:ascii="Times New Roman" w:hAnsi="Times New Roman" w:eastAsia="仿宋_GB2312"/>
          <w:vanish w:val="0"/>
          <w:kern w:val="2"/>
          <w:sz w:val="32"/>
          <w:szCs w:val="32"/>
        </w:rPr>
      </w:pPr>
      <w:r>
        <w:rPr>
          <w:rFonts w:hint="eastAsia" w:ascii="仿宋_GB2312" w:eastAsia="仿宋_GB2312"/>
          <w:vanish w:val="0"/>
          <w:kern w:val="2"/>
          <w:sz w:val="32"/>
          <w:szCs w:val="32"/>
        </w:rPr>
        <w:t>（一）</w:t>
      </w:r>
      <w:r>
        <w:rPr>
          <w:rFonts w:hint="eastAsia" w:ascii="方正仿宋_GBK" w:eastAsia="方正仿宋_GBK" w:cs="仿宋_GB2312"/>
          <w:vanish w:val="0"/>
          <w:kern w:val="2"/>
          <w:sz w:val="32"/>
          <w:szCs w:val="32"/>
        </w:rPr>
        <w:t>收入预算：2023年年初预算数170.74万元，其中：一般公共预算拨款收入170.74万元，政府性基金预算拨款收入0万元，国有资本经营预算收入0万元，事业收入0万元，事业单位经营收入0万元，其他收入0万元。</w:t>
      </w:r>
    </w:p>
    <w:p>
      <w:pPr>
        <w:pBdr>
          <w:top w:val="none" w:color="auto" w:sz="0" w:space="0"/>
          <w:left w:val="none" w:color="auto" w:sz="0" w:space="0"/>
          <w:bottom w:val="none" w:color="auto" w:sz="0" w:space="0"/>
          <w:right w:val="none" w:color="auto" w:sz="0" w:space="0"/>
        </w:pBdr>
        <w:spacing w:line="600" w:lineRule="exact"/>
        <w:ind w:firstLine="640" w:firstLineChars="200"/>
        <w:rPr>
          <w:rFonts w:hint="eastAsia" w:ascii="仿宋_GB2312" w:eastAsia="仿宋_GB2312"/>
          <w:vanish w:val="0"/>
          <w:kern w:val="2"/>
          <w:sz w:val="32"/>
          <w:szCs w:val="32"/>
        </w:rPr>
      </w:pPr>
      <w:r>
        <w:rPr>
          <w:rFonts w:hint="eastAsia" w:ascii="仿宋_GB2312" w:eastAsia="仿宋_GB2312"/>
          <w:vanish w:val="0"/>
          <w:kern w:val="2"/>
          <w:sz w:val="32"/>
          <w:szCs w:val="32"/>
        </w:rPr>
        <w:t>（二）支</w:t>
      </w:r>
      <w:r>
        <w:rPr>
          <w:rFonts w:hint="eastAsia" w:ascii="方正仿宋_GBK" w:eastAsia="方正仿宋_GBK" w:cs="仿宋_GB2312"/>
          <w:vanish w:val="0"/>
          <w:kern w:val="2"/>
          <w:sz w:val="32"/>
          <w:szCs w:val="32"/>
        </w:rPr>
        <w:t>出预算：2023年年初预算数170.74万元，其中：农林水支出121.31万元，教育支出0.73万元，社会保障和就业支出34.23万元，卫生健康支出8.84万元，住房保障支出 5.63万元。支出较去年减少10.65万元，主要是基本支出减少4.65万元，项目支出减少6万元</w:t>
      </w:r>
      <w:r>
        <w:rPr>
          <w:rFonts w:hint="eastAsia" w:ascii="仿宋_GB2312" w:eastAsia="仿宋_GB2312"/>
          <w:vanish w:val="0"/>
          <w:kern w:val="2"/>
          <w:sz w:val="32"/>
          <w:szCs w:val="32"/>
        </w:rPr>
        <w:t>。</w:t>
      </w:r>
    </w:p>
    <w:p>
      <w:pPr>
        <w:numPr>
          <w:ilvl w:val="0"/>
          <w:numId w:val="1"/>
        </w:numPr>
        <w:pBdr>
          <w:top w:val="none" w:color="auto" w:sz="0" w:space="0"/>
          <w:left w:val="none" w:color="auto" w:sz="0" w:space="0"/>
          <w:bottom w:val="none" w:color="auto" w:sz="0" w:space="0"/>
          <w:right w:val="none" w:color="auto" w:sz="0" w:space="0"/>
        </w:pBdr>
        <w:spacing w:line="600" w:lineRule="exact"/>
        <w:ind w:left="0" w:firstLine="640" w:firstLineChars="200"/>
        <w:rPr>
          <w:rFonts w:hint="eastAsia" w:ascii="黑体" w:eastAsia="黑体" w:cs="仿宋_GB2312"/>
          <w:vanish w:val="0"/>
          <w:kern w:val="2"/>
          <w:sz w:val="32"/>
          <w:szCs w:val="32"/>
        </w:rPr>
      </w:pPr>
      <w:r>
        <w:rPr>
          <w:rFonts w:hint="eastAsia" w:ascii="黑体" w:eastAsia="黑体" w:cs="仿宋_GB2312"/>
          <w:vanish w:val="0"/>
          <w:kern w:val="2"/>
          <w:sz w:val="32"/>
          <w:szCs w:val="32"/>
        </w:rPr>
        <w:t>预算情况说明</w:t>
      </w:r>
    </w:p>
    <w:p>
      <w:pPr>
        <w:pBdr>
          <w:top w:val="none" w:color="auto" w:sz="0" w:space="0"/>
          <w:left w:val="none" w:color="auto" w:sz="0" w:space="0"/>
          <w:bottom w:val="none" w:color="auto" w:sz="0" w:space="0"/>
          <w:right w:val="none" w:color="auto" w:sz="0" w:space="0"/>
        </w:pBdr>
        <w:shd w:val="clear" w:color="auto" w:fill="auto"/>
        <w:adjustRightInd/>
        <w:snapToGrid w:val="0"/>
        <w:spacing w:line="560" w:lineRule="exact"/>
        <w:ind w:firstLine="640" w:firstLineChars="200"/>
        <w:contextualSpacing w:val="0"/>
        <w:rPr>
          <w:rFonts w:hint="eastAsia" w:ascii="方正仿宋_GBK" w:eastAsia="方正仿宋_GBK" w:cs="仿宋_GB2312"/>
          <w:vanish w:val="0"/>
          <w:kern w:val="2"/>
          <w:sz w:val="32"/>
          <w:szCs w:val="32"/>
        </w:rPr>
      </w:pPr>
      <w:r>
        <w:rPr>
          <w:rFonts w:hint="eastAsia" w:ascii="方正仿宋_GBK" w:eastAsia="方正仿宋_GBK" w:cs="仿宋_GB2312"/>
          <w:vanish w:val="0"/>
          <w:kern w:val="2"/>
          <w:sz w:val="32"/>
          <w:szCs w:val="32"/>
        </w:rPr>
        <w:t>2023年一般公共预算财政拨款收入170.74 万元，一般公共预算财政拨款支出170.74万元，比2022年减少10.65  万元。其中：基本支出153.74 万元，比2022年减少4.65万元，主要原因是公用经费综合定额减少，主要用于保障在职人员工资福利及社会保险缴费，对个人和家庭的补助等，保障部门正常运转的各项商品服务支出；项目支出 17万元，比2022年减少6万元，主要原因是水库运行维护经费减少，主要用于水利工程运行与维护等重点工作。</w:t>
      </w:r>
    </w:p>
    <w:p>
      <w:pPr>
        <w:pBdr>
          <w:top w:val="none" w:color="auto" w:sz="0" w:space="0"/>
          <w:left w:val="none" w:color="auto" w:sz="0" w:space="0"/>
          <w:bottom w:val="none" w:color="auto" w:sz="0" w:space="0"/>
          <w:right w:val="none" w:color="auto" w:sz="0" w:space="0"/>
        </w:pBdr>
        <w:shd w:val="clear" w:color="auto" w:fill="auto"/>
        <w:adjustRightInd/>
        <w:snapToGrid w:val="0"/>
        <w:spacing w:line="560" w:lineRule="exact"/>
        <w:ind w:firstLine="640" w:firstLineChars="200"/>
        <w:contextualSpacing w:val="0"/>
        <w:rPr>
          <w:rFonts w:hint="eastAsia" w:ascii="方正仿宋_GBK" w:eastAsia="方正仿宋_GBK" w:cs="仿宋_GB2312"/>
          <w:vanish w:val="0"/>
          <w:kern w:val="2"/>
          <w:sz w:val="32"/>
          <w:szCs w:val="32"/>
        </w:rPr>
      </w:pPr>
      <w:r>
        <w:rPr>
          <w:rFonts w:hint="eastAsia" w:ascii="方正仿宋_GBK" w:eastAsia="方正仿宋_GBK" w:cs="仿宋_GB2312"/>
          <w:vanish w:val="0"/>
          <w:kern w:val="2"/>
          <w:sz w:val="32"/>
          <w:szCs w:val="32"/>
        </w:rPr>
        <w:t>重庆市江津区清溪沟水库管理所2023年无使用政府性基金预算拨款安排的支出。</w:t>
      </w:r>
    </w:p>
    <w:p>
      <w:pPr>
        <w:numPr>
          <w:ilvl w:val="0"/>
          <w:numId w:val="1"/>
        </w:numPr>
        <w:pBdr>
          <w:top w:val="none" w:color="auto" w:sz="0" w:space="0"/>
          <w:left w:val="none" w:color="auto" w:sz="0" w:space="0"/>
          <w:bottom w:val="none" w:color="auto" w:sz="0" w:space="0"/>
          <w:right w:val="none" w:color="auto" w:sz="0" w:space="0"/>
        </w:pBdr>
        <w:spacing w:line="600" w:lineRule="exact"/>
        <w:ind w:left="0" w:firstLine="640" w:firstLineChars="200"/>
        <w:rPr>
          <w:rFonts w:hint="eastAsia" w:ascii="黑体" w:eastAsia="黑体" w:cs="仿宋_GB2312"/>
          <w:vanish w:val="0"/>
          <w:kern w:val="2"/>
          <w:sz w:val="32"/>
          <w:szCs w:val="32"/>
        </w:rPr>
      </w:pPr>
      <w:r>
        <w:rPr>
          <w:rFonts w:hint="eastAsia" w:ascii="黑体" w:eastAsia="黑体" w:cs="仿宋_GB2312"/>
          <w:vanish w:val="0"/>
          <w:kern w:val="2"/>
          <w:sz w:val="32"/>
          <w:szCs w:val="32"/>
        </w:rPr>
        <w:t>“三公”经费情况说明</w:t>
      </w:r>
    </w:p>
    <w:p>
      <w:pPr>
        <w:pBdr>
          <w:top w:val="none" w:color="auto" w:sz="0" w:space="0"/>
          <w:left w:val="none" w:color="auto" w:sz="0" w:space="0"/>
          <w:bottom w:val="none" w:color="auto" w:sz="0" w:space="0"/>
          <w:right w:val="none" w:color="auto" w:sz="0" w:space="0"/>
        </w:pBdr>
        <w:shd w:val="clear" w:color="auto" w:fill="auto"/>
        <w:adjustRightInd/>
        <w:snapToGrid w:val="0"/>
        <w:spacing w:line="560" w:lineRule="exact"/>
        <w:ind w:firstLine="640" w:firstLineChars="200"/>
        <w:contextualSpacing w:val="0"/>
        <w:rPr>
          <w:rFonts w:hint="eastAsia" w:ascii="方正仿宋_GBK" w:eastAsia="方正仿宋_GBK" w:cs="仿宋_GB2312"/>
          <w:vanish w:val="0"/>
          <w:kern w:val="2"/>
          <w:sz w:val="32"/>
          <w:szCs w:val="32"/>
        </w:rPr>
      </w:pPr>
      <w:r>
        <w:rPr>
          <w:rFonts w:hint="eastAsia" w:ascii="方正仿宋_GBK" w:eastAsia="方正仿宋_GBK" w:cs="仿宋_GB2312"/>
          <w:vanish w:val="0"/>
          <w:kern w:val="2"/>
          <w:sz w:val="32"/>
          <w:szCs w:val="32"/>
        </w:rPr>
        <w:t>2023年“三公”经费预算5万元，</w:t>
      </w:r>
      <w:r>
        <w:rPr>
          <w:rFonts w:hint="eastAsia" w:ascii="方正仿宋_GBK" w:eastAsia="方正仿宋_GBK" w:cs="仿宋_GB2312"/>
          <w:vanish w:val="0"/>
          <w:kern w:val="2"/>
          <w:sz w:val="32"/>
          <w:szCs w:val="32"/>
          <w:lang w:val="en-US" w:eastAsia="zh-CN"/>
        </w:rPr>
        <w:t>与上年数一致</w:t>
      </w:r>
      <w:r>
        <w:rPr>
          <w:rFonts w:hint="eastAsia" w:ascii="方正仿宋_GBK" w:eastAsia="方正仿宋_GBK" w:cs="仿宋_GB2312"/>
          <w:vanish w:val="0"/>
          <w:kern w:val="2"/>
          <w:sz w:val="32"/>
          <w:szCs w:val="32"/>
        </w:rPr>
        <w:t>。其中：因公出国（境）费用0万元；公务接待费0万元；公务用车运行维护费5万元，比2022年</w:t>
      </w:r>
      <w:r>
        <w:rPr>
          <w:rFonts w:hint="eastAsia" w:ascii="方正仿宋_GBK" w:eastAsia="方正仿宋_GBK" w:cs="仿宋_GB2312"/>
          <w:vanish w:val="0"/>
          <w:kern w:val="2"/>
          <w:sz w:val="32"/>
          <w:szCs w:val="32"/>
          <w:lang w:val="en-US" w:eastAsia="zh-CN"/>
        </w:rPr>
        <w:t>数一致</w:t>
      </w:r>
      <w:r>
        <w:rPr>
          <w:rFonts w:hint="eastAsia" w:ascii="方正仿宋_GBK" w:eastAsia="方正仿宋_GBK" w:cs="仿宋_GB2312"/>
          <w:vanish w:val="0"/>
          <w:kern w:val="2"/>
          <w:sz w:val="32"/>
          <w:szCs w:val="32"/>
        </w:rPr>
        <w:t>；公务用车购置费0万元。</w:t>
      </w:r>
    </w:p>
    <w:p>
      <w:pPr>
        <w:numPr>
          <w:ilvl w:val="0"/>
          <w:numId w:val="1"/>
        </w:numPr>
        <w:pBdr>
          <w:top w:val="none" w:color="auto" w:sz="0" w:space="0"/>
          <w:left w:val="none" w:color="auto" w:sz="0" w:space="0"/>
          <w:bottom w:val="none" w:color="auto" w:sz="0" w:space="0"/>
          <w:right w:val="none" w:color="auto" w:sz="0" w:space="0"/>
        </w:pBdr>
        <w:spacing w:line="600" w:lineRule="exact"/>
        <w:ind w:left="0" w:firstLine="640" w:firstLineChars="200"/>
        <w:rPr>
          <w:rFonts w:hint="eastAsia" w:ascii="黑体" w:eastAsia="黑体" w:cs="仿宋_GB2312"/>
          <w:vanish w:val="0"/>
          <w:kern w:val="2"/>
          <w:sz w:val="32"/>
          <w:szCs w:val="32"/>
        </w:rPr>
      </w:pPr>
      <w:r>
        <w:rPr>
          <w:rFonts w:hint="eastAsia" w:ascii="黑体" w:eastAsia="黑体" w:cs="仿宋_GB2312"/>
          <w:vanish w:val="0"/>
          <w:kern w:val="2"/>
          <w:sz w:val="32"/>
          <w:szCs w:val="32"/>
        </w:rPr>
        <w:t>其他重要事项的情况说明</w:t>
      </w:r>
    </w:p>
    <w:p>
      <w:pPr>
        <w:pBdr>
          <w:top w:val="none" w:color="auto" w:sz="0" w:space="0"/>
          <w:left w:val="none" w:color="auto" w:sz="0" w:space="0"/>
          <w:bottom w:val="none" w:color="auto" w:sz="0" w:space="0"/>
          <w:right w:val="none" w:color="auto" w:sz="0" w:space="0"/>
        </w:pBdr>
        <w:shd w:val="clear" w:color="auto" w:fill="auto"/>
        <w:adjustRightInd/>
        <w:snapToGrid w:val="0"/>
        <w:spacing w:line="560" w:lineRule="exact"/>
        <w:ind w:firstLine="640" w:firstLineChars="200"/>
        <w:contextualSpacing w:val="0"/>
        <w:rPr>
          <w:rFonts w:hint="eastAsia" w:ascii="方正仿宋_GBK" w:eastAsia="方正仿宋_GBK" w:cs="仿宋_GB2312"/>
          <w:vanish w:val="0"/>
          <w:kern w:val="2"/>
          <w:sz w:val="32"/>
          <w:szCs w:val="32"/>
        </w:rPr>
      </w:pPr>
      <w:r>
        <w:rPr>
          <w:rFonts w:hint="eastAsia" w:ascii="方正仿宋_GBK" w:eastAsia="方正仿宋_GBK" w:cs="仿宋_GB2312"/>
          <w:vanish w:val="0"/>
          <w:kern w:val="2"/>
          <w:sz w:val="32"/>
          <w:szCs w:val="32"/>
        </w:rPr>
        <w:t>1、我单位不在机关运行经费统计范围之内</w:t>
      </w:r>
      <w:bookmarkStart w:id="0" w:name="_GoBack"/>
      <w:bookmarkEnd w:id="0"/>
      <w:r>
        <w:rPr>
          <w:rFonts w:hint="eastAsia" w:ascii="方正仿宋_GBK" w:eastAsia="方正仿宋_GBK" w:cs="仿宋_GB2312"/>
          <w:vanish w:val="0"/>
          <w:kern w:val="2"/>
          <w:sz w:val="32"/>
          <w:szCs w:val="32"/>
        </w:rPr>
        <w:t>。</w:t>
      </w:r>
    </w:p>
    <w:p>
      <w:pPr>
        <w:pBdr>
          <w:top w:val="none" w:color="auto" w:sz="0" w:space="0"/>
          <w:left w:val="none" w:color="auto" w:sz="0" w:space="0"/>
          <w:bottom w:val="none" w:color="auto" w:sz="0" w:space="0"/>
          <w:right w:val="none" w:color="auto" w:sz="0" w:space="0"/>
        </w:pBdr>
        <w:shd w:val="clear" w:color="auto" w:fill="auto"/>
        <w:adjustRightInd/>
        <w:snapToGrid w:val="0"/>
        <w:spacing w:line="560" w:lineRule="exact"/>
        <w:ind w:firstLine="640" w:firstLineChars="200"/>
        <w:contextualSpacing w:val="0"/>
        <w:rPr>
          <w:rFonts w:hint="eastAsia" w:ascii="方正仿宋_GBK" w:eastAsia="方正仿宋_GBK" w:cs="仿宋_GB2312"/>
          <w:vanish w:val="0"/>
          <w:kern w:val="2"/>
          <w:sz w:val="32"/>
          <w:szCs w:val="32"/>
        </w:rPr>
      </w:pPr>
      <w:r>
        <w:rPr>
          <w:rFonts w:hint="eastAsia" w:ascii="方正仿宋_GBK" w:eastAsia="方正仿宋_GBK" w:cs="仿宋_GB2312"/>
          <w:vanish w:val="0"/>
          <w:kern w:val="2"/>
          <w:sz w:val="32"/>
          <w:szCs w:val="32"/>
        </w:rPr>
        <w:t xml:space="preserve">2、政府采购情况。2023年单位政府采购预算总额0万元：政府采购货物预算0万元、政府采购工程预算 </w:t>
      </w:r>
      <w:r>
        <w:rPr>
          <w:rFonts w:hint="eastAsia" w:ascii="方正仿宋_GBK" w:eastAsia="方正仿宋_GBK" w:cs="仿宋_GB2312"/>
          <w:vanish w:val="0"/>
          <w:kern w:val="2"/>
          <w:sz w:val="32"/>
          <w:szCs w:val="32"/>
          <w:lang w:val="en-US" w:eastAsia="zh-CN"/>
        </w:rPr>
        <w:t>0</w:t>
      </w:r>
      <w:r>
        <w:rPr>
          <w:rFonts w:hint="eastAsia" w:ascii="方正仿宋_GBK" w:eastAsia="方正仿宋_GBK" w:cs="仿宋_GB2312"/>
          <w:vanish w:val="0"/>
          <w:kern w:val="2"/>
          <w:sz w:val="32"/>
          <w:szCs w:val="32"/>
        </w:rPr>
        <w:t>万元、政府采购服务预算0万元；其中一般公共预算拨款政府采购</w:t>
      </w:r>
      <w:r>
        <w:rPr>
          <w:rFonts w:hint="eastAsia" w:ascii="方正仿宋_GBK" w:eastAsia="方正仿宋_GBK" w:cs="仿宋_GB2312"/>
          <w:vanish w:val="0"/>
          <w:kern w:val="2"/>
          <w:sz w:val="32"/>
          <w:szCs w:val="32"/>
          <w:lang w:val="en-US" w:eastAsia="zh-CN"/>
        </w:rPr>
        <w:t>0</w:t>
      </w:r>
      <w:r>
        <w:rPr>
          <w:rFonts w:hint="eastAsia" w:ascii="方正仿宋_GBK" w:eastAsia="方正仿宋_GBK" w:cs="仿宋_GB2312"/>
          <w:vanish w:val="0"/>
          <w:kern w:val="2"/>
          <w:sz w:val="32"/>
          <w:szCs w:val="32"/>
        </w:rPr>
        <w:t>万元：政府采购货物预算0万元、政府采购工程预算0万元、政府采购服务预算0万元。</w:t>
      </w:r>
    </w:p>
    <w:p>
      <w:pPr>
        <w:pBdr>
          <w:top w:val="none" w:color="auto" w:sz="0" w:space="0"/>
          <w:left w:val="none" w:color="auto" w:sz="0" w:space="0"/>
          <w:bottom w:val="none" w:color="auto" w:sz="0" w:space="0"/>
          <w:right w:val="none" w:color="auto" w:sz="0" w:space="0"/>
        </w:pBdr>
        <w:shd w:val="clear" w:color="auto" w:fill="auto"/>
        <w:adjustRightInd/>
        <w:snapToGrid w:val="0"/>
        <w:spacing w:line="560" w:lineRule="exact"/>
        <w:ind w:firstLine="640" w:firstLineChars="200"/>
        <w:contextualSpacing w:val="0"/>
        <w:rPr>
          <w:rFonts w:hint="eastAsia" w:ascii="方正仿宋_GBK" w:eastAsia="方正仿宋_GBK" w:cs="仿宋_GB2312"/>
          <w:vanish w:val="0"/>
          <w:kern w:val="2"/>
          <w:sz w:val="32"/>
          <w:szCs w:val="32"/>
        </w:rPr>
      </w:pPr>
      <w:r>
        <w:rPr>
          <w:rFonts w:hint="eastAsia" w:ascii="方正仿宋_GBK" w:eastAsia="方正仿宋_GBK" w:cs="仿宋_GB2312"/>
          <w:vanish w:val="0"/>
          <w:kern w:val="2"/>
          <w:sz w:val="32"/>
          <w:szCs w:val="32"/>
        </w:rPr>
        <w:t>3、绩效目标设置情况。2023年项目支出均实行了绩效目标管理，涉及一般公共预算当年财政拨款 17万元。</w:t>
      </w:r>
    </w:p>
    <w:p>
      <w:pPr>
        <w:pBdr>
          <w:top w:val="none" w:color="auto" w:sz="0" w:space="0"/>
          <w:left w:val="none" w:color="auto" w:sz="0" w:space="0"/>
          <w:bottom w:val="none" w:color="auto" w:sz="0" w:space="0"/>
          <w:right w:val="none" w:color="auto" w:sz="0" w:space="0"/>
        </w:pBdr>
        <w:shd w:val="clear" w:color="auto" w:fill="auto"/>
        <w:adjustRightInd/>
        <w:snapToGrid w:val="0"/>
        <w:spacing w:line="560" w:lineRule="exact"/>
        <w:ind w:firstLine="640" w:firstLineChars="200"/>
        <w:contextualSpacing w:val="0"/>
        <w:rPr>
          <w:rFonts w:hint="eastAsia" w:ascii="仿宋_GB2312" w:eastAsia="仿宋_GB2312"/>
          <w:vanish w:val="0"/>
          <w:color w:val="auto"/>
          <w:kern w:val="2"/>
          <w:sz w:val="32"/>
          <w:szCs w:val="32"/>
        </w:rPr>
      </w:pPr>
      <w:r>
        <w:rPr>
          <w:rFonts w:hint="eastAsia" w:ascii="方正仿宋_GBK" w:eastAsia="方正仿宋_GBK" w:cs="仿宋_GB2312"/>
          <w:vanish w:val="0"/>
          <w:kern w:val="2"/>
          <w:sz w:val="32"/>
          <w:szCs w:val="32"/>
        </w:rPr>
        <w:t>4、国有资产占有使用情况。截止2022年12月，所属各预算单位共有车辆1辆，其中一般公务用车1辆、执勤执法用车0辆。2023年一般公共预算安排购置车辆0辆。</w:t>
      </w:r>
    </w:p>
    <w:p>
      <w:pPr>
        <w:pBdr>
          <w:top w:val="none" w:color="auto" w:sz="0" w:space="0"/>
          <w:left w:val="none" w:color="auto" w:sz="0" w:space="0"/>
          <w:bottom w:val="none" w:color="auto" w:sz="0" w:space="0"/>
          <w:right w:val="none" w:color="auto" w:sz="0" w:space="0"/>
        </w:pBdr>
        <w:spacing w:line="600" w:lineRule="exact"/>
        <w:ind w:left="640"/>
        <w:rPr>
          <w:rFonts w:hint="eastAsia" w:ascii="方正黑体_GBK" w:eastAsia="方正黑体_GBK" w:cs="仿宋_GB2312"/>
          <w:vanish w:val="0"/>
          <w:kern w:val="2"/>
          <w:sz w:val="32"/>
          <w:szCs w:val="32"/>
        </w:rPr>
      </w:pPr>
      <w:r>
        <w:rPr>
          <w:rFonts w:hint="eastAsia" w:ascii="方正黑体_GBK" w:eastAsia="方正黑体_GBK" w:cs="仿宋_GB2312"/>
          <w:vanish w:val="0"/>
          <w:kern w:val="2"/>
          <w:sz w:val="32"/>
          <w:szCs w:val="32"/>
        </w:rPr>
        <w:t>六、专业性名词解释</w:t>
      </w:r>
    </w:p>
    <w:p>
      <w:pPr>
        <w:pStyle w:val="8"/>
        <w:pBdr>
          <w:top w:val="none" w:color="auto" w:sz="0" w:space="0"/>
          <w:left w:val="none" w:color="auto" w:sz="0" w:space="0"/>
          <w:bottom w:val="none" w:color="auto" w:sz="0" w:space="0"/>
          <w:right w:val="none" w:color="auto" w:sz="0" w:space="0"/>
        </w:pBdr>
        <w:spacing w:line="600" w:lineRule="exact"/>
        <w:jc w:val="left"/>
        <w:rPr>
          <w:rFonts w:hint="eastAsia" w:ascii="方正仿宋_GBK" w:eastAsia="方正仿宋_GBK"/>
          <w:vanish w:val="0"/>
          <w:kern w:val="2"/>
          <w:sz w:val="32"/>
          <w:szCs w:val="32"/>
        </w:rPr>
      </w:pPr>
      <w:r>
        <w:rPr>
          <w:rFonts w:hint="eastAsia" w:ascii="方正仿宋_GBK" w:eastAsia="方正仿宋_GBK"/>
          <w:vanish w:val="0"/>
          <w:kern w:val="2"/>
          <w:sz w:val="32"/>
          <w:szCs w:val="32"/>
        </w:rPr>
        <w:t>（一）财政拨款收入：指本年度从本级财政部门取得的财政拨款，包括一般公共预算财政拨款和政府性基金预算财政拨款。</w:t>
      </w:r>
    </w:p>
    <w:p>
      <w:pPr>
        <w:pStyle w:val="8"/>
        <w:pBdr>
          <w:top w:val="none" w:color="auto" w:sz="0" w:space="0"/>
          <w:left w:val="none" w:color="auto" w:sz="0" w:space="0"/>
          <w:bottom w:val="none" w:color="auto" w:sz="0" w:space="0"/>
          <w:right w:val="none" w:color="auto" w:sz="0" w:space="0"/>
        </w:pBdr>
        <w:spacing w:line="600" w:lineRule="exact"/>
        <w:jc w:val="left"/>
        <w:rPr>
          <w:rFonts w:hint="eastAsia" w:ascii="方正仿宋_GBK" w:eastAsia="方正仿宋_GBK"/>
          <w:vanish w:val="0"/>
          <w:kern w:val="2"/>
          <w:sz w:val="32"/>
          <w:szCs w:val="32"/>
        </w:rPr>
      </w:pPr>
      <w:r>
        <w:rPr>
          <w:rFonts w:hint="eastAsia" w:ascii="方正仿宋_GBK" w:eastAsia="方正仿宋_GBK"/>
          <w:vanish w:val="0"/>
          <w:kern w:val="2"/>
          <w:sz w:val="32"/>
          <w:szCs w:val="32"/>
        </w:rPr>
        <w:t>（二）其他收入：指单位取得的除“财政拨款收入”、“事业收入”、“经营收入”等以外的收入。</w:t>
      </w:r>
    </w:p>
    <w:p>
      <w:pPr>
        <w:pStyle w:val="8"/>
        <w:pBdr>
          <w:top w:val="none" w:color="auto" w:sz="0" w:space="0"/>
          <w:left w:val="none" w:color="auto" w:sz="0" w:space="0"/>
          <w:bottom w:val="none" w:color="auto" w:sz="0" w:space="0"/>
          <w:right w:val="none" w:color="auto" w:sz="0" w:space="0"/>
        </w:pBdr>
        <w:spacing w:line="600" w:lineRule="exact"/>
        <w:jc w:val="left"/>
        <w:rPr>
          <w:rFonts w:hint="eastAsia" w:ascii="方正仿宋_GBK" w:eastAsia="方正仿宋_GBK"/>
          <w:vanish w:val="0"/>
          <w:kern w:val="2"/>
          <w:sz w:val="32"/>
          <w:szCs w:val="32"/>
        </w:rPr>
      </w:pPr>
      <w:r>
        <w:rPr>
          <w:rFonts w:hint="eastAsia" w:ascii="方正仿宋_GBK" w:eastAsia="方正仿宋_GBK"/>
          <w:vanish w:val="0"/>
          <w:kern w:val="2"/>
          <w:sz w:val="32"/>
          <w:szCs w:val="32"/>
        </w:rPr>
        <w:t>（三）基本支出：指为保障机构正常运转、完成日常工作任务而发生的人员经费和公用经费。</w:t>
      </w:r>
    </w:p>
    <w:p>
      <w:pPr>
        <w:pStyle w:val="8"/>
        <w:pBdr>
          <w:top w:val="none" w:color="auto" w:sz="0" w:space="0"/>
          <w:left w:val="none" w:color="auto" w:sz="0" w:space="0"/>
          <w:bottom w:val="none" w:color="auto" w:sz="0" w:space="0"/>
          <w:right w:val="none" w:color="auto" w:sz="0" w:space="0"/>
        </w:pBdr>
        <w:spacing w:line="600" w:lineRule="exact"/>
        <w:jc w:val="left"/>
        <w:rPr>
          <w:rFonts w:hint="eastAsia" w:ascii="方正仿宋_GBK" w:eastAsia="方正仿宋_GBK"/>
          <w:vanish w:val="0"/>
          <w:kern w:val="2"/>
          <w:sz w:val="32"/>
          <w:szCs w:val="32"/>
        </w:rPr>
      </w:pPr>
      <w:r>
        <w:rPr>
          <w:rFonts w:hint="eastAsia" w:ascii="方正仿宋_GBK" w:eastAsia="方正仿宋_GBK"/>
          <w:vanish w:val="0"/>
          <w:kern w:val="2"/>
          <w:sz w:val="32"/>
          <w:szCs w:val="32"/>
        </w:rPr>
        <w:t>（四）项目支出：指在基本支出之外为完成特定行政任务和事业发展目标所发生的支出。</w:t>
      </w:r>
    </w:p>
    <w:p>
      <w:pPr>
        <w:pBdr>
          <w:top w:val="none" w:color="auto" w:sz="0" w:space="0"/>
          <w:left w:val="none" w:color="auto" w:sz="0" w:space="0"/>
          <w:bottom w:val="none" w:color="auto" w:sz="0" w:space="0"/>
          <w:right w:val="none" w:color="auto" w:sz="0" w:space="0"/>
        </w:pBdr>
        <w:ind w:firstLine="640" w:firstLineChars="200"/>
        <w:rPr>
          <w:rFonts w:hint="eastAsia" w:ascii="方正仿宋_GBK" w:eastAsia="方正仿宋_GBK" w:cs="仿宋_GB2312"/>
          <w:vanish w:val="0"/>
          <w:color w:val="auto"/>
          <w:kern w:val="2"/>
          <w:sz w:val="32"/>
          <w:szCs w:val="32"/>
        </w:rPr>
      </w:pPr>
      <w:r>
        <w:rPr>
          <w:rFonts w:hint="eastAsia" w:ascii="方正仿宋_GBK" w:eastAsia="方正仿宋_GBK"/>
          <w:vanish w:val="0"/>
          <w:kern w:val="2"/>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Bdr>
          <w:top w:val="none" w:color="auto" w:sz="0" w:space="0"/>
          <w:left w:val="none" w:color="auto" w:sz="0" w:space="0"/>
          <w:bottom w:val="none" w:color="auto" w:sz="0" w:space="0"/>
          <w:right w:val="none" w:color="auto" w:sz="0" w:space="0"/>
        </w:pBdr>
        <w:ind w:firstLine="640" w:firstLineChars="200"/>
        <w:rPr>
          <w:rFonts w:hint="eastAsia" w:ascii="仿宋_GB2312" w:eastAsia="仿宋_GB2312"/>
          <w:vanish w:val="0"/>
          <w:color w:val="auto"/>
          <w:kern w:val="2"/>
          <w:sz w:val="32"/>
          <w:szCs w:val="32"/>
        </w:rPr>
      </w:pPr>
    </w:p>
    <w:p>
      <w:r>
        <w:rPr>
          <w:rFonts w:hint="eastAsia" w:ascii="仿宋_GB2312" w:eastAsia="仿宋_GB2312"/>
          <w:b/>
          <w:bCs/>
          <w:vanish w:val="0"/>
          <w:kern w:val="2"/>
          <w:sz w:val="32"/>
          <w:szCs w:val="32"/>
        </w:rPr>
        <w:t>预算公开联系人：</w:t>
      </w:r>
      <w:r>
        <w:rPr>
          <w:rFonts w:hint="eastAsia" w:ascii="仿宋_GB2312" w:eastAsia="仿宋_GB2312"/>
          <w:b/>
          <w:bCs/>
          <w:kern w:val="2"/>
          <w:sz w:val="32"/>
          <w:szCs w:val="32"/>
        </w:rPr>
        <w:t>宋小红</w:t>
      </w:r>
      <w:r>
        <w:rPr>
          <w:rFonts w:ascii="仿宋_GB2312" w:eastAsia="仿宋_GB2312"/>
          <w:b/>
          <w:bCs/>
          <w:vanish w:val="0"/>
          <w:kern w:val="2"/>
          <w:sz w:val="32"/>
          <w:szCs w:val="32"/>
        </w:rPr>
        <w:t xml:space="preserve"> </w:t>
      </w:r>
      <w:r>
        <w:rPr>
          <w:rFonts w:hint="eastAsia" w:ascii="仿宋_GB2312" w:eastAsia="仿宋_GB2312"/>
          <w:b/>
          <w:bCs/>
          <w:vanish w:val="0"/>
          <w:kern w:val="2"/>
          <w:sz w:val="32"/>
          <w:szCs w:val="32"/>
        </w:rPr>
        <w:t xml:space="preserve"> 联系方式：</w:t>
      </w:r>
      <w:r>
        <w:rPr>
          <w:rFonts w:hint="eastAsia" w:ascii="仿宋_GB2312" w:eastAsia="仿宋_GB2312"/>
          <w:b/>
          <w:bCs/>
          <w:kern w:val="2"/>
          <w:sz w:val="32"/>
          <w:szCs w:val="32"/>
        </w:rPr>
        <w:t xml:space="preserve">18182369688 </w:t>
      </w:r>
    </w:p>
    <w:p/>
    <w:sectPr>
      <w:pgSz w:w="11907" w:h="16839"/>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F510A7"/>
    <w:multiLevelType w:val="multilevel"/>
    <w:tmpl w:val="05F510A7"/>
    <w:lvl w:ilvl="0" w:tentative="0">
      <w:start w:val="1"/>
      <w:numFmt w:val="decimal"/>
      <w:suff w:val="nothing"/>
      <w:lvlText w:val="%1、"/>
      <w:lvlJc w:val="left"/>
      <w:pPr>
        <w:tabs>
          <w:tab w:val="left" w:pos="0"/>
        </w:tabs>
        <w:ind w:left="0" w:firstLine="0"/>
      </w:pPr>
      <w:rPr>
        <w:rFonts w:hint="default" w:ascii="Times New Roman" w:hAnsi="Times New Roman"/>
      </w:rPr>
    </w:lvl>
    <w:lvl w:ilvl="1" w:tentative="0">
      <w:start w:val="1"/>
      <w:numFmt w:val="decimal"/>
      <w:lvlRestart w:val="0"/>
      <w:suff w:val="nothing"/>
      <w:lvlText w:val="%1、"/>
      <w:lvlJc w:val="left"/>
      <w:pPr>
        <w:tabs>
          <w:tab w:val="left" w:pos="0"/>
        </w:tabs>
        <w:ind w:left="0" w:firstLine="0"/>
      </w:pPr>
      <w:rPr>
        <w:rFonts w:hint="default" w:ascii="Times New Roman" w:hAnsi="Times New Roman"/>
      </w:rPr>
    </w:lvl>
    <w:lvl w:ilvl="2" w:tentative="0">
      <w:start w:val="1"/>
      <w:numFmt w:val="decimal"/>
      <w:lvlRestart w:val="0"/>
      <w:suff w:val="nothing"/>
      <w:lvlText w:val="%1、"/>
      <w:lvlJc w:val="left"/>
      <w:pPr>
        <w:tabs>
          <w:tab w:val="left" w:pos="0"/>
        </w:tabs>
        <w:ind w:left="0" w:firstLine="0"/>
      </w:pPr>
      <w:rPr>
        <w:rFonts w:hint="default" w:ascii="Times New Roman" w:hAnsi="Times New Roman"/>
      </w:rPr>
    </w:lvl>
    <w:lvl w:ilvl="3" w:tentative="0">
      <w:start w:val="1"/>
      <w:numFmt w:val="decimal"/>
      <w:lvlRestart w:val="0"/>
      <w:suff w:val="nothing"/>
      <w:lvlText w:val="%1、"/>
      <w:lvlJc w:val="left"/>
      <w:pPr>
        <w:tabs>
          <w:tab w:val="left" w:pos="0"/>
        </w:tabs>
        <w:ind w:left="0" w:firstLine="0"/>
      </w:pPr>
      <w:rPr>
        <w:rFonts w:hint="default" w:ascii="Times New Roman" w:hAnsi="Times New Roman"/>
      </w:rPr>
    </w:lvl>
    <w:lvl w:ilvl="4" w:tentative="0">
      <w:start w:val="1"/>
      <w:numFmt w:val="decimal"/>
      <w:lvlRestart w:val="0"/>
      <w:suff w:val="nothing"/>
      <w:lvlText w:val="%1、"/>
      <w:lvlJc w:val="left"/>
      <w:pPr>
        <w:tabs>
          <w:tab w:val="left" w:pos="0"/>
        </w:tabs>
        <w:ind w:left="0" w:firstLine="0"/>
      </w:pPr>
      <w:rPr>
        <w:rFonts w:hint="default" w:ascii="Times New Roman" w:hAnsi="Times New Roman"/>
      </w:rPr>
    </w:lvl>
    <w:lvl w:ilvl="5" w:tentative="0">
      <w:start w:val="1"/>
      <w:numFmt w:val="decimal"/>
      <w:lvlRestart w:val="0"/>
      <w:suff w:val="nothing"/>
      <w:lvlText w:val="%1、"/>
      <w:lvlJc w:val="left"/>
      <w:pPr>
        <w:tabs>
          <w:tab w:val="left" w:pos="0"/>
        </w:tabs>
        <w:ind w:left="0" w:firstLine="0"/>
      </w:pPr>
      <w:rPr>
        <w:rFonts w:hint="default" w:ascii="Times New Roman" w:hAnsi="Times New Roman"/>
      </w:rPr>
    </w:lvl>
    <w:lvl w:ilvl="6" w:tentative="0">
      <w:start w:val="1"/>
      <w:numFmt w:val="decimal"/>
      <w:lvlRestart w:val="0"/>
      <w:suff w:val="nothing"/>
      <w:lvlText w:val="%1、"/>
      <w:lvlJc w:val="left"/>
      <w:pPr>
        <w:tabs>
          <w:tab w:val="left" w:pos="0"/>
        </w:tabs>
        <w:ind w:left="0" w:firstLine="0"/>
      </w:pPr>
      <w:rPr>
        <w:rFonts w:hint="default" w:ascii="Times New Roman" w:hAnsi="Times New Roman"/>
      </w:rPr>
    </w:lvl>
    <w:lvl w:ilvl="7" w:tentative="0">
      <w:start w:val="1"/>
      <w:numFmt w:val="decimal"/>
      <w:lvlRestart w:val="0"/>
      <w:suff w:val="nothing"/>
      <w:lvlText w:val="%1、"/>
      <w:lvlJc w:val="left"/>
      <w:pPr>
        <w:tabs>
          <w:tab w:val="left" w:pos="0"/>
        </w:tabs>
        <w:ind w:left="0" w:firstLine="0"/>
      </w:pPr>
      <w:rPr>
        <w:rFonts w:hint="default" w:ascii="Times New Roman" w:hAnsi="Times New Roman"/>
      </w:rPr>
    </w:lvl>
    <w:lvl w:ilvl="8" w:tentative="0">
      <w:start w:val="1"/>
      <w:numFmt w:val="decimal"/>
      <w:lvlRestart w:val="0"/>
      <w:suff w:val="nothing"/>
      <w:lvlText w:val="%1、"/>
      <w:lvlJc w:val="left"/>
      <w:pPr>
        <w:tabs>
          <w:tab w:val="left" w:pos="0"/>
        </w:tabs>
        <w:ind w:left="0" w:firstLine="0"/>
      </w:pPr>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YWU1OTI2YWZmY2NlYzI5ZDAzZjQ5OTJhMzFlNmU2NDMifQ=="/>
  </w:docVars>
  <w:rsids>
    <w:rsidRoot w:val="00000000"/>
    <w:rsid w:val="08626F36"/>
    <w:rsid w:val="0FD20B69"/>
    <w:rsid w:val="2D4B43ED"/>
    <w:rsid w:val="344C063B"/>
    <w:rsid w:val="4F2B0693"/>
    <w:rsid w:val="5A647BDD"/>
    <w:rsid w:val="5C33115A"/>
    <w:rsid w:val="702F5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Calibri" w:hAnsi="Calibri" w:eastAsia="宋体" w:cs="Times New Roman"/>
      <w:snapToGrid/>
      <w:color w:val="auto"/>
      <w:spacing w:val="0"/>
      <w:w w:val="100"/>
      <w:kern w:val="2"/>
      <w:position w:val="0"/>
      <w:sz w:val="21"/>
      <w:szCs w:val="21"/>
      <w:u w:val="none" w:color="auto"/>
      <w:shd w:val="clear" w:color="auto" w:fill="auto"/>
      <w:vertAlign w:val="baseline"/>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index 5"/>
    <w:basedOn w:val="1"/>
    <w:next w:val="1"/>
    <w:qFormat/>
    <w:uiPriority w:val="0"/>
    <w:pPr>
      <w:ind w:left="1680"/>
    </w:pPr>
  </w:style>
  <w:style w:type="paragraph" w:customStyle="1" w:styleId="8">
    <w:name w:val="列出段落"/>
    <w:next w:val="5"/>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200" w:firstLineChars="200"/>
      <w:contextualSpacing w:val="0"/>
      <w:jc w:val="both"/>
      <w:textAlignment w:val="auto"/>
      <w:outlineLvl w:val="9"/>
    </w:pPr>
    <w:rPr>
      <w:rFonts w:ascii="Calibri" w:hAnsi="Calibri" w:eastAsia="宋体" w:cs="Times New Roman"/>
      <w:snapToGrid/>
      <w:color w:val="auto"/>
      <w:spacing w:val="0"/>
      <w:w w:val="100"/>
      <w:kern w:val="2"/>
      <w:position w:val="0"/>
      <w:sz w:val="21"/>
      <w:szCs w:val="21"/>
      <w:u w:val="none" w:color="auto"/>
      <w:shd w:val="clear" w:color="auto" w:fill="auto"/>
      <w:vertAlign w:val="baseline"/>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11111</Company>
  <Pages>4</Pages>
  <Words>1436</Words>
  <Characters>1558</Characters>
  <Lines>76</Lines>
  <Paragraphs>26</Paragraphs>
  <TotalTime>38</TotalTime>
  <ScaleCrop>false</ScaleCrop>
  <LinksUpToDate>false</LinksUpToDate>
  <CharactersWithSpaces>1569</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2023-02-20T02:10:00Z</dcterms:created>
  <dc:creator>Windows 用户</dc:creator>
  <cp:lastModifiedBy>a</cp:lastModifiedBy>
  <dcterms:modified xsi:type="dcterms:W3CDTF">2023-02-22T07:26:15Z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165E29257A9340AEAD8AF2E64DE2DBC7</vt:lpwstr>
  </property>
</Properties>
</file>