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rPr>
          <w:rFonts w:ascii="Times New Roman" w:eastAsia="方正小标宋_GBK" w:hAnsi="Times New Roman" w:hint="eastAsia"/>
          <w:sz w:val="44"/>
          <w:szCs w:val="44"/>
          <w:lang w:eastAsia="zh-CN"/>
        </w:rPr>
      </w:pPr>
      <w:bookmarkStart w:id="0" w:name="_GoBack"/>
      <w:bookmarkEnd w:id="0"/>
    </w:p>
    <w:p>
      <w:pPr>
        <w:spacing w:line="600" w:lineRule="exact"/>
        <w:jc w:val="center"/>
        <w:rPr>
          <w:rFonts w:ascii="Times New Roman" w:eastAsia="方正小标宋_GBK" w:hAnsi="Times New Roman" w:hint="eastAsia"/>
          <w:sz w:val="44"/>
          <w:szCs w:val="44"/>
        </w:rPr>
      </w:pPr>
      <w:r>
        <w:rPr>
          <w:rFonts w:ascii="Times New Roman" w:eastAsia="方正小标宋_GBK" w:hAnsi="Times New Roman" w:hint="eastAsia"/>
          <w:sz w:val="44"/>
          <w:szCs w:val="44"/>
        </w:rPr>
        <w:t>重庆市江津区</w:t>
      </w:r>
      <w:r>
        <w:rPr>
          <w:rFonts w:ascii="Times New Roman" w:eastAsia="方正小标宋_GBK" w:hAnsi="Times New Roman"/>
          <w:sz w:val="44"/>
          <w:szCs w:val="44"/>
        </w:rPr>
        <w:t>四面山水利工程管理所</w:t>
      </w:r>
    </w:p>
    <w:p>
      <w:pPr>
        <w:spacing w:line="600" w:lineRule="exact"/>
        <w:jc w:val="center"/>
        <w:rPr>
          <w:rFonts w:ascii="Times New Roman" w:eastAsia="方正小标宋_GBK" w:hAnsi="Times New Roman" w:hint="eastAsia"/>
          <w:sz w:val="44"/>
          <w:szCs w:val="44"/>
        </w:rPr>
      </w:pPr>
      <w:r>
        <w:rPr>
          <w:rFonts w:ascii="Times New Roman" w:eastAsia="方正小标宋_GBK" w:hAnsi="Times New Roman" w:hint="eastAsia"/>
          <w:sz w:val="44"/>
          <w:szCs w:val="44"/>
        </w:rPr>
        <w:t>202</w:t>
      </w:r>
      <w:r>
        <w:rPr>
          <w:rFonts w:ascii="Times New Roman" w:eastAsia="方正小标宋_GBK" w:hAnsi="Times New Roman" w:hint="eastAsia"/>
          <w:sz w:val="44"/>
          <w:szCs w:val="44"/>
          <w:lang w:val="en-US" w:eastAsia="zh-CN"/>
        </w:rPr>
        <w:t>2</w:t>
      </w:r>
      <w:r>
        <w:rPr>
          <w:rFonts w:ascii="Times New Roman" w:eastAsia="方正小标宋_GBK" w:hAnsi="Times New Roman" w:hint="eastAsia"/>
          <w:sz w:val="44"/>
          <w:szCs w:val="44"/>
        </w:rPr>
        <w:t>年度</w:t>
      </w:r>
      <w:r>
        <w:rPr>
          <w:rFonts w:ascii="Times New Roman" w:eastAsia="方正小标宋_GBK" w:hAnsi="Times New Roman" w:hint="eastAsia"/>
          <w:sz w:val="44"/>
          <w:szCs w:val="44"/>
          <w:lang w:eastAsia="zh-CN"/>
        </w:rPr>
        <w:t>区级</w:t>
      </w:r>
      <w:r>
        <w:rPr>
          <w:rFonts w:ascii="Times New Roman" w:eastAsia="方正小标宋_GBK" w:hAnsi="Times New Roman" w:hint="eastAsia"/>
          <w:sz w:val="44"/>
          <w:szCs w:val="44"/>
        </w:rPr>
        <w:t>部门决算公开说明</w:t>
      </w:r>
    </w:p>
    <w:p>
      <w:pPr>
        <w:spacing w:line="600" w:lineRule="exact"/>
        <w:ind w:firstLineChars="250" w:firstLine="1100"/>
        <w:rPr>
          <w:rFonts w:ascii="Times New Roman" w:eastAsia="方正小标宋_GBK" w:hAnsi="Times New Roman" w:hint="eastAsia"/>
          <w:sz w:val="44"/>
          <w:szCs w:val="44"/>
        </w:rPr>
      </w:pPr>
    </w:p>
    <w:p>
      <w:pPr>
        <w:pStyle w:val="20"/>
        <w:tabs>
          <w:tab w:val="center" w:pos="4153"/>
          <w:tab w:val="left" w:pos="7275"/>
        </w:tabs>
        <w:spacing w:line="600" w:lineRule="exact"/>
        <w:rPr>
          <w:rFonts w:ascii="Times New Roman" w:eastAsia="方正黑体_GBK" w:hAnsi="Times New Roman" w:hint="eastAsia"/>
          <w:sz w:val="32"/>
          <w:szCs w:val="32"/>
        </w:rPr>
      </w:pPr>
      <w:r>
        <w:rPr>
          <w:rFonts w:ascii="Times New Roman" w:eastAsia="方正黑体_GBK" w:hAnsi="Times New Roman" w:hint="eastAsia"/>
          <w:sz w:val="32"/>
          <w:szCs w:val="32"/>
        </w:rPr>
        <w:t>一、单位基本情况</w:t>
      </w:r>
    </w:p>
    <w:p>
      <w:pPr>
        <w:spacing w:line="600" w:lineRule="exact"/>
        <w:ind w:firstLineChars="200" w:firstLine="640"/>
        <w:rPr>
          <w:rFonts w:ascii="仿宋_GB2312" w:eastAsia="仿宋_GB2312" w:cs="仿宋_GB2312" w:hint="eastAsia"/>
          <w:sz w:val="32"/>
          <w:lang w:bidi="ar-SA"/>
        </w:rPr>
      </w:pPr>
      <w:r>
        <w:rPr>
          <w:rFonts w:ascii="方正仿宋_GBK" w:eastAsia="方正仿宋_GBK" w:cs="宋体" w:hint="eastAsia"/>
          <w:sz w:val="32"/>
          <w:szCs w:val="32"/>
          <w:lang w:bidi="ar-SA"/>
        </w:rPr>
        <w:t>江津区</w:t>
      </w:r>
      <w:r>
        <w:rPr>
          <w:rFonts w:ascii="方正仿宋_GBK" w:eastAsia="方正仿宋_GBK" w:cs="宋体" w:hint="eastAsia"/>
          <w:sz w:val="32"/>
          <w:szCs w:val="32"/>
          <w:lang w:val="en-US" w:eastAsia="zh-CN" w:bidi="ar-SA"/>
        </w:rPr>
        <w:t>四面山水利工程管理所</w:t>
      </w:r>
      <w:r>
        <w:rPr>
          <w:rFonts w:ascii="方正仿宋_GBK" w:eastAsia="方正仿宋_GBK" w:cs="宋体" w:hint="eastAsia"/>
          <w:sz w:val="32"/>
          <w:szCs w:val="32"/>
          <w:lang w:bidi="ar-SA"/>
        </w:rPr>
        <w:t>是区水利局直属全额拨款单位，职能职责：负责四面山水利工程日常管理； 维修养护工程设施、设备，确保工程完好； 掌握气象、水文预报、防洪工作、主管部门交办的其他事项。</w:t>
      </w:r>
      <w:r>
        <w:rPr>
          <w:rFonts w:ascii="仿宋_GB2312" w:eastAsia="仿宋_GB2312" w:cs="仿宋_GB2312" w:hint="eastAsia"/>
          <w:sz w:val="32"/>
          <w:lang w:bidi="ar-SA"/>
        </w:rPr>
        <w:t xml:space="preserve">        </w:t>
      </w:r>
    </w:p>
    <w:p>
      <w:pPr>
        <w:spacing w:line="600" w:lineRule="exact"/>
        <w:ind w:firstLineChars="200" w:firstLine="640"/>
        <w:rPr>
          <w:rFonts w:ascii="Times New Roman" w:eastAsia="方正仿宋_GBK" w:cs="宋体" w:hAnsi="Times New Roman" w:hint="eastAsia"/>
          <w:kern w:val="0"/>
          <w:sz w:val="32"/>
          <w:szCs w:val="32"/>
          <w:lang w:bidi="ar-SA"/>
        </w:rPr>
      </w:pPr>
      <w:r>
        <w:rPr>
          <w:rFonts w:ascii="Times New Roman" w:eastAsia="方正黑体_GBK" w:hAnsi="Times New Roman" w:hint="eastAsia"/>
          <w:sz w:val="32"/>
          <w:szCs w:val="32"/>
        </w:rPr>
        <w:t>二、部门决算情况说明</w:t>
      </w:r>
    </w:p>
    <w:p>
      <w:pPr>
        <w:spacing w:line="600" w:lineRule="exact"/>
        <w:ind w:firstLineChars="200" w:firstLine="640"/>
        <w:jc w:val="left"/>
        <w:rPr>
          <w:rFonts w:ascii="方正仿宋_GBK" w:eastAsia="方正仿宋_GBK" w:cs="宋体" w:hint="eastAsia"/>
          <w:sz w:val="32"/>
          <w:szCs w:val="32"/>
          <w:lang w:bidi="ar-SA"/>
        </w:rPr>
      </w:pPr>
      <w:r>
        <w:rPr>
          <w:rFonts w:ascii="方正仿宋_GBK" w:eastAsia="方正仿宋_GBK" w:cs="宋体" w:hint="eastAsia"/>
          <w:b/>
          <w:sz w:val="32"/>
          <w:szCs w:val="32"/>
          <w:lang w:bidi="ar-SA"/>
        </w:rPr>
        <w:t>（一）收入支出决算总体情况说明</w:t>
      </w:r>
    </w:p>
    <w:p>
      <w:pPr>
        <w:spacing w:line="600" w:lineRule="exact"/>
        <w:ind w:firstLineChars="200" w:firstLine="640"/>
        <w:jc w:val="left"/>
        <w:rPr>
          <w:rFonts w:ascii="方正仿宋_GBK" w:eastAsia="方正仿宋_GBK" w:cs="宋体" w:hint="eastAsia"/>
          <w:sz w:val="32"/>
          <w:szCs w:val="32"/>
          <w:lang w:val="en-US" w:eastAsia="zh-CN" w:bidi="ar-SA"/>
        </w:rPr>
      </w:pPr>
      <w:r>
        <w:rPr>
          <w:rFonts w:ascii="方正仿宋_GBK" w:eastAsia="方正仿宋_GBK" w:cs="宋体" w:hint="eastAsia"/>
          <w:b/>
          <w:sz w:val="32"/>
          <w:szCs w:val="32"/>
          <w:lang w:bidi="ar-SA"/>
        </w:rPr>
        <w:t>1.总体情况。</w:t>
      </w:r>
      <w:r>
        <w:rPr>
          <w:rFonts w:ascii="方正仿宋_GBK" w:eastAsia="方正仿宋_GBK" w:cs="宋体" w:hint="eastAsia"/>
          <w:sz w:val="32"/>
          <w:szCs w:val="32"/>
          <w:lang w:bidi="ar-SA"/>
        </w:rPr>
        <w:t>202</w:t>
      </w:r>
      <w:r>
        <w:rPr>
          <w:rFonts w:ascii="方正仿宋_GBK" w:eastAsia="方正仿宋_GBK" w:cs="宋体" w:hint="eastAsia"/>
          <w:sz w:val="32"/>
          <w:szCs w:val="32"/>
          <w:lang w:val="en-US" w:eastAsia="zh-CN" w:bidi="ar-SA"/>
        </w:rPr>
        <w:t>2</w:t>
      </w:r>
      <w:r>
        <w:rPr>
          <w:rFonts w:ascii="方正仿宋_GBK" w:eastAsia="方正仿宋_GBK" w:cs="宋体" w:hint="eastAsia"/>
          <w:sz w:val="32"/>
          <w:szCs w:val="32"/>
          <w:lang w:bidi="ar-SA"/>
        </w:rPr>
        <w:t>年度收入总计240.11万元，支出总计240.11万元</w:t>
      </w:r>
      <w:r>
        <w:rPr>
          <w:rFonts w:ascii="方正仿宋_GBK" w:eastAsia="方正仿宋_GBK" w:cs="宋体" w:hint="eastAsia"/>
          <w:sz w:val="32"/>
          <w:szCs w:val="32"/>
          <w:lang w:val="en-US" w:eastAsia="zh-CN" w:bidi="ar-SA"/>
        </w:rPr>
        <w:t>。因2022年分单位决算，故无上年对比数。</w:t>
      </w:r>
    </w:p>
    <w:p>
      <w:pPr>
        <w:spacing w:line="600" w:lineRule="exact"/>
        <w:ind w:firstLineChars="200" w:firstLine="640"/>
        <w:jc w:val="left"/>
        <w:rPr>
          <w:rFonts w:ascii="方正仿宋_GBK" w:eastAsia="方正仿宋_GBK" w:cs="宋体" w:hint="eastAsia"/>
          <w:sz w:val="32"/>
          <w:szCs w:val="32"/>
          <w:lang w:bidi="ar-SA"/>
        </w:rPr>
      </w:pPr>
      <w:r>
        <w:rPr>
          <w:rFonts w:ascii="方正仿宋_GBK" w:eastAsia="方正仿宋_GBK" w:cs="宋体" w:hint="eastAsia"/>
          <w:b/>
          <w:sz w:val="32"/>
          <w:szCs w:val="32"/>
          <w:lang w:bidi="ar-SA"/>
        </w:rPr>
        <w:t>2.收入情况。</w:t>
      </w:r>
      <w:r>
        <w:rPr>
          <w:rFonts w:ascii="方正仿宋_GBK" w:eastAsia="方正仿宋_GBK" w:cs="宋体" w:hint="eastAsia"/>
          <w:sz w:val="32"/>
          <w:szCs w:val="32"/>
          <w:lang w:bidi="ar-SA"/>
        </w:rPr>
        <w:t>202</w:t>
      </w:r>
      <w:r>
        <w:rPr>
          <w:rFonts w:ascii="方正仿宋_GBK" w:eastAsia="方正仿宋_GBK" w:cs="宋体" w:hint="eastAsia"/>
          <w:sz w:val="32"/>
          <w:szCs w:val="32"/>
          <w:lang w:val="en-US" w:eastAsia="zh-CN" w:bidi="ar-SA"/>
        </w:rPr>
        <w:t>2</w:t>
      </w:r>
      <w:r>
        <w:rPr>
          <w:rFonts w:ascii="方正仿宋_GBK" w:eastAsia="方正仿宋_GBK" w:cs="宋体" w:hint="eastAsia"/>
          <w:sz w:val="32"/>
          <w:szCs w:val="32"/>
          <w:lang w:bidi="ar-SA"/>
        </w:rPr>
        <w:t>年度收入合计240.11万元</w:t>
      </w:r>
      <w:r>
        <w:rPr>
          <w:rFonts w:ascii="方正仿宋_GBK" w:eastAsia="方正仿宋_GBK" w:cs="宋体" w:hint="eastAsia"/>
          <w:sz w:val="32"/>
          <w:szCs w:val="32"/>
          <w:lang w:val="en-US" w:eastAsia="zh-CN" w:bidi="ar-SA"/>
        </w:rPr>
        <w:t>。</w:t>
      </w:r>
      <w:r>
        <w:rPr>
          <w:rFonts w:ascii="方正仿宋_GBK" w:eastAsia="方正仿宋_GBK" w:cs="宋体" w:hint="eastAsia"/>
          <w:sz w:val="32"/>
          <w:szCs w:val="32"/>
          <w:lang w:bidi="ar-SA"/>
        </w:rPr>
        <w:t>其中：财政拨款收入240.11万元，占100.00%。</w:t>
      </w:r>
      <w:r>
        <w:rPr>
          <w:rFonts w:ascii="方正仿宋_GBK" w:eastAsia="方正仿宋_GBK" w:cs="宋体" w:hint="eastAsia"/>
          <w:sz w:val="32"/>
          <w:szCs w:val="32"/>
          <w:lang w:val="en-US" w:eastAsia="zh-CN" w:bidi="ar-SA"/>
        </w:rPr>
        <w:t>因2022年分单位决算，故无上年对比数。</w:t>
      </w:r>
    </w:p>
    <w:p>
      <w:pPr>
        <w:spacing w:line="600" w:lineRule="exact"/>
        <w:ind w:firstLineChars="200" w:firstLine="640"/>
        <w:jc w:val="left"/>
        <w:rPr>
          <w:rFonts w:ascii="方正仿宋_GBK" w:eastAsia="方正仿宋_GBK" w:cs="宋体" w:hint="eastAsia"/>
          <w:sz w:val="32"/>
          <w:szCs w:val="32"/>
          <w:lang w:bidi="ar-SA"/>
        </w:rPr>
      </w:pPr>
      <w:r>
        <w:rPr>
          <w:rFonts w:ascii="方正仿宋_GBK" w:eastAsia="方正仿宋_GBK" w:cs="宋体" w:hint="eastAsia"/>
          <w:b/>
          <w:sz w:val="32"/>
          <w:szCs w:val="32"/>
          <w:lang w:bidi="ar-SA"/>
        </w:rPr>
        <w:t>3.支出情况。</w:t>
      </w:r>
      <w:r>
        <w:rPr>
          <w:rFonts w:ascii="方正仿宋_GBK" w:eastAsia="方正仿宋_GBK" w:cs="宋体" w:hint="eastAsia"/>
          <w:sz w:val="32"/>
          <w:szCs w:val="32"/>
          <w:lang w:bidi="ar-SA"/>
        </w:rPr>
        <w:t>202</w:t>
      </w:r>
      <w:r>
        <w:rPr>
          <w:rFonts w:ascii="方正仿宋_GBK" w:eastAsia="方正仿宋_GBK" w:cs="宋体" w:hint="eastAsia"/>
          <w:sz w:val="32"/>
          <w:szCs w:val="32"/>
          <w:lang w:val="en-US" w:eastAsia="zh-CN" w:bidi="ar-SA"/>
        </w:rPr>
        <w:t>2</w:t>
      </w:r>
      <w:r>
        <w:rPr>
          <w:rFonts w:ascii="方正仿宋_GBK" w:eastAsia="方正仿宋_GBK" w:cs="宋体" w:hint="eastAsia"/>
          <w:sz w:val="32"/>
          <w:szCs w:val="32"/>
          <w:lang w:bidi="ar-SA"/>
        </w:rPr>
        <w:t>年度支出合计240.11万元</w:t>
      </w:r>
      <w:r>
        <w:rPr>
          <w:rFonts w:ascii="方正仿宋_GBK" w:eastAsia="方正仿宋_GBK" w:cs="宋体" w:hint="eastAsia"/>
          <w:sz w:val="32"/>
          <w:szCs w:val="32"/>
          <w:lang w:bidi="ar-SA"/>
          <w:highlight w:val="auto"/>
        </w:rPr>
        <w:t>。</w:t>
      </w:r>
      <w:r>
        <w:rPr>
          <w:rFonts w:ascii="方正仿宋_GBK" w:eastAsia="方正仿宋_GBK" w:cs="宋体" w:hint="eastAsia"/>
          <w:sz w:val="32"/>
          <w:szCs w:val="32"/>
          <w:lang w:bidi="ar-SA"/>
        </w:rPr>
        <w:t>其中：基本支出171.16万元，占</w:t>
      </w:r>
      <w:r>
        <w:rPr>
          <w:rFonts w:ascii="方正仿宋_GBK" w:eastAsia="方正仿宋_GBK" w:cs="宋体" w:hint="eastAsia"/>
          <w:sz w:val="32"/>
          <w:szCs w:val="32"/>
          <w:lang w:val="en-US" w:eastAsia="zh-CN" w:bidi="ar-SA"/>
        </w:rPr>
        <w:t>71.28</w:t>
      </w:r>
      <w:r>
        <w:rPr>
          <w:rFonts w:ascii="方正仿宋_GBK" w:eastAsia="方正仿宋_GBK" w:cs="宋体" w:hint="eastAsia"/>
          <w:sz w:val="32"/>
          <w:szCs w:val="32"/>
          <w:lang w:bidi="ar-SA"/>
        </w:rPr>
        <w:t>%；项目支出68.95万元，占</w:t>
      </w:r>
      <w:r>
        <w:rPr>
          <w:rFonts w:ascii="方正仿宋_GBK" w:eastAsia="方正仿宋_GBK" w:cs="宋体" w:hint="eastAsia"/>
          <w:sz w:val="32"/>
          <w:szCs w:val="32"/>
          <w:lang w:val="en-US" w:eastAsia="zh-CN" w:bidi="ar-SA"/>
        </w:rPr>
        <w:t>28.72</w:t>
      </w:r>
      <w:r>
        <w:rPr>
          <w:rFonts w:ascii="方正仿宋_GBK" w:eastAsia="方正仿宋_GBK" w:cs="宋体" w:hint="eastAsia"/>
          <w:sz w:val="32"/>
          <w:szCs w:val="32"/>
          <w:lang w:bidi="ar-SA"/>
        </w:rPr>
        <w:t>%。</w:t>
      </w:r>
      <w:r>
        <w:rPr>
          <w:rFonts w:ascii="方正仿宋_GBK" w:eastAsia="方正仿宋_GBK" w:cs="宋体" w:hint="eastAsia"/>
          <w:sz w:val="32"/>
          <w:szCs w:val="32"/>
          <w:lang w:val="en-US" w:eastAsia="zh-CN" w:bidi="ar-SA"/>
        </w:rPr>
        <w:t>因2022年分单位决算，故无上年对比数。</w:t>
      </w:r>
    </w:p>
    <w:p>
      <w:pPr>
        <w:spacing w:line="600" w:lineRule="exact"/>
        <w:ind w:firstLineChars="200" w:firstLine="640"/>
        <w:jc w:val="left"/>
        <w:rPr>
          <w:rFonts w:ascii="方正仿宋_GBK" w:eastAsia="方正仿宋_GBK" w:cs="宋体" w:hint="eastAsia"/>
          <w:sz w:val="32"/>
          <w:szCs w:val="32"/>
          <w:lang w:bidi="ar-SA"/>
          <w:highlight w:val="auto"/>
        </w:rPr>
      </w:pPr>
      <w:r>
        <w:rPr>
          <w:rFonts w:ascii="方正仿宋_GBK" w:eastAsia="方正仿宋_GBK" w:cs="宋体" w:hint="eastAsia"/>
          <w:b/>
          <w:sz w:val="32"/>
          <w:szCs w:val="32"/>
          <w:lang w:bidi="ar-SA"/>
          <w:highlight w:val="auto"/>
        </w:rPr>
        <w:t>4.结转结余情况。</w:t>
      </w:r>
      <w:r>
        <w:rPr>
          <w:rFonts w:ascii="方正仿宋_GBK" w:eastAsia="方正仿宋_GBK" w:cs="宋体" w:hint="eastAsia"/>
          <w:sz w:val="32"/>
          <w:szCs w:val="32"/>
          <w:lang w:bidi="ar-SA"/>
          <w:highlight w:val="auto"/>
        </w:rPr>
        <w:t>202</w:t>
      </w:r>
      <w:r>
        <w:rPr>
          <w:rFonts w:ascii="方正仿宋_GBK" w:eastAsia="方正仿宋_GBK" w:cs="宋体" w:hint="eastAsia"/>
          <w:sz w:val="32"/>
          <w:szCs w:val="32"/>
          <w:lang w:val="en-US" w:eastAsia="zh-CN" w:bidi="ar-SA"/>
          <w:highlight w:val="auto"/>
        </w:rPr>
        <w:t>2</w:t>
      </w:r>
      <w:r>
        <w:rPr>
          <w:rFonts w:ascii="方正仿宋_GBK" w:eastAsia="方正仿宋_GBK" w:cs="宋体" w:hint="eastAsia"/>
          <w:sz w:val="32"/>
          <w:szCs w:val="32"/>
          <w:lang w:bidi="ar-SA"/>
          <w:highlight w:val="auto"/>
        </w:rPr>
        <w:t>年度年末</w:t>
      </w:r>
      <w:r>
        <w:rPr>
          <w:rFonts w:ascii="方正仿宋_GBK" w:eastAsia="方正仿宋_GBK" w:cs="宋体" w:hint="eastAsia"/>
          <w:sz w:val="32"/>
          <w:szCs w:val="32"/>
          <w:lang w:val="en-US" w:eastAsia="zh-CN" w:bidi="ar-SA"/>
          <w:highlight w:val="auto"/>
        </w:rPr>
        <w:t>无</w:t>
      </w:r>
      <w:r>
        <w:rPr>
          <w:rFonts w:ascii="方正仿宋_GBK" w:eastAsia="方正仿宋_GBK" w:cs="宋体" w:hint="eastAsia"/>
          <w:sz w:val="32"/>
          <w:szCs w:val="32"/>
          <w:lang w:bidi="ar-SA"/>
          <w:highlight w:val="auto"/>
        </w:rPr>
        <w:t>结转和结余</w:t>
      </w:r>
      <w:r>
        <w:rPr>
          <w:rFonts w:ascii="方正仿宋_GBK" w:eastAsia="方正仿宋_GBK" w:cs="宋体" w:hint="eastAsia"/>
          <w:sz w:val="32"/>
          <w:szCs w:val="32"/>
          <w:lang w:val="en-US" w:eastAsia="zh-CN" w:bidi="ar-SA"/>
          <w:highlight w:val="auto"/>
        </w:rPr>
        <w:t>资金</w:t>
      </w:r>
      <w:r>
        <w:rPr>
          <w:rFonts w:ascii="方正仿宋_GBK" w:eastAsia="方正仿宋_GBK" w:cs="宋体" w:hint="eastAsia"/>
          <w:sz w:val="32"/>
          <w:szCs w:val="32"/>
          <w:lang w:bidi="ar-SA"/>
          <w:highlight w:val="auto"/>
        </w:rPr>
        <w:t>。</w:t>
      </w:r>
    </w:p>
    <w:p>
      <w:pPr>
        <w:spacing w:line="600" w:lineRule="exact"/>
        <w:ind w:firstLineChars="200" w:firstLine="640"/>
        <w:jc w:val="left"/>
        <w:rPr>
          <w:rFonts w:ascii="方正仿宋_GBK" w:eastAsia="方正仿宋_GBK" w:cs="宋体" w:hint="eastAsia"/>
          <w:sz w:val="32"/>
          <w:szCs w:val="32"/>
          <w:lang w:bidi="ar-SA"/>
        </w:rPr>
      </w:pPr>
      <w:r>
        <w:rPr>
          <w:rFonts w:ascii="方正仿宋_GBK" w:eastAsia="方正仿宋_GBK" w:cs="宋体" w:hint="eastAsia"/>
          <w:b/>
          <w:sz w:val="32"/>
          <w:szCs w:val="32"/>
          <w:lang w:bidi="ar-SA"/>
        </w:rPr>
        <w:t>（二）财政拨款收入支出决算总体情况说明</w:t>
      </w:r>
    </w:p>
    <w:p>
      <w:pPr>
        <w:spacing w:line="600" w:lineRule="exact"/>
        <w:ind w:firstLineChars="200" w:firstLine="640"/>
        <w:jc w:val="left"/>
        <w:rPr>
          <w:rFonts w:ascii="方正仿宋_GBK" w:eastAsia="方正仿宋_GBK" w:cs="宋体" w:hint="eastAsia"/>
          <w:sz w:val="32"/>
          <w:szCs w:val="32"/>
          <w:lang w:bidi="ar-SA"/>
        </w:rPr>
      </w:pPr>
      <w:r>
        <w:rPr>
          <w:rFonts w:ascii="方正仿宋_GBK" w:eastAsia="方正仿宋_GBK" w:cs="宋体" w:hint="eastAsia"/>
          <w:sz w:val="32"/>
          <w:szCs w:val="32"/>
          <w:lang w:bidi="ar-SA"/>
        </w:rPr>
        <w:t>  202</w:t>
      </w:r>
      <w:r>
        <w:rPr>
          <w:rFonts w:ascii="方正仿宋_GBK" w:eastAsia="方正仿宋_GBK" w:cs="宋体" w:hint="eastAsia"/>
          <w:sz w:val="32"/>
          <w:szCs w:val="32"/>
          <w:lang w:val="en-US" w:eastAsia="zh-CN" w:bidi="ar-SA"/>
        </w:rPr>
        <w:t>2</w:t>
      </w:r>
      <w:r>
        <w:rPr>
          <w:rFonts w:ascii="方正仿宋_GBK" w:eastAsia="方正仿宋_GBK" w:cs="宋体" w:hint="eastAsia"/>
          <w:sz w:val="32"/>
          <w:szCs w:val="32"/>
          <w:lang w:bidi="ar-SA"/>
        </w:rPr>
        <w:t>年度财政拨款收、支总计240.11万元</w:t>
      </w:r>
      <w:r>
        <w:rPr>
          <w:rFonts w:ascii="方正仿宋_GBK" w:eastAsia="方正仿宋_GBK" w:cs="宋体" w:hint="eastAsia"/>
          <w:sz w:val="32"/>
          <w:szCs w:val="32"/>
          <w:lang w:val="en-US" w:eastAsia="zh-CN" w:bidi="ar-SA"/>
        </w:rPr>
        <w:t>。因2022年分单位决算，故无上年对比数。</w:t>
      </w:r>
    </w:p>
    <w:p>
      <w:pPr>
        <w:spacing w:line="600" w:lineRule="exact"/>
        <w:ind w:firstLineChars="200" w:firstLine="640"/>
        <w:jc w:val="left"/>
        <w:rPr>
          <w:rFonts w:ascii="方正仿宋_GBK" w:eastAsia="方正仿宋_GBK" w:cs="宋体" w:hint="eastAsia"/>
          <w:sz w:val="32"/>
          <w:szCs w:val="32"/>
          <w:lang w:bidi="ar-SA"/>
        </w:rPr>
      </w:pPr>
      <w:r>
        <w:rPr>
          <w:rFonts w:ascii="方正仿宋_GBK" w:eastAsia="方正仿宋_GBK" w:cs="宋体" w:hint="eastAsia"/>
          <w:b/>
          <w:sz w:val="32"/>
          <w:szCs w:val="32"/>
          <w:lang w:bidi="ar-SA"/>
        </w:rPr>
        <w:t>（三）一般公共预算财政拨款收入支出决算情况说明</w:t>
      </w:r>
    </w:p>
    <w:p>
      <w:pPr>
        <w:spacing w:line="600" w:lineRule="exact"/>
        <w:ind w:firstLineChars="200" w:firstLine="640"/>
        <w:jc w:val="left"/>
        <w:rPr>
          <w:rFonts w:ascii="宋体" w:cs="Arial" w:hint="eastAsia"/>
          <w:b/>
          <w:bCs/>
          <w:kern w:val="0"/>
          <w:sz w:val="20"/>
          <w:szCs w:val="20"/>
          <w:lang w:bidi="ar-SA"/>
        </w:rPr>
      </w:pPr>
      <w:r>
        <w:rPr>
          <w:rFonts w:ascii="方正仿宋_GBK" w:eastAsia="方正仿宋_GBK" w:cs="宋体" w:hint="eastAsia"/>
          <w:b/>
          <w:sz w:val="32"/>
          <w:szCs w:val="32"/>
          <w:lang w:bidi="ar-SA"/>
          <w:highlight w:val="auto"/>
        </w:rPr>
        <w:t>1.收入情况。</w:t>
      </w:r>
      <w:r>
        <w:rPr>
          <w:rFonts w:ascii="方正仿宋_GBK" w:eastAsia="方正仿宋_GBK" w:cs="宋体" w:hint="eastAsia"/>
          <w:sz w:val="32"/>
          <w:szCs w:val="32"/>
          <w:lang w:bidi="ar-SA"/>
          <w:highlight w:val="auto"/>
        </w:rPr>
        <w:t>202</w:t>
      </w:r>
      <w:r>
        <w:rPr>
          <w:rFonts w:ascii="方正仿宋_GBK" w:eastAsia="方正仿宋_GBK" w:cs="宋体" w:hint="eastAsia"/>
          <w:sz w:val="32"/>
          <w:szCs w:val="32"/>
          <w:lang w:val="en-US" w:eastAsia="zh-CN" w:bidi="ar-SA"/>
          <w:highlight w:val="auto"/>
        </w:rPr>
        <w:t>2</w:t>
      </w:r>
      <w:r>
        <w:rPr>
          <w:rFonts w:ascii="方正仿宋_GBK" w:eastAsia="方正仿宋_GBK" w:cs="宋体" w:hint="eastAsia"/>
          <w:sz w:val="32"/>
          <w:szCs w:val="32"/>
          <w:lang w:bidi="ar-SA"/>
          <w:highlight w:val="auto"/>
        </w:rPr>
        <w:t>年度一般公共预算财政拨款收入</w:t>
      </w:r>
      <w:r>
        <w:rPr>
          <w:rFonts w:ascii="方正仿宋_GBK" w:eastAsia="方正仿宋_GBK" w:cs="宋体" w:hint="eastAsia"/>
          <w:sz w:val="32"/>
          <w:szCs w:val="32"/>
          <w:lang w:bidi="ar-SA"/>
        </w:rPr>
        <w:t>240.11</w:t>
      </w:r>
      <w:r>
        <w:rPr>
          <w:rFonts w:ascii="方正仿宋_GBK" w:eastAsia="方正仿宋_GBK" w:cs="宋体" w:hint="eastAsia"/>
          <w:sz w:val="32"/>
          <w:szCs w:val="32"/>
          <w:lang w:bidi="ar-SA"/>
          <w:highlight w:val="auto"/>
        </w:rPr>
        <w:t>万元</w:t>
      </w:r>
      <w:r>
        <w:rPr>
          <w:rFonts w:ascii="方正仿宋_GBK" w:eastAsia="方正仿宋_GBK" w:cs="宋体" w:hint="eastAsia"/>
          <w:sz w:val="32"/>
          <w:szCs w:val="32"/>
          <w:lang w:bidi="ar-SA"/>
        </w:rPr>
        <w:t>。</w:t>
      </w:r>
      <w:r>
        <w:rPr>
          <w:rFonts w:ascii="方正仿宋_GBK" w:eastAsia="方正仿宋_GBK" w:cs="宋体" w:hint="eastAsia"/>
          <w:sz w:val="32"/>
          <w:szCs w:val="32"/>
          <w:lang w:val="en-US" w:eastAsia="zh-CN" w:bidi="ar-SA"/>
        </w:rPr>
        <w:t>因2022年分单位决算，故无上年对比数。</w:t>
      </w:r>
    </w:p>
    <w:p>
      <w:pPr>
        <w:spacing w:line="600" w:lineRule="exact"/>
        <w:ind w:firstLineChars="200" w:firstLine="640"/>
        <w:jc w:val="left"/>
        <w:rPr>
          <w:rFonts w:ascii="方正仿宋_GBK" w:eastAsia="方正仿宋_GBK" w:cs="宋体" w:hint="eastAsia"/>
          <w:color w:val="FF0000"/>
          <w:sz w:val="32"/>
          <w:szCs w:val="32"/>
          <w:lang w:bidi="ar-SA"/>
        </w:rPr>
      </w:pPr>
      <w:r>
        <w:rPr>
          <w:rFonts w:ascii="方正仿宋_GBK" w:eastAsia="方正仿宋_GBK" w:cs="宋体" w:hint="eastAsia"/>
          <w:b/>
          <w:sz w:val="32"/>
          <w:szCs w:val="32"/>
          <w:lang w:bidi="ar-SA"/>
        </w:rPr>
        <w:t>2.支出情况。</w:t>
      </w:r>
      <w:r>
        <w:rPr>
          <w:rFonts w:ascii="方正仿宋_GBK" w:eastAsia="方正仿宋_GBK" w:cs="宋体" w:hint="eastAsia"/>
          <w:sz w:val="32"/>
          <w:szCs w:val="32"/>
          <w:lang w:bidi="ar-SA"/>
        </w:rPr>
        <w:t>202</w:t>
      </w:r>
      <w:r>
        <w:rPr>
          <w:rFonts w:ascii="方正仿宋_GBK" w:eastAsia="方正仿宋_GBK" w:cs="宋体" w:hint="eastAsia"/>
          <w:sz w:val="32"/>
          <w:szCs w:val="32"/>
          <w:lang w:val="en-US" w:eastAsia="zh-CN" w:bidi="ar-SA"/>
        </w:rPr>
        <w:t>2</w:t>
      </w:r>
      <w:r>
        <w:rPr>
          <w:rFonts w:ascii="方正仿宋_GBK" w:eastAsia="方正仿宋_GBK" w:cs="宋体" w:hint="eastAsia"/>
          <w:sz w:val="32"/>
          <w:szCs w:val="32"/>
          <w:lang w:bidi="ar-SA"/>
        </w:rPr>
        <w:t>年度一般公共预算财政拨款支出240.11万元</w:t>
      </w:r>
      <w:r>
        <w:rPr>
          <w:rFonts w:ascii="方正仿宋_GBK" w:eastAsia="方正仿宋_GBK" w:cs="宋体" w:hint="eastAsia"/>
          <w:sz w:val="32"/>
          <w:szCs w:val="32"/>
          <w:lang w:bidi="ar-SA"/>
          <w:highlight w:val="auto"/>
        </w:rPr>
        <w:t>。</w:t>
      </w:r>
      <w:r>
        <w:rPr>
          <w:rFonts w:ascii="方正仿宋_GBK" w:eastAsia="方正仿宋_GBK" w:cs="宋体" w:hint="eastAsia"/>
          <w:sz w:val="32"/>
          <w:szCs w:val="32"/>
          <w:lang w:val="en-US" w:eastAsia="zh-CN" w:bidi="ar-SA"/>
        </w:rPr>
        <w:t>因2022年分单位决算，故无上年对比数。。</w:t>
      </w:r>
    </w:p>
    <w:p>
      <w:pPr>
        <w:spacing w:line="600" w:lineRule="exact"/>
        <w:ind w:leftChars="76" w:left="160" w:firstLineChars="150" w:firstLine="480"/>
        <w:jc w:val="left"/>
        <w:rPr>
          <w:rFonts w:ascii="方正仿宋_GBK" w:eastAsia="方正仿宋_GBK" w:cs="宋体" w:hint="eastAsia"/>
          <w:sz w:val="32"/>
          <w:szCs w:val="32"/>
          <w:lang w:bidi="ar-SA"/>
        </w:rPr>
      </w:pPr>
      <w:r>
        <w:rPr>
          <w:rFonts w:ascii="方正仿宋_GBK" w:eastAsia="方正仿宋_GBK" w:cs="宋体" w:hint="eastAsia"/>
          <w:b/>
          <w:sz w:val="32"/>
          <w:szCs w:val="32"/>
          <w:lang w:bidi="ar-SA"/>
        </w:rPr>
        <w:t>3.结转结余情况。</w:t>
      </w:r>
      <w:r>
        <w:rPr>
          <w:rFonts w:ascii="方正仿宋_GBK" w:eastAsia="方正仿宋_GBK" w:cs="宋体" w:hint="eastAsia"/>
          <w:sz w:val="32"/>
          <w:szCs w:val="32"/>
          <w:lang w:bidi="ar-SA"/>
        </w:rPr>
        <w:t>202</w:t>
      </w:r>
      <w:r>
        <w:rPr>
          <w:rFonts w:ascii="方正仿宋_GBK" w:eastAsia="方正仿宋_GBK" w:cs="宋体" w:hint="eastAsia"/>
          <w:sz w:val="32"/>
          <w:szCs w:val="32"/>
          <w:lang w:val="en-US" w:eastAsia="zh-CN" w:bidi="ar-SA"/>
        </w:rPr>
        <w:t>2</w:t>
      </w:r>
      <w:r>
        <w:rPr>
          <w:rFonts w:ascii="方正仿宋_GBK" w:eastAsia="方正仿宋_GBK" w:cs="宋体" w:hint="eastAsia"/>
          <w:sz w:val="32"/>
          <w:szCs w:val="32"/>
          <w:lang w:bidi="ar-SA"/>
        </w:rPr>
        <w:t>年度年末</w:t>
      </w:r>
      <w:r>
        <w:rPr>
          <w:rFonts w:ascii="方正仿宋_GBK" w:eastAsia="方正仿宋_GBK" w:cs="宋体" w:hint="eastAsia"/>
          <w:sz w:val="32"/>
          <w:szCs w:val="32"/>
          <w:lang w:val="en-US" w:eastAsia="zh-CN" w:bidi="ar-SA"/>
        </w:rPr>
        <w:t>无</w:t>
      </w:r>
      <w:r>
        <w:rPr>
          <w:rFonts w:ascii="方正仿宋_GBK" w:eastAsia="方正仿宋_GBK" w:cs="宋体" w:hint="eastAsia"/>
          <w:sz w:val="32"/>
          <w:szCs w:val="32"/>
          <w:lang w:bidi="ar-SA"/>
        </w:rPr>
        <w:t>一般公共预算财政拨款结转和结余。</w:t>
      </w:r>
    </w:p>
    <w:p>
      <w:pPr>
        <w:spacing w:line="600" w:lineRule="exact"/>
        <w:ind w:firstLineChars="200" w:firstLine="640"/>
        <w:jc w:val="left"/>
        <w:rPr>
          <w:rFonts w:ascii="方正仿宋_GBK" w:eastAsia="方正仿宋_GBK" w:cs="宋体" w:hint="eastAsia"/>
          <w:sz w:val="32"/>
          <w:szCs w:val="32"/>
          <w:lang w:bidi="ar-SA"/>
        </w:rPr>
      </w:pPr>
      <w:r>
        <w:rPr>
          <w:rFonts w:ascii="方正仿宋_GBK" w:eastAsia="方正仿宋_GBK" w:cs="宋体" w:hint="eastAsia"/>
          <w:b/>
          <w:sz w:val="32"/>
          <w:szCs w:val="32"/>
          <w:lang w:bidi="ar-SA"/>
        </w:rPr>
        <w:t>4.比较情况。</w:t>
      </w:r>
      <w:r>
        <w:rPr>
          <w:rFonts w:ascii="方正仿宋_GBK" w:eastAsia="方正仿宋_GBK" w:cs="宋体" w:hint="eastAsia"/>
          <w:sz w:val="32"/>
          <w:szCs w:val="32"/>
          <w:lang w:bidi="ar-SA"/>
        </w:rPr>
        <w:t>本</w:t>
      </w:r>
      <w:r>
        <w:rPr>
          <w:rFonts w:ascii="方正仿宋_GBK" w:eastAsia="方正仿宋_GBK" w:cs="宋体" w:hint="eastAsia"/>
          <w:sz w:val="32"/>
          <w:szCs w:val="32"/>
          <w:lang w:val="en-US" w:eastAsia="zh-CN" w:bidi="ar-SA"/>
        </w:rPr>
        <w:t>单位</w:t>
      </w:r>
      <w:r>
        <w:rPr>
          <w:rFonts w:ascii="方正仿宋_GBK" w:eastAsia="方正仿宋_GBK" w:cs="宋体" w:hint="eastAsia"/>
          <w:sz w:val="32"/>
          <w:szCs w:val="32"/>
          <w:lang w:bidi="ar-SA"/>
        </w:rPr>
        <w:t>202</w:t>
      </w:r>
      <w:r>
        <w:rPr>
          <w:rFonts w:ascii="方正仿宋_GBK" w:eastAsia="方正仿宋_GBK" w:cs="宋体" w:hint="eastAsia"/>
          <w:sz w:val="32"/>
          <w:szCs w:val="32"/>
          <w:lang w:val="en-US" w:eastAsia="zh-CN" w:bidi="ar-SA"/>
        </w:rPr>
        <w:t>2</w:t>
      </w:r>
      <w:r>
        <w:rPr>
          <w:rFonts w:ascii="方正仿宋_GBK" w:eastAsia="方正仿宋_GBK" w:cs="宋体" w:hint="eastAsia"/>
          <w:sz w:val="32"/>
          <w:szCs w:val="32"/>
          <w:lang w:bidi="ar-SA"/>
        </w:rPr>
        <w:t>年度一般公共预算财政拨款支出主要用于以下几个方面：</w:t>
      </w:r>
    </w:p>
    <w:p>
      <w:pPr>
        <w:spacing w:line="600" w:lineRule="exact"/>
        <w:ind w:firstLineChars="200" w:firstLine="640"/>
        <w:jc w:val="left"/>
        <w:rPr>
          <w:rFonts w:ascii="方正仿宋_GBK" w:eastAsia="方正仿宋_GBK" w:cs="宋体" w:hint="eastAsia"/>
          <w:sz w:val="32"/>
          <w:szCs w:val="32"/>
          <w:lang w:bidi="ar-SA"/>
        </w:rPr>
      </w:pPr>
      <w:r>
        <w:rPr>
          <w:rFonts w:ascii="方正仿宋_GBK" w:eastAsia="方正仿宋_GBK" w:cs="宋体" w:hint="eastAsia"/>
          <w:sz w:val="32"/>
          <w:szCs w:val="32"/>
          <w:lang w:bidi="ar-SA"/>
        </w:rPr>
        <w:t>（1）行政事业单位养老支出支出22.58万元，占9.40%，与年初预算数一致。</w:t>
      </w:r>
    </w:p>
    <w:p>
      <w:pPr>
        <w:spacing w:line="600" w:lineRule="exact"/>
        <w:ind w:firstLineChars="200" w:firstLine="640"/>
        <w:jc w:val="left"/>
        <w:rPr>
          <w:rFonts w:ascii="方正仿宋_GBK" w:eastAsia="方正仿宋_GBK" w:cs="宋体" w:hint="eastAsia"/>
          <w:sz w:val="32"/>
          <w:szCs w:val="32"/>
          <w:lang w:bidi="ar-SA"/>
        </w:rPr>
      </w:pPr>
      <w:r>
        <w:rPr>
          <w:rFonts w:ascii="方正仿宋_GBK" w:eastAsia="方正仿宋_GBK" w:cs="宋体" w:hint="eastAsia"/>
          <w:sz w:val="32"/>
          <w:szCs w:val="32"/>
          <w:lang w:bidi="ar-SA"/>
        </w:rPr>
        <w:t>（2）卫生健康支出9.72万元，占</w:t>
      </w:r>
      <w:r>
        <w:rPr>
          <w:rFonts w:ascii="方正仿宋_GBK" w:eastAsia="方正仿宋_GBK" w:cs="宋体" w:hint="eastAsia"/>
          <w:sz w:val="32"/>
          <w:szCs w:val="32"/>
          <w:lang w:val="en-US" w:eastAsia="zh-CN" w:bidi="ar-SA"/>
        </w:rPr>
        <w:t>4.05</w:t>
      </w:r>
      <w:r>
        <w:rPr>
          <w:rFonts w:ascii="方正仿宋_GBK" w:eastAsia="方正仿宋_GBK" w:cs="宋体" w:hint="eastAsia"/>
          <w:sz w:val="32"/>
          <w:szCs w:val="32"/>
          <w:lang w:bidi="ar-SA"/>
        </w:rPr>
        <w:t>%，与年初预算数一致。</w:t>
      </w:r>
    </w:p>
    <w:p>
      <w:pPr>
        <w:ind w:firstLineChars="200" w:firstLine="640"/>
        <w:jc w:val="left"/>
        <w:rPr>
          <w:rFonts w:ascii="方正仿宋_GBK" w:eastAsia="方正仿宋_GBK" w:cs="宋体" w:hint="eastAsia"/>
          <w:sz w:val="32"/>
          <w:szCs w:val="32"/>
          <w:lang w:bidi="ar-SA"/>
        </w:rPr>
      </w:pPr>
      <w:r>
        <w:rPr>
          <w:rFonts w:ascii="方正仿宋_GBK" w:eastAsia="方正仿宋_GBK" w:cs="宋体" w:hint="eastAsia"/>
          <w:sz w:val="32"/>
          <w:szCs w:val="32"/>
          <w:lang w:bidi="ar-SA"/>
        </w:rPr>
        <w:t>（3）农林水支出</w:t>
      </w:r>
      <w:r>
        <w:rPr>
          <w:rFonts w:ascii="方正仿宋_GBK" w:eastAsia="方正仿宋_GBK" w:cs="宋体" w:hint="eastAsia"/>
          <w:sz w:val="32"/>
          <w:szCs w:val="32"/>
          <w:lang w:val="en-US" w:eastAsia="zh-CN" w:bidi="ar-SA"/>
        </w:rPr>
        <w:t>200.22</w:t>
      </w:r>
      <w:r>
        <w:rPr>
          <w:rFonts w:ascii="方正仿宋_GBK" w:eastAsia="方正仿宋_GBK" w:cs="宋体" w:hint="eastAsia"/>
          <w:sz w:val="32"/>
          <w:szCs w:val="32"/>
          <w:lang w:bidi="ar-SA"/>
        </w:rPr>
        <w:t>万元，占</w:t>
      </w:r>
      <w:r>
        <w:rPr>
          <w:rFonts w:ascii="方正仿宋_GBK" w:eastAsia="方正仿宋_GBK" w:cs="宋体" w:hint="eastAsia"/>
          <w:sz w:val="32"/>
          <w:szCs w:val="32"/>
          <w:lang w:val="en-US" w:eastAsia="zh-CN" w:bidi="ar-SA"/>
        </w:rPr>
        <w:t>83.39</w:t>
      </w:r>
      <w:r>
        <w:rPr>
          <w:rFonts w:ascii="方正仿宋_GBK" w:eastAsia="方正仿宋_GBK" w:cs="宋体" w:hint="eastAsia"/>
          <w:sz w:val="32"/>
          <w:szCs w:val="32"/>
          <w:lang w:bidi="ar-SA"/>
        </w:rPr>
        <w:t>%，较年初预算数减少</w:t>
      </w:r>
      <w:r>
        <w:rPr>
          <w:rFonts w:ascii="方正仿宋_GBK" w:eastAsia="方正仿宋_GBK" w:cs="宋体" w:hint="eastAsia"/>
          <w:sz w:val="32"/>
          <w:szCs w:val="32"/>
          <w:lang w:val="en-US" w:eastAsia="zh-CN" w:bidi="ar-SA"/>
        </w:rPr>
        <w:t>52.7</w:t>
      </w:r>
      <w:r>
        <w:rPr>
          <w:rFonts w:ascii="方正仿宋_GBK" w:eastAsia="方正仿宋_GBK" w:cs="宋体" w:hint="eastAsia"/>
          <w:sz w:val="32"/>
          <w:szCs w:val="32"/>
          <w:lang w:bidi="ar-SA"/>
        </w:rPr>
        <w:t>万元，减少</w:t>
      </w:r>
      <w:r>
        <w:rPr>
          <w:rFonts w:ascii="方正仿宋_GBK" w:eastAsia="方正仿宋_GBK" w:cs="宋体" w:hint="eastAsia"/>
          <w:sz w:val="32"/>
          <w:szCs w:val="32"/>
          <w:lang w:val="en-US" w:eastAsia="zh-CN" w:bidi="ar-SA"/>
        </w:rPr>
        <w:t>20.84</w:t>
      </w:r>
      <w:r>
        <w:rPr>
          <w:rFonts w:ascii="方正仿宋_GBK" w:eastAsia="方正仿宋_GBK" w:cs="宋体" w:hint="eastAsia"/>
          <w:sz w:val="32"/>
          <w:szCs w:val="32"/>
          <w:lang w:bidi="ar-SA"/>
        </w:rPr>
        <w:t>%，主要原因是</w:t>
      </w:r>
      <w:r>
        <w:rPr>
          <w:rFonts w:ascii="方正仿宋_GBK" w:eastAsia="方正仿宋_GBK" w:cs="宋体" w:hint="eastAsia"/>
          <w:sz w:val="32"/>
          <w:szCs w:val="32"/>
          <w:lang w:val="en-US" w:eastAsia="zh-CN" w:bidi="ar-SA"/>
        </w:rPr>
        <w:t>本单位有1名职工停发待遇，基本支出减少</w:t>
      </w:r>
      <w:r>
        <w:rPr>
          <w:rFonts w:ascii="方正仿宋_GBK" w:eastAsia="方正仿宋_GBK" w:cs="宋体" w:hint="eastAsia"/>
          <w:sz w:val="32"/>
          <w:szCs w:val="32"/>
          <w:lang w:bidi="ar-SA"/>
        </w:rPr>
        <w:t>。</w:t>
      </w:r>
    </w:p>
    <w:p>
      <w:pPr>
        <w:jc w:val="left"/>
        <w:rPr>
          <w:rFonts w:ascii="方正仿宋_GBK" w:eastAsia="方正仿宋_GBK" w:cs="宋体" w:hint="eastAsia"/>
          <w:sz w:val="32"/>
          <w:szCs w:val="32"/>
          <w:lang w:bidi="ar-SA"/>
        </w:rPr>
      </w:pPr>
      <w:r>
        <w:rPr>
          <w:rFonts w:ascii="方正仿宋_GBK" w:eastAsia="方正仿宋_GBK" w:cs="宋体" w:hint="eastAsia"/>
          <w:sz w:val="32"/>
          <w:szCs w:val="32"/>
          <w:lang w:bidi="ar-SA"/>
        </w:rPr>
        <w:t>     （</w:t>
      </w:r>
      <w:r>
        <w:rPr>
          <w:rFonts w:ascii="方正仿宋_GBK" w:eastAsia="方正仿宋_GBK" w:cs="宋体" w:hint="eastAsia"/>
          <w:sz w:val="32"/>
          <w:szCs w:val="32"/>
          <w:lang w:val="en-US" w:eastAsia="zh-CN" w:bidi="ar-SA"/>
        </w:rPr>
        <w:t>4</w:t>
      </w:r>
      <w:r>
        <w:rPr>
          <w:rFonts w:ascii="方正仿宋_GBK" w:eastAsia="方正仿宋_GBK" w:cs="宋体" w:hint="eastAsia"/>
          <w:sz w:val="32"/>
          <w:szCs w:val="32"/>
          <w:lang w:bidi="ar-SA"/>
        </w:rPr>
        <w:t>）住房保障支出7.59万元，占</w:t>
      </w:r>
      <w:r>
        <w:rPr>
          <w:rFonts w:ascii="方正仿宋_GBK" w:eastAsia="方正仿宋_GBK" w:cs="宋体" w:hint="eastAsia"/>
          <w:sz w:val="32"/>
          <w:szCs w:val="32"/>
          <w:lang w:val="en-US" w:eastAsia="zh-CN" w:bidi="ar-SA"/>
        </w:rPr>
        <w:t>3.16</w:t>
      </w:r>
      <w:r>
        <w:rPr>
          <w:rFonts w:ascii="方正仿宋_GBK" w:eastAsia="方正仿宋_GBK" w:cs="宋体" w:hint="eastAsia"/>
          <w:sz w:val="32"/>
          <w:szCs w:val="32"/>
          <w:lang w:bidi="ar-SA"/>
        </w:rPr>
        <w:t>%，与年初预算数一致。</w:t>
      </w:r>
    </w:p>
    <w:p>
      <w:pPr>
        <w:spacing w:line="600" w:lineRule="exact"/>
        <w:ind w:leftChars="76" w:left="160" w:firstLineChars="150" w:firstLine="480"/>
        <w:jc w:val="left"/>
        <w:rPr>
          <w:rFonts w:ascii="方正仿宋_GBK" w:eastAsia="方正仿宋_GBK" w:cs="宋体" w:hint="eastAsia"/>
          <w:sz w:val="32"/>
          <w:szCs w:val="32"/>
          <w:lang w:bidi="ar-SA"/>
        </w:rPr>
      </w:pPr>
      <w:r>
        <w:rPr>
          <w:rFonts w:ascii="方正仿宋_GBK" w:eastAsia="方正仿宋_GBK" w:cs="宋体" w:hint="eastAsia"/>
          <w:b/>
          <w:sz w:val="32"/>
          <w:szCs w:val="32"/>
          <w:lang w:bidi="ar-SA"/>
        </w:rPr>
        <w:t>（四）一般公共预算财政拨款基本支出决算情况说明</w:t>
      </w:r>
    </w:p>
    <w:p>
      <w:pPr>
        <w:ind w:firstLineChars="200" w:firstLine="640"/>
        <w:jc w:val="left"/>
        <w:rPr>
          <w:rFonts w:ascii="方正仿宋_GBK" w:eastAsia="方正仿宋_GBK" w:cs="宋体" w:hint="eastAsia"/>
          <w:sz w:val="32"/>
          <w:szCs w:val="32"/>
          <w:lang w:bidi="ar-SA"/>
        </w:rPr>
      </w:pPr>
      <w:r>
        <w:rPr>
          <w:rFonts w:ascii="方正仿宋_GBK" w:eastAsia="方正仿宋_GBK" w:cs="宋体" w:hint="eastAsia"/>
          <w:sz w:val="32"/>
          <w:szCs w:val="32"/>
          <w:lang w:bidi="ar-SA"/>
        </w:rPr>
        <w:t>202</w:t>
      </w:r>
      <w:r>
        <w:rPr>
          <w:rFonts w:ascii="方正仿宋_GBK" w:eastAsia="方正仿宋_GBK" w:cs="宋体" w:hint="eastAsia"/>
          <w:sz w:val="32"/>
          <w:szCs w:val="32"/>
          <w:lang w:val="en-US" w:eastAsia="zh-CN" w:bidi="ar-SA"/>
        </w:rPr>
        <w:t>2</w:t>
      </w:r>
      <w:r>
        <w:rPr>
          <w:rFonts w:ascii="方正仿宋_GBK" w:eastAsia="方正仿宋_GBK" w:cs="宋体" w:hint="eastAsia"/>
          <w:sz w:val="32"/>
          <w:szCs w:val="32"/>
          <w:lang w:bidi="ar-SA"/>
        </w:rPr>
        <w:t>度一般公共财政拨款基本支出</w:t>
      </w:r>
      <w:r>
        <w:rPr>
          <w:rFonts w:ascii="方正仿宋_GBK" w:eastAsia="方正仿宋_GBK" w:cs="宋体" w:hint="eastAsia"/>
          <w:sz w:val="32"/>
          <w:szCs w:val="32"/>
          <w:lang w:val="en-US" w:eastAsia="zh-CN" w:bidi="ar-SA"/>
        </w:rPr>
        <w:t>171.16</w:t>
      </w:r>
      <w:r>
        <w:rPr>
          <w:rFonts w:ascii="方正仿宋_GBK" w:eastAsia="方正仿宋_GBK" w:cs="宋体" w:hint="eastAsia"/>
          <w:sz w:val="32"/>
          <w:szCs w:val="32"/>
          <w:lang w:bidi="ar-SA"/>
        </w:rPr>
        <w:t>万元。其中：人员经费</w:t>
      </w:r>
      <w:r>
        <w:rPr>
          <w:rFonts w:ascii="方正仿宋_GBK" w:eastAsia="方正仿宋_GBK" w:cs="宋体" w:hint="eastAsia"/>
          <w:sz w:val="32"/>
          <w:szCs w:val="32"/>
          <w:lang w:val="en-US" w:eastAsia="zh-CN" w:bidi="ar-SA"/>
        </w:rPr>
        <w:t>146.11</w:t>
      </w:r>
      <w:r>
        <w:rPr>
          <w:rFonts w:ascii="方正仿宋_GBK" w:eastAsia="方正仿宋_GBK" w:cs="宋体" w:hint="eastAsia"/>
          <w:sz w:val="32"/>
          <w:szCs w:val="32"/>
          <w:lang w:bidi="ar-SA"/>
        </w:rPr>
        <w:t>万元</w:t>
      </w:r>
      <w:r>
        <w:rPr>
          <w:rFonts w:ascii="方正仿宋_GBK" w:eastAsia="方正仿宋_GBK" w:cs="宋体" w:hint="eastAsia"/>
          <w:sz w:val="32"/>
          <w:szCs w:val="32"/>
          <w:lang w:eastAsia="zh-CN" w:bidi="ar-SA"/>
        </w:rPr>
        <w:t>，</w:t>
      </w:r>
      <w:r>
        <w:rPr>
          <w:rFonts w:ascii="方正仿宋_GBK" w:eastAsia="方正仿宋_GBK" w:cs="宋体" w:hint="eastAsia"/>
          <w:sz w:val="32"/>
          <w:szCs w:val="32"/>
          <w:lang w:bidi="ar-SA"/>
        </w:rPr>
        <w:t>人员经费用途主要包括基本工资、津贴补贴、奖金、社会保障缴费等</w:t>
      </w:r>
      <w:r>
        <w:rPr>
          <w:rFonts w:ascii="方正仿宋_GBK" w:eastAsia="方正仿宋_GBK" w:cs="宋体" w:hint="eastAsia"/>
          <w:sz w:val="32"/>
          <w:szCs w:val="32"/>
          <w:lang w:eastAsia="zh-CN" w:bidi="ar-SA"/>
        </w:rPr>
        <w:t>。</w:t>
      </w:r>
      <w:r>
        <w:rPr>
          <w:rFonts w:ascii="方正仿宋_GBK" w:eastAsia="方正仿宋_GBK" w:cs="宋体" w:hint="eastAsia"/>
          <w:sz w:val="32"/>
          <w:szCs w:val="32"/>
          <w:lang w:val="en-US" w:eastAsia="zh-CN" w:bidi="ar-SA"/>
        </w:rPr>
        <w:t>公用经费25.05万元，</w:t>
      </w:r>
      <w:r>
        <w:rPr>
          <w:rFonts w:ascii="方正仿宋_GBK" w:eastAsia="方正仿宋_GBK" w:cs="宋体" w:hint="eastAsia"/>
          <w:sz w:val="32"/>
          <w:szCs w:val="32"/>
          <w:lang w:bidi="ar-SA"/>
        </w:rPr>
        <w:t>公用经费用途主要包括办公费、印刷费、咨询费、邮电费、水费、电费、差旅费、物业管理费等。</w:t>
      </w:r>
    </w:p>
    <w:p>
      <w:pPr>
        <w:spacing w:line="600" w:lineRule="exact"/>
        <w:ind w:firstLineChars="200" w:firstLine="640"/>
        <w:jc w:val="left"/>
        <w:rPr>
          <w:rFonts w:ascii="方正仿宋_GBK" w:eastAsia="方正仿宋_GBK" w:cs="宋体" w:hint="eastAsia"/>
          <w:sz w:val="32"/>
          <w:szCs w:val="32"/>
          <w:lang w:bidi="ar-SA"/>
        </w:rPr>
      </w:pPr>
      <w:r>
        <w:rPr>
          <w:rFonts w:ascii="方正仿宋_GBK" w:eastAsia="方正仿宋_GBK" w:cs="宋体" w:hint="eastAsia"/>
          <w:b/>
          <w:sz w:val="32"/>
          <w:szCs w:val="32"/>
          <w:lang w:bidi="ar-SA"/>
        </w:rPr>
        <w:t>（五）政府性基金预算收支决算情况说明</w:t>
      </w:r>
    </w:p>
    <w:p>
      <w:pPr>
        <w:spacing w:line="600" w:lineRule="exact"/>
        <w:ind w:firstLineChars="200" w:firstLine="640"/>
        <w:jc w:val="left"/>
        <w:rPr>
          <w:rFonts w:ascii="方正仿宋_GBK" w:eastAsia="方正仿宋_GBK" w:cs="宋体" w:hint="eastAsia"/>
          <w:sz w:val="32"/>
          <w:szCs w:val="32"/>
          <w:lang w:bidi="ar-SA"/>
        </w:rPr>
      </w:pPr>
      <w:r>
        <w:rPr>
          <w:rFonts w:ascii="方正仿宋_GBK" w:eastAsia="方正仿宋_GBK" w:cs="宋体" w:hint="eastAsia"/>
          <w:sz w:val="32"/>
          <w:szCs w:val="32"/>
          <w:lang w:bidi="ar-SA"/>
        </w:rPr>
        <w:t>本单位政府性基金预算收入支出，故本表无数据，与年初预算数一致。</w:t>
      </w:r>
    </w:p>
    <w:p>
      <w:pPr>
        <w:spacing w:line="600" w:lineRule="exact"/>
        <w:ind w:firstLineChars="200" w:firstLine="640"/>
        <w:jc w:val="left"/>
        <w:rPr>
          <w:rFonts w:ascii="方正仿宋_GBK" w:eastAsia="方正仿宋_GBK" w:cs="宋体" w:hint="eastAsia"/>
          <w:b/>
          <w:sz w:val="32"/>
          <w:szCs w:val="32"/>
          <w:lang w:bidi="ar-SA"/>
        </w:rPr>
      </w:pPr>
      <w:r>
        <w:rPr>
          <w:rFonts w:ascii="方正仿宋_GBK" w:eastAsia="方正仿宋_GBK" w:cs="宋体" w:hint="eastAsia"/>
          <w:b/>
          <w:sz w:val="32"/>
          <w:szCs w:val="32"/>
          <w:lang w:bidi="ar-SA"/>
        </w:rPr>
        <w:t>（六）国有资本经营预算</w:t>
      </w:r>
    </w:p>
    <w:p>
      <w:pPr>
        <w:spacing w:line="600" w:lineRule="exact"/>
        <w:ind w:firstLineChars="200" w:firstLine="640"/>
        <w:jc w:val="left"/>
        <w:rPr>
          <w:rFonts w:ascii="方正仿宋_GBK" w:eastAsia="方正仿宋_GBK" w:cs="宋体" w:hint="eastAsia"/>
          <w:sz w:val="32"/>
          <w:szCs w:val="32"/>
          <w:lang w:bidi="ar-SA"/>
        </w:rPr>
      </w:pPr>
      <w:r>
        <w:rPr>
          <w:rFonts w:ascii="方正仿宋_GBK" w:eastAsia="方正仿宋_GBK" w:cs="宋体" w:hint="eastAsia"/>
          <w:sz w:val="32"/>
          <w:szCs w:val="32"/>
          <w:lang w:bidi="ar-SA"/>
        </w:rPr>
        <w:t>本单位无国有资本经营预算财政拨款支出，故本表无数据，与年初预算数一致。</w:t>
      </w:r>
    </w:p>
    <w:p>
      <w:pPr>
        <w:spacing w:line="600" w:lineRule="exact"/>
        <w:ind w:firstLineChars="200" w:firstLine="640"/>
        <w:rPr>
          <w:rFonts w:ascii="Times New Roman" w:hAnsi="Times New Roman" w:hint="eastAsia"/>
          <w:sz w:val="30"/>
          <w:szCs w:val="30"/>
        </w:rPr>
      </w:pPr>
      <w:r>
        <w:rPr>
          <w:rFonts w:ascii="Times New Roman" w:eastAsia="方正黑体_GBK" w:hAnsi="Times New Roman" w:hint="eastAsia"/>
          <w:sz w:val="32"/>
          <w:szCs w:val="32"/>
        </w:rPr>
        <w:t xml:space="preserve">三、“三公”经费情况说明 </w:t>
      </w:r>
    </w:p>
    <w:p>
      <w:pPr>
        <w:spacing w:line="600" w:lineRule="exact"/>
        <w:ind w:firstLineChars="200" w:firstLine="640"/>
        <w:rPr>
          <w:rFonts w:ascii="Times New Roman" w:eastAsia="方正仿宋_GBK" w:hAnsi="Times New Roman" w:hint="eastAsia"/>
          <w:sz w:val="32"/>
          <w:szCs w:val="32"/>
        </w:rPr>
      </w:pPr>
      <w:r>
        <w:rPr>
          <w:rFonts w:ascii="Times New Roman" w:eastAsia="方正楷体_GBK" w:hAnsi="Times New Roman" w:hint="eastAsia"/>
          <w:color w:val="333333"/>
          <w:sz w:val="32"/>
          <w:szCs w:val="32"/>
        </w:rPr>
        <w:t>（一）“三公”经费支出情况。</w:t>
      </w:r>
    </w:p>
    <w:p>
      <w:pPr>
        <w:spacing w:line="600" w:lineRule="exact"/>
        <w:ind w:firstLineChars="200" w:firstLine="640"/>
        <w:jc w:val="left"/>
        <w:rPr>
          <w:rFonts w:ascii="方正仿宋_GBK" w:eastAsia="方正仿宋_GBK" w:cs="宋体" w:hint="eastAsia"/>
          <w:sz w:val="32"/>
          <w:szCs w:val="32"/>
          <w:lang w:bidi="ar-SA"/>
        </w:rPr>
      </w:pPr>
      <w:r>
        <w:rPr>
          <w:rFonts w:ascii="方正仿宋_GBK" w:eastAsia="方正仿宋_GBK" w:hint="eastAsia"/>
          <w:b/>
          <w:color w:val="333333"/>
          <w:sz w:val="32"/>
          <w:szCs w:val="32"/>
        </w:rPr>
        <w:t xml:space="preserve"> </w:t>
      </w:r>
      <w:r>
        <w:rPr>
          <w:rFonts w:ascii="方正仿宋_GBK" w:eastAsia="方正仿宋_GBK" w:cs="宋体" w:hint="eastAsia"/>
          <w:color w:val="333333"/>
          <w:sz w:val="32"/>
          <w:szCs w:val="32"/>
          <w:lang w:bidi="ar-SA"/>
        </w:rPr>
        <w:t>202</w:t>
      </w:r>
      <w:r>
        <w:rPr>
          <w:rFonts w:ascii="方正仿宋_GBK" w:eastAsia="方正仿宋_GBK" w:cs="宋体" w:hint="eastAsia"/>
          <w:color w:val="333333"/>
          <w:sz w:val="32"/>
          <w:szCs w:val="32"/>
          <w:lang w:val="en-US" w:eastAsia="zh-CN" w:bidi="ar-SA"/>
        </w:rPr>
        <w:t>2</w:t>
      </w:r>
      <w:r>
        <w:rPr>
          <w:rFonts w:ascii="方正仿宋_GBK" w:eastAsia="方正仿宋_GBK" w:cs="宋体" w:hint="eastAsia"/>
          <w:color w:val="333333"/>
          <w:sz w:val="32"/>
          <w:szCs w:val="32"/>
          <w:lang w:bidi="ar-SA"/>
        </w:rPr>
        <w:t>年度“三公”经费支出共计</w:t>
      </w:r>
      <w:r>
        <w:rPr>
          <w:rFonts w:ascii="方正仿宋_GBK" w:eastAsia="方正仿宋_GBK" w:cs="宋体" w:hint="eastAsia"/>
          <w:color w:val="333333"/>
          <w:sz w:val="32"/>
          <w:szCs w:val="32"/>
          <w:lang w:val="en-US" w:eastAsia="zh-CN" w:bidi="ar-SA"/>
        </w:rPr>
        <w:t>5</w:t>
      </w:r>
      <w:r>
        <w:rPr>
          <w:rFonts w:ascii="方正仿宋_GBK" w:eastAsia="方正仿宋_GBK" w:cs="宋体" w:hint="eastAsia"/>
          <w:color w:val="333333"/>
          <w:sz w:val="32"/>
          <w:szCs w:val="32"/>
          <w:lang w:bidi="ar-SA"/>
        </w:rPr>
        <w:t>万元，较年初预算数</w:t>
      </w:r>
      <w:r>
        <w:rPr>
          <w:rFonts w:ascii="方正仿宋_GBK" w:eastAsia="方正仿宋_GBK" w:cs="宋体" w:hint="eastAsia"/>
          <w:sz w:val="32"/>
          <w:szCs w:val="32"/>
          <w:lang w:bidi="ar-SA"/>
        </w:rPr>
        <w:t>一致。</w:t>
      </w:r>
    </w:p>
    <w:p>
      <w:pPr>
        <w:pStyle w:val="18"/>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40" w:lineRule="atLeast"/>
        <w:ind w:left="0" w:right="0" w:firstLine="645"/>
        <w:jc w:val="both"/>
        <w:rPr>
          <w:rFonts w:ascii="方正仿宋_GBK" w:eastAsia="方正仿宋_GBK" w:cs="宋体" w:hint="eastAsia"/>
          <w:color w:val="333333"/>
          <w:kern w:val="2"/>
          <w:sz w:val="32"/>
          <w:szCs w:val="32"/>
          <w:lang w:val="en-US" w:eastAsia="zh-CN" w:bidi="ar-SA"/>
        </w:rPr>
      </w:pPr>
      <w:r>
        <w:rPr>
          <w:rFonts w:ascii="方正仿宋_GBK" w:eastAsia="方正仿宋_GBK" w:cs="宋体" w:hint="eastAsia"/>
          <w:color w:val="333333"/>
          <w:kern w:val="2"/>
          <w:sz w:val="32"/>
          <w:szCs w:val="32"/>
          <w:lang w:val="en-US" w:eastAsia="zh-CN" w:bidi="ar-SA"/>
        </w:rPr>
        <w:t>本单位2022年度未发生因公出国（境）费支出。</w:t>
      </w:r>
    </w:p>
    <w:p>
      <w:pPr>
        <w:pStyle w:val="18"/>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40" w:lineRule="atLeast"/>
        <w:ind w:left="0" w:right="0" w:firstLine="645"/>
        <w:jc w:val="both"/>
        <w:rPr>
          <w:rFonts w:ascii="方正仿宋_GBK" w:eastAsia="方正仿宋_GBK" w:cs="宋体" w:hint="eastAsia"/>
          <w:color w:val="333333"/>
          <w:kern w:val="2"/>
          <w:sz w:val="32"/>
          <w:szCs w:val="32"/>
          <w:lang w:val="en-US" w:eastAsia="zh-CN" w:bidi="ar-SA"/>
        </w:rPr>
      </w:pPr>
      <w:r>
        <w:rPr>
          <w:rFonts w:ascii="方正仿宋_GBK" w:eastAsia="方正仿宋_GBK" w:cs="宋体" w:hint="eastAsia"/>
          <w:color w:val="333333"/>
          <w:kern w:val="2"/>
          <w:sz w:val="32"/>
          <w:szCs w:val="32"/>
          <w:lang w:val="en-US" w:eastAsia="zh-CN" w:bidi="ar-SA"/>
        </w:rPr>
        <w:t>本单位2022年度无公务车购置费支出。</w:t>
      </w:r>
    </w:p>
    <w:p>
      <w:pPr>
        <w:pStyle w:val="18"/>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40" w:lineRule="atLeast"/>
        <w:ind w:left="0" w:right="0" w:firstLine="645"/>
        <w:jc w:val="both"/>
        <w:rPr>
          <w:rFonts w:ascii="方正仿宋_GBK" w:eastAsia="方正仿宋_GBK" w:cs="宋体" w:hint="eastAsia"/>
          <w:color w:val="333333"/>
          <w:kern w:val="2"/>
          <w:sz w:val="32"/>
          <w:szCs w:val="32"/>
          <w:lang w:val="en-US" w:eastAsia="zh-CN" w:bidi="ar-SA"/>
        </w:rPr>
      </w:pPr>
      <w:r>
        <w:rPr>
          <w:rFonts w:ascii="方正仿宋_GBK" w:eastAsia="方正仿宋_GBK" w:cs="宋体" w:hint="eastAsia"/>
          <w:color w:val="333333"/>
          <w:kern w:val="2"/>
          <w:sz w:val="32"/>
          <w:szCs w:val="32"/>
          <w:lang w:val="en-US" w:eastAsia="zh-CN" w:bidi="ar-SA"/>
        </w:rPr>
        <w:t>公务车运行维护费5万元，主要用于与各镇街、上级部门、各区县等联系相关业务</w:t>
      </w:r>
      <w:r>
        <w:rPr>
          <w:rFonts w:ascii="方正仿宋_GBK" w:eastAsia="方正仿宋_GBK" w:cs="宋体" w:hint="eastAsia"/>
          <w:color w:val="333333"/>
          <w:kern w:val="2"/>
          <w:sz w:val="32"/>
          <w:szCs w:val="32"/>
          <w:lang w:val="en-US" w:eastAsia="zh-CN" w:bidi="ar-SA"/>
        </w:rPr>
        <w:t>，</w:t>
      </w:r>
      <w:r>
        <w:rPr>
          <w:rFonts w:ascii="方正仿宋_GBK" w:eastAsia="方正仿宋_GBK" w:cs="宋体" w:hint="eastAsia"/>
          <w:color w:val="333333"/>
          <w:kern w:val="2"/>
          <w:sz w:val="32"/>
          <w:szCs w:val="32"/>
          <w:lang w:val="en-US" w:eastAsia="zh-CN" w:bidi="ar-SA"/>
        </w:rPr>
        <w:t>检查等工作所需车辆的燃料费、维修费、过路过桥费、保险费等。费用支出与年初预算数一致。上年为部门合并</w:t>
      </w:r>
      <w:r>
        <w:rPr>
          <w:rFonts w:ascii="方正仿宋_GBK" w:eastAsia="方正仿宋_GBK" w:cs="宋体" w:hint="eastAsia"/>
          <w:color w:val="333333"/>
          <w:kern w:val="2"/>
          <w:sz w:val="32"/>
          <w:szCs w:val="32"/>
          <w:lang w:val="en-US" w:eastAsia="zh-CN" w:bidi="ar-SA"/>
        </w:rPr>
        <w:t>决算</w:t>
      </w:r>
      <w:r>
        <w:rPr>
          <w:rFonts w:ascii="方正仿宋_GBK" w:eastAsia="方正仿宋_GBK" w:cs="宋体" w:hint="eastAsia"/>
          <w:color w:val="333333"/>
          <w:kern w:val="2"/>
          <w:sz w:val="32"/>
          <w:szCs w:val="32"/>
          <w:lang w:val="en-US" w:eastAsia="zh-CN" w:bidi="ar-SA"/>
        </w:rPr>
        <w:t>，本年为单位决算数据，故无上年支出数对比数。</w:t>
      </w:r>
    </w:p>
    <w:p>
      <w:pPr>
        <w:pStyle w:val="18"/>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40" w:lineRule="atLeast"/>
        <w:ind w:left="0" w:right="0" w:firstLine="645"/>
        <w:jc w:val="both"/>
        <w:rPr>
          <w:rFonts w:ascii="方正仿宋_GBK" w:eastAsia="方正仿宋_GBK" w:cs="宋体" w:hint="eastAsia"/>
          <w:color w:val="333333"/>
          <w:kern w:val="2"/>
          <w:sz w:val="32"/>
          <w:szCs w:val="32"/>
          <w:lang w:val="en-US" w:eastAsia="zh-CN" w:bidi="ar-SA"/>
        </w:rPr>
      </w:pPr>
      <w:r>
        <w:rPr>
          <w:rFonts w:ascii="方正仿宋_GBK" w:eastAsia="方正仿宋_GBK" w:cs="宋体" w:hint="eastAsia"/>
          <w:color w:val="333333"/>
          <w:kern w:val="2"/>
          <w:sz w:val="32"/>
          <w:szCs w:val="32"/>
          <w:lang w:val="en-US" w:eastAsia="zh-CN" w:bidi="ar-SA"/>
        </w:rPr>
        <w:t>本单位2022年度无公务接待费支出。</w:t>
      </w:r>
    </w:p>
    <w:p>
      <w:pPr>
        <w:numPr>
          <w:ilvl w:val="0"/>
          <w:numId w:val="1"/>
        </w:numPr>
        <w:tabs>
          <w:tab w:val="clear" w:pos="0"/>
          <w:tab w:val="left" w:pos="0"/>
        </w:tabs>
        <w:spacing w:line="600" w:lineRule="exact"/>
        <w:ind w:left="0" w:firstLineChars="200" w:firstLine="640"/>
        <w:rPr>
          <w:rFonts w:ascii="Times New Roman" w:eastAsia="方正仿宋_GBK" w:cs="宋体" w:hAnsi="Times New Roman" w:hint="eastAsia"/>
          <w:kern w:val="0"/>
          <w:sz w:val="32"/>
          <w:szCs w:val="32"/>
          <w:lang w:bidi="ar-SA"/>
        </w:rPr>
      </w:pPr>
      <w:r>
        <w:rPr>
          <w:rFonts w:ascii="Times New Roman" w:eastAsia="方正楷体_GBK" w:hAnsi="Times New Roman" w:hint="eastAsia"/>
          <w:color w:val="333333"/>
          <w:sz w:val="32"/>
          <w:szCs w:val="32"/>
        </w:rPr>
        <w:t>“三公”经费实物量情况。</w:t>
      </w:r>
    </w:p>
    <w:p>
      <w:pPr>
        <w:spacing w:line="600" w:lineRule="exact"/>
        <w:ind w:firstLineChars="200" w:firstLine="640"/>
        <w:jc w:val="left"/>
        <w:rPr>
          <w:rFonts w:ascii="Times New Roman" w:eastAsia="方正仿宋_GBK" w:cs="宋体" w:hAnsi="Times New Roman" w:hint="eastAsia"/>
          <w:kern w:val="0"/>
          <w:sz w:val="32"/>
          <w:szCs w:val="32"/>
          <w:lang w:bidi="ar-SA"/>
        </w:rPr>
      </w:pPr>
      <w:r>
        <w:rPr>
          <w:rFonts w:ascii="方正仿宋_GBK" w:eastAsia="方正仿宋_GBK" w:hint="eastAsia"/>
          <w:color w:val="333333"/>
          <w:sz w:val="32"/>
          <w:szCs w:val="32"/>
        </w:rPr>
        <w:t>   202</w:t>
      </w:r>
      <w:r>
        <w:rPr>
          <w:rFonts w:ascii="方正仿宋_GBK" w:eastAsia="方正仿宋_GBK" w:hint="eastAsia"/>
          <w:color w:val="333333"/>
          <w:sz w:val="32"/>
          <w:szCs w:val="32"/>
          <w:lang w:val="en-US" w:eastAsia="zh-CN"/>
        </w:rPr>
        <w:t>2</w:t>
      </w:r>
      <w:r>
        <w:rPr>
          <w:rFonts w:ascii="方正仿宋_GBK" w:eastAsia="方正仿宋_GBK" w:hint="eastAsia"/>
          <w:color w:val="333333"/>
          <w:sz w:val="32"/>
          <w:szCs w:val="32"/>
        </w:rPr>
        <w:t>年度本</w:t>
      </w:r>
      <w:r>
        <w:rPr>
          <w:rFonts w:ascii="方正仿宋_GBK" w:eastAsia="方正仿宋_GBK" w:hint="eastAsia"/>
          <w:color w:val="333333"/>
          <w:sz w:val="32"/>
          <w:szCs w:val="32"/>
          <w:lang w:val="en-US" w:eastAsia="zh-CN"/>
        </w:rPr>
        <w:t>单位</w:t>
      </w:r>
      <w:r>
        <w:rPr>
          <w:rFonts w:ascii="方正仿宋_GBK" w:eastAsia="方正仿宋_GBK" w:hint="eastAsia"/>
          <w:color w:val="333333"/>
          <w:sz w:val="32"/>
          <w:szCs w:val="32"/>
        </w:rPr>
        <w:t>因公出国（境）共计0个团组，0人；公务用车购置0辆，公务车保有量为</w:t>
      </w:r>
      <w:r>
        <w:rPr>
          <w:rFonts w:ascii="方正仿宋_GBK" w:eastAsia="方正仿宋_GBK" w:hint="eastAsia"/>
          <w:color w:val="333333"/>
          <w:sz w:val="32"/>
          <w:szCs w:val="32"/>
          <w:lang w:val="en-US" w:eastAsia="zh-CN"/>
        </w:rPr>
        <w:t>1</w:t>
      </w:r>
      <w:r>
        <w:rPr>
          <w:rFonts w:ascii="方正仿宋_GBK" w:eastAsia="方正仿宋_GBK" w:hint="eastAsia"/>
          <w:color w:val="333333"/>
          <w:sz w:val="32"/>
          <w:szCs w:val="32"/>
        </w:rPr>
        <w:t>辆；国内公务接待</w:t>
      </w:r>
      <w:r>
        <w:rPr>
          <w:rFonts w:ascii="方正仿宋_GBK" w:eastAsia="方正仿宋_GBK" w:hint="eastAsia"/>
          <w:color w:val="333333"/>
          <w:sz w:val="32"/>
          <w:szCs w:val="32"/>
          <w:lang w:val="en-US" w:eastAsia="zh-CN"/>
        </w:rPr>
        <w:t>0</w:t>
      </w:r>
      <w:r>
        <w:rPr>
          <w:rFonts w:ascii="方正仿宋_GBK" w:eastAsia="方正仿宋_GBK" w:hint="eastAsia"/>
          <w:color w:val="333333"/>
          <w:sz w:val="32"/>
          <w:szCs w:val="32"/>
        </w:rPr>
        <w:t>批次</w:t>
      </w:r>
      <w:r>
        <w:rPr>
          <w:rFonts w:ascii="方正仿宋_GBK" w:eastAsia="方正仿宋_GBK" w:hint="eastAsia"/>
          <w:color w:val="333333"/>
          <w:sz w:val="32"/>
          <w:szCs w:val="32"/>
          <w:lang w:val="en-US" w:eastAsia="zh-CN"/>
        </w:rPr>
        <w:t>0</w:t>
      </w:r>
      <w:r>
        <w:rPr>
          <w:rFonts w:ascii="方正仿宋_GBK" w:eastAsia="方正仿宋_GBK" w:hint="eastAsia"/>
          <w:color w:val="333333"/>
          <w:sz w:val="32"/>
          <w:szCs w:val="32"/>
        </w:rPr>
        <w:t>人，其中：国内外事接待0批次，0人；国（境）外公务接待0批次，0人。202</w:t>
      </w:r>
      <w:r>
        <w:rPr>
          <w:rFonts w:ascii="方正仿宋_GBK" w:eastAsia="方正仿宋_GBK" w:hint="eastAsia"/>
          <w:color w:val="333333"/>
          <w:sz w:val="32"/>
          <w:szCs w:val="32"/>
          <w:lang w:val="en-US" w:eastAsia="zh-CN"/>
        </w:rPr>
        <w:t>2</w:t>
      </w:r>
      <w:r>
        <w:rPr>
          <w:rFonts w:ascii="方正仿宋_GBK" w:eastAsia="方正仿宋_GBK" w:hint="eastAsia"/>
          <w:color w:val="333333"/>
          <w:sz w:val="32"/>
          <w:szCs w:val="32"/>
        </w:rPr>
        <w:t>年本</w:t>
      </w:r>
      <w:r>
        <w:rPr>
          <w:rFonts w:ascii="方正仿宋_GBK" w:eastAsia="方正仿宋_GBK" w:hint="eastAsia"/>
          <w:color w:val="333333"/>
          <w:sz w:val="32"/>
          <w:szCs w:val="32"/>
          <w:lang w:val="en-US" w:eastAsia="zh-CN"/>
        </w:rPr>
        <w:t>单位</w:t>
      </w:r>
      <w:r>
        <w:rPr>
          <w:rFonts w:ascii="方正仿宋_GBK" w:eastAsia="方正仿宋_GBK" w:hint="eastAsia"/>
          <w:color w:val="333333"/>
          <w:sz w:val="32"/>
          <w:szCs w:val="32"/>
        </w:rPr>
        <w:t>人均接待费</w:t>
      </w:r>
      <w:r>
        <w:rPr>
          <w:rFonts w:ascii="方正仿宋_GBK" w:eastAsia="方正仿宋_GBK" w:hint="eastAsia"/>
          <w:color w:val="333333"/>
          <w:sz w:val="32"/>
          <w:szCs w:val="32"/>
          <w:lang w:val="en-US" w:eastAsia="zh-CN"/>
        </w:rPr>
        <w:t>0</w:t>
      </w:r>
      <w:r>
        <w:rPr>
          <w:rFonts w:ascii="方正仿宋_GBK" w:eastAsia="方正仿宋_GBK" w:hint="eastAsia"/>
          <w:color w:val="333333"/>
          <w:sz w:val="32"/>
          <w:szCs w:val="32"/>
        </w:rPr>
        <w:t>元，车均购置费</w:t>
      </w:r>
      <w:r>
        <w:rPr>
          <w:rFonts w:ascii="方正仿宋_GBK" w:eastAsia="方正仿宋_GBK" w:hint="eastAsia"/>
          <w:color w:val="333333"/>
          <w:sz w:val="32"/>
          <w:szCs w:val="32"/>
          <w:lang w:val="en-US" w:eastAsia="zh-CN"/>
        </w:rPr>
        <w:t>0</w:t>
      </w:r>
      <w:r>
        <w:rPr>
          <w:rFonts w:ascii="方正仿宋_GBK" w:eastAsia="方正仿宋_GBK" w:hint="eastAsia"/>
          <w:color w:val="333333"/>
          <w:sz w:val="32"/>
          <w:szCs w:val="32"/>
        </w:rPr>
        <w:t>万元，车均维护费</w:t>
      </w:r>
      <w:r>
        <w:rPr>
          <w:rFonts w:ascii="方正仿宋_GBK" w:eastAsia="方正仿宋_GBK" w:hint="eastAsia"/>
          <w:color w:val="333333"/>
          <w:sz w:val="32"/>
          <w:szCs w:val="32"/>
          <w:lang w:val="en-US" w:eastAsia="zh-CN"/>
        </w:rPr>
        <w:t>5.00</w:t>
      </w:r>
      <w:r>
        <w:rPr>
          <w:rFonts w:ascii="方正仿宋_GBK" w:eastAsia="方正仿宋_GBK" w:hint="eastAsia"/>
          <w:color w:val="333333"/>
          <w:sz w:val="32"/>
          <w:szCs w:val="32"/>
        </w:rPr>
        <w:t>万元。</w:t>
      </w:r>
    </w:p>
    <w:p>
      <w:pPr>
        <w:spacing w:line="600" w:lineRule="exact"/>
        <w:ind w:firstLineChars="200" w:firstLine="640"/>
        <w:jc w:val="left"/>
        <w:rPr>
          <w:rFonts w:ascii="Times New Roman" w:eastAsia="方正仿宋_GBK" w:cs="宋体" w:hAnsi="Times New Roman" w:hint="eastAsia"/>
          <w:kern w:val="0"/>
          <w:sz w:val="32"/>
          <w:szCs w:val="32"/>
          <w:lang w:val="en-US" w:eastAsia="zh-CN" w:bidi="ar-SA"/>
        </w:rPr>
      </w:pPr>
    </w:p>
    <w:p>
      <w:pPr>
        <w:pStyle w:val="20"/>
        <w:tabs>
          <w:tab w:val="center" w:pos="4153"/>
          <w:tab w:val="left" w:pos="7275"/>
        </w:tabs>
        <w:spacing w:line="600" w:lineRule="exact"/>
        <w:rPr>
          <w:rFonts w:ascii="Times New Roman" w:eastAsia="方正黑体_GBK" w:hAnsi="Times New Roman" w:hint="eastAsia"/>
          <w:sz w:val="32"/>
          <w:szCs w:val="32"/>
        </w:rPr>
      </w:pPr>
      <w:r>
        <w:rPr>
          <w:rFonts w:ascii="Times New Roman" w:eastAsia="方正黑体_GBK" w:hAnsi="Times New Roman" w:hint="eastAsia"/>
          <w:sz w:val="32"/>
          <w:szCs w:val="32"/>
        </w:rPr>
        <w:t>四、其他需要说明的事项</w:t>
      </w:r>
    </w:p>
    <w:p>
      <w:pPr>
        <w:numPr>
          <w:ilvl w:val="0"/>
          <w:numId w:val="2"/>
        </w:numPr>
        <w:tabs>
          <w:tab w:val="clear" w:pos="1440"/>
          <w:tab w:val="left" w:pos="1440"/>
        </w:tabs>
        <w:spacing w:line="600" w:lineRule="exact"/>
        <w:rPr>
          <w:rFonts w:ascii="Times New Roman" w:eastAsia="方正楷体_GBK" w:hAnsi="Times New Roman"/>
          <w:color w:val="333333"/>
          <w:sz w:val="32"/>
          <w:szCs w:val="32"/>
        </w:rPr>
      </w:pPr>
      <w:r>
        <w:rPr>
          <w:rFonts w:ascii="Times New Roman" w:eastAsia="方正楷体_GBK" w:hAnsi="Times New Roman" w:hint="eastAsia"/>
          <w:color w:val="333333"/>
          <w:sz w:val="32"/>
          <w:szCs w:val="32"/>
        </w:rPr>
        <w:t>机关运行经费情况说明。</w:t>
      </w:r>
    </w:p>
    <w:p>
      <w:pPr>
        <w:spacing w:line="600" w:lineRule="exact"/>
        <w:ind w:firstLineChars="200" w:firstLine="640"/>
        <w:rPr>
          <w:rFonts w:ascii="Times New Roman" w:eastAsia="方正仿宋_GBK" w:cs="宋体" w:hAnsi="Times New Roman" w:hint="eastAsia"/>
          <w:kern w:val="0"/>
          <w:sz w:val="32"/>
          <w:szCs w:val="32"/>
          <w:lang w:eastAsia="zh-CN" w:bidi="ar-SA"/>
        </w:rPr>
      </w:pPr>
      <w:r>
        <w:rPr>
          <w:rFonts w:ascii="Times New Roman" w:eastAsia="方正仿宋_GBK" w:cs="宋体" w:hAnsi="Times New Roman"/>
          <w:kern w:val="0"/>
          <w:sz w:val="32"/>
          <w:szCs w:val="32"/>
          <w:lang w:bidi="ar-SA"/>
        </w:rPr>
        <w:t>按照部门决算</w:t>
      </w:r>
      <w:r>
        <w:rPr>
          <w:rFonts w:ascii="Times New Roman" w:eastAsia="方正仿宋_GBK" w:cs="宋体" w:hAnsi="Times New Roman" w:hint="eastAsia"/>
          <w:kern w:val="0"/>
          <w:sz w:val="32"/>
          <w:szCs w:val="32"/>
          <w:lang w:bidi="ar-SA"/>
        </w:rPr>
        <w:t>列报</w:t>
      </w:r>
      <w:r>
        <w:rPr>
          <w:rFonts w:ascii="Times New Roman" w:eastAsia="方正仿宋_GBK" w:cs="宋体" w:hAnsi="Times New Roman"/>
          <w:kern w:val="0"/>
          <w:sz w:val="32"/>
          <w:szCs w:val="32"/>
          <w:lang w:bidi="ar-SA"/>
        </w:rPr>
        <w:t>口径，我单位不在机关运行经费统计范围之内</w:t>
      </w:r>
      <w:r>
        <w:rPr>
          <w:rFonts w:ascii="Times New Roman" w:eastAsia="方正仿宋_GBK" w:cs="宋体" w:hAnsi="Times New Roman" w:hint="eastAsia"/>
          <w:kern w:val="0"/>
          <w:sz w:val="32"/>
          <w:szCs w:val="32"/>
          <w:lang w:eastAsia="zh-CN" w:bidi="ar-SA"/>
        </w:rPr>
        <w:t>。</w:t>
      </w:r>
    </w:p>
    <w:p>
      <w:pPr>
        <w:spacing w:line="600" w:lineRule="exact"/>
        <w:ind w:firstLineChars="150" w:firstLine="480"/>
        <w:rPr>
          <w:rFonts w:ascii="Times New Roman" w:eastAsia="方正楷体_GBK" w:hAnsi="Times New Roman"/>
          <w:color w:val="333333"/>
          <w:sz w:val="32"/>
          <w:szCs w:val="32"/>
        </w:rPr>
      </w:pPr>
      <w:r>
        <w:rPr>
          <w:rFonts w:ascii="Times New Roman" w:eastAsia="方正楷体_GBK" w:hAnsi="Times New Roman" w:hint="eastAsia"/>
          <w:color w:val="333333"/>
          <w:sz w:val="32"/>
          <w:szCs w:val="32"/>
        </w:rPr>
        <w:t>（二）国有资产占用情况说明。</w:t>
      </w:r>
    </w:p>
    <w:p>
      <w:pPr>
        <w:spacing w:line="600" w:lineRule="exact"/>
        <w:ind w:firstLineChars="200" w:firstLine="640"/>
        <w:rPr>
          <w:rFonts w:ascii="Times New Roman" w:eastAsia="方正楷体_GBK" w:hAnsi="Times New Roman" w:hint="eastAsia"/>
          <w:color w:val="333333"/>
          <w:sz w:val="32"/>
          <w:szCs w:val="32"/>
        </w:rPr>
      </w:pPr>
      <w:r>
        <w:rPr>
          <w:rFonts w:ascii="Times New Roman" w:eastAsia="方正仿宋_GBK" w:cs="宋体" w:hAnsi="Times New Roman" w:hint="eastAsia"/>
          <w:kern w:val="0"/>
          <w:sz w:val="32"/>
          <w:szCs w:val="32"/>
          <w:lang w:bidi="ar-SA"/>
        </w:rPr>
        <w:t>截至202</w:t>
      </w:r>
      <w:r>
        <w:rPr>
          <w:rFonts w:ascii="Times New Roman" w:eastAsia="方正仿宋_GBK" w:cs="宋体" w:hAnsi="Times New Roman" w:hint="eastAsia"/>
          <w:kern w:val="0"/>
          <w:sz w:val="32"/>
          <w:szCs w:val="32"/>
          <w:lang w:val="en-US" w:eastAsia="zh-CN" w:bidi="ar-SA"/>
        </w:rPr>
        <w:t>2</w:t>
      </w:r>
      <w:r>
        <w:rPr>
          <w:rFonts w:ascii="Times New Roman" w:eastAsia="方正仿宋_GBK" w:cs="宋体" w:hAnsi="Times New Roman" w:hint="eastAsia"/>
          <w:kern w:val="0"/>
          <w:sz w:val="32"/>
          <w:szCs w:val="32"/>
          <w:lang w:bidi="ar-SA"/>
        </w:rPr>
        <w:t>年12月31日，本</w:t>
      </w:r>
      <w:r>
        <w:rPr>
          <w:rFonts w:eastAsia="方正仿宋_GBK" w:cs="宋体" w:hint="eastAsia"/>
          <w:kern w:val="0"/>
          <w:sz w:val="32"/>
          <w:szCs w:val="32"/>
          <w:lang w:val="en-US" w:eastAsia="zh-CN" w:bidi="ar-SA"/>
        </w:rPr>
        <w:t>单位</w:t>
      </w:r>
      <w:r>
        <w:rPr>
          <w:rFonts w:ascii="Times New Roman" w:eastAsia="方正仿宋_GBK" w:cs="宋体" w:hAnsi="Times New Roman" w:hint="eastAsia"/>
          <w:kern w:val="0"/>
          <w:sz w:val="32"/>
          <w:szCs w:val="32"/>
          <w:lang w:bidi="ar-SA"/>
        </w:rPr>
        <w:t>共有车辆</w:t>
      </w:r>
      <w:r>
        <w:rPr>
          <w:rFonts w:eastAsia="方正仿宋_GBK" w:cs="宋体" w:hint="eastAsia"/>
          <w:kern w:val="0"/>
          <w:sz w:val="32"/>
          <w:szCs w:val="32"/>
          <w:lang w:val="en-US" w:eastAsia="zh-CN" w:bidi="ar-SA"/>
        </w:rPr>
        <w:t>1</w:t>
      </w:r>
      <w:r>
        <w:rPr>
          <w:rFonts w:ascii="Times New Roman" w:eastAsia="方正仿宋_GBK" w:cs="宋体" w:hAnsi="Times New Roman" w:hint="eastAsia"/>
          <w:kern w:val="0"/>
          <w:sz w:val="32"/>
          <w:szCs w:val="32"/>
          <w:lang w:bidi="ar-SA"/>
        </w:rPr>
        <w:t>辆。其中：机要通信用车</w:t>
      </w:r>
      <w:r>
        <w:rPr>
          <w:rFonts w:eastAsia="方正仿宋_GBK" w:cs="宋体" w:hint="eastAsia"/>
          <w:kern w:val="0"/>
          <w:sz w:val="32"/>
          <w:szCs w:val="32"/>
          <w:lang w:val="en-US" w:eastAsia="zh-CN" w:bidi="ar-SA"/>
        </w:rPr>
        <w:t>1</w:t>
      </w:r>
      <w:r>
        <w:rPr>
          <w:rFonts w:ascii="Times New Roman" w:eastAsia="方正仿宋_GBK" w:cs="宋体" w:hAnsi="Times New Roman" w:hint="eastAsia"/>
          <w:kern w:val="0"/>
          <w:sz w:val="32"/>
          <w:szCs w:val="32"/>
          <w:lang w:bidi="ar-SA"/>
        </w:rPr>
        <w:t>辆。单价100万元（含）以上设备</w:t>
      </w:r>
      <w:r>
        <w:rPr>
          <w:rFonts w:eastAsia="方正仿宋_GBK" w:cs="宋体" w:hint="eastAsia"/>
          <w:kern w:val="0"/>
          <w:sz w:val="32"/>
          <w:szCs w:val="32"/>
          <w:lang w:val="en-US" w:eastAsia="zh-CN" w:bidi="ar-SA"/>
        </w:rPr>
        <w:t>0</w:t>
      </w:r>
      <w:r>
        <w:rPr>
          <w:rFonts w:ascii="Times New Roman" w:eastAsia="方正仿宋_GBK" w:cs="宋体" w:hAnsi="Times New Roman" w:hint="eastAsia"/>
          <w:kern w:val="0"/>
          <w:sz w:val="32"/>
          <w:szCs w:val="32"/>
          <w:lang w:bidi="ar-SA"/>
        </w:rPr>
        <w:t>台（套）。</w:t>
      </w:r>
    </w:p>
    <w:p>
      <w:pPr>
        <w:numPr>
          <w:ilvl w:val="0"/>
          <w:numId w:val="1"/>
        </w:numPr>
        <w:tabs>
          <w:tab w:val="clear" w:pos="0"/>
          <w:tab w:val="left" w:pos="0"/>
        </w:tabs>
        <w:spacing w:line="600" w:lineRule="exact"/>
        <w:ind w:left="0" w:firstLineChars="200" w:firstLine="640"/>
        <w:rPr>
          <w:rFonts w:ascii="Times New Roman" w:eastAsia="方正楷体_GBK" w:hAnsi="Times New Roman" w:hint="eastAsia"/>
          <w:color w:val="333333"/>
          <w:sz w:val="32"/>
          <w:szCs w:val="32"/>
        </w:rPr>
      </w:pPr>
      <w:r>
        <w:rPr>
          <w:rFonts w:ascii="Times New Roman" w:eastAsia="方正楷体_GBK" w:hAnsi="Times New Roman" w:hint="eastAsia"/>
          <w:color w:val="333333"/>
          <w:sz w:val="32"/>
          <w:szCs w:val="32"/>
        </w:rPr>
        <w:t>政府采购支出情况说明。</w:t>
      </w:r>
    </w:p>
    <w:p>
      <w:pPr>
        <w:spacing w:line="600" w:lineRule="exact"/>
        <w:ind w:leftChars="200" w:left="420" w:firstLineChars="100" w:firstLine="320"/>
        <w:rPr>
          <w:rFonts w:ascii="Times New Roman" w:eastAsia="方正楷体_GBK" w:hAnsi="Times New Roman" w:hint="eastAsia"/>
          <w:color w:val="333333"/>
          <w:sz w:val="32"/>
          <w:szCs w:val="32"/>
        </w:rPr>
      </w:pPr>
      <w:r>
        <w:rPr>
          <w:rFonts w:ascii="Times New Roman" w:eastAsia="方正楷体_GBK" w:hAnsi="Times New Roman"/>
          <w:color w:val="333333"/>
          <w:sz w:val="32"/>
          <w:szCs w:val="32"/>
        </w:rPr>
        <w:t xml:space="preserve"> </w:t>
      </w:r>
      <w:r>
        <w:rPr>
          <w:rFonts w:ascii="Times New Roman" w:eastAsia="方正仿宋_GBK" w:cs="宋体" w:hAnsi="Times New Roman" w:hint="eastAsia"/>
          <w:kern w:val="0"/>
          <w:sz w:val="32"/>
          <w:szCs w:val="32"/>
          <w:lang w:bidi="ar-SA"/>
        </w:rPr>
        <w:t>202</w:t>
      </w:r>
      <w:r>
        <w:rPr>
          <w:rFonts w:ascii="Times New Roman" w:eastAsia="方正仿宋_GBK" w:cs="宋体" w:hAnsi="Times New Roman" w:hint="eastAsia"/>
          <w:kern w:val="0"/>
          <w:sz w:val="32"/>
          <w:szCs w:val="32"/>
          <w:lang w:val="en-US" w:eastAsia="zh-CN" w:bidi="ar-SA"/>
        </w:rPr>
        <w:t>2</w:t>
      </w:r>
      <w:r>
        <w:rPr>
          <w:rFonts w:ascii="Times New Roman" w:eastAsia="方正仿宋_GBK" w:cs="宋体" w:hAnsi="Times New Roman" w:hint="eastAsia"/>
          <w:kern w:val="0"/>
          <w:sz w:val="32"/>
          <w:szCs w:val="32"/>
          <w:lang w:bidi="ar-SA"/>
        </w:rPr>
        <w:t>年度本</w:t>
      </w:r>
      <w:r>
        <w:rPr>
          <w:rFonts w:eastAsia="方正仿宋_GBK" w:cs="宋体" w:hint="eastAsia"/>
          <w:kern w:val="0"/>
          <w:sz w:val="32"/>
          <w:szCs w:val="32"/>
          <w:lang w:val="en-US" w:eastAsia="zh-CN" w:bidi="ar-SA"/>
        </w:rPr>
        <w:t>单位</w:t>
      </w:r>
      <w:r>
        <w:rPr>
          <w:rFonts w:ascii="Times New Roman" w:eastAsia="方正仿宋_GBK" w:cs="宋体" w:hAnsi="Times New Roman" w:hint="eastAsia"/>
          <w:kern w:val="0"/>
          <w:sz w:val="32"/>
          <w:szCs w:val="32"/>
          <w:lang w:bidi="ar-SA"/>
        </w:rPr>
        <w:t>政府采购支出总额</w:t>
      </w:r>
      <w:r>
        <w:rPr>
          <w:rFonts w:ascii="Times New Roman" w:eastAsia="方正仿宋_GBK" w:cs="宋体" w:hAnsi="Times New Roman"/>
          <w:kern w:val="0"/>
          <w:sz w:val="32"/>
          <w:szCs w:val="32"/>
          <w:lang w:bidi="ar-SA"/>
        </w:rPr>
        <w:t>0</w:t>
      </w:r>
      <w:r>
        <w:rPr>
          <w:rFonts w:ascii="Times New Roman" w:eastAsia="方正仿宋_GBK" w:cs="宋体" w:hAnsi="Times New Roman" w:hint="eastAsia"/>
          <w:kern w:val="0"/>
          <w:sz w:val="32"/>
          <w:szCs w:val="32"/>
          <w:lang w:bidi="ar-SA"/>
        </w:rPr>
        <w:t>万元。</w:t>
      </w:r>
    </w:p>
    <w:p>
      <w:pPr>
        <w:spacing w:line="600" w:lineRule="exact"/>
        <w:ind w:firstLineChars="200" w:firstLine="640"/>
        <w:rPr>
          <w:rFonts w:ascii="Times New Roman" w:eastAsia="方正仿宋_GBK" w:cs="宋体" w:hAnsi="Times New Roman" w:hint="eastAsia"/>
          <w:b/>
          <w:kern w:val="0"/>
          <w:sz w:val="32"/>
          <w:szCs w:val="32"/>
          <w:lang w:bidi="ar-SA"/>
        </w:rPr>
      </w:pPr>
      <w:r>
        <w:rPr>
          <w:rFonts w:ascii="Times New Roman" w:eastAsia="方正黑体_GBK" w:cs="宋体" w:hAnsi="Times New Roman" w:hint="eastAsia"/>
          <w:kern w:val="0"/>
          <w:sz w:val="32"/>
          <w:szCs w:val="32"/>
          <w:lang w:bidi="ar-SA"/>
        </w:rPr>
        <w:t>五、预算绩效管理情况说明</w:t>
      </w:r>
    </w:p>
    <w:p>
      <w:pPr>
        <w:pStyle w:val="20"/>
        <w:tabs>
          <w:tab w:val="center" w:pos="4153"/>
          <w:tab w:val="left" w:pos="7275"/>
        </w:tabs>
        <w:spacing w:line="600" w:lineRule="exact"/>
        <w:rPr>
          <w:rFonts w:ascii="Times New Roman" w:eastAsia="方正楷体_GBK" w:hAnsi="Times New Roman"/>
          <w:color w:val="333333"/>
          <w:sz w:val="32"/>
          <w:szCs w:val="32"/>
        </w:rPr>
      </w:pPr>
      <w:r>
        <w:rPr>
          <w:rFonts w:ascii="Times New Roman" w:eastAsia="方正楷体_GBK" w:hAnsi="Times New Roman" w:hint="eastAsia"/>
          <w:color w:val="333333"/>
          <w:sz w:val="32"/>
          <w:szCs w:val="32"/>
        </w:rPr>
        <w:t>（一）预算绩效管理工作开展情况</w:t>
      </w:r>
    </w:p>
    <w:p>
      <w:pPr>
        <w:pStyle w:val="20"/>
        <w:tabs>
          <w:tab w:val="center" w:pos="4153"/>
          <w:tab w:val="left" w:pos="7275"/>
        </w:tabs>
        <w:spacing w:line="600" w:lineRule="exact"/>
        <w:rPr>
          <w:rFonts w:ascii="Times New Roman" w:eastAsia="方正仿宋_GBK" w:cs="宋体" w:hAnsi="Times New Roman" w:hint="eastAsia"/>
          <w:kern w:val="0"/>
          <w:sz w:val="32"/>
          <w:szCs w:val="32"/>
          <w:lang w:eastAsia="zh-CN" w:bidi="ar-SA"/>
        </w:rPr>
      </w:pPr>
      <w:r>
        <w:rPr>
          <w:rFonts w:ascii="Times New Roman" w:eastAsia="方正仿宋_GBK" w:cs="宋体" w:hAnsi="Times New Roman" w:hint="eastAsia"/>
          <w:kern w:val="0"/>
          <w:sz w:val="32"/>
          <w:szCs w:val="32"/>
          <w:lang w:bidi="ar-SA"/>
        </w:rPr>
        <w:t>根据预算绩效管理要求，我</w:t>
      </w:r>
      <w:r>
        <w:rPr>
          <w:rFonts w:ascii="Times New Roman" w:eastAsia="方正仿宋_GBK" w:cs="宋体" w:hAnsi="Times New Roman" w:hint="eastAsia"/>
          <w:kern w:val="0"/>
          <w:sz w:val="32"/>
          <w:szCs w:val="32"/>
          <w:lang w:val="en-US" w:eastAsia="zh-CN" w:bidi="ar-SA"/>
        </w:rPr>
        <w:t>单位</w:t>
      </w:r>
      <w:r>
        <w:rPr>
          <w:rFonts w:ascii="Times New Roman" w:eastAsia="方正仿宋_GBK" w:cs="宋体" w:hAnsi="Times New Roman" w:hint="eastAsia"/>
          <w:kern w:val="0"/>
          <w:sz w:val="32"/>
          <w:szCs w:val="32"/>
          <w:lang w:bidi="ar-SA"/>
        </w:rPr>
        <w:t>对</w:t>
      </w:r>
      <w:r>
        <w:rPr>
          <w:rFonts w:ascii="Times New Roman" w:eastAsia="方正仿宋_GBK" w:cs="宋体" w:hAnsi="Times New Roman"/>
          <w:kern w:val="0"/>
          <w:sz w:val="32"/>
          <w:szCs w:val="32"/>
          <w:lang w:val="en-US" w:eastAsia="zh-CN" w:bidi="ar-SA"/>
        </w:rPr>
        <w:t>水利维修养护</w:t>
      </w:r>
      <w:r>
        <w:rPr>
          <w:rFonts w:ascii="Times New Roman" w:eastAsia="方正仿宋_GBK" w:cs="宋体" w:hAnsi="Times New Roman" w:hint="eastAsia"/>
          <w:kern w:val="0"/>
          <w:sz w:val="32"/>
          <w:szCs w:val="32"/>
          <w:lang w:bidi="ar-SA"/>
        </w:rPr>
        <w:t>项目开展了绩效自评，其中，以填报目标自评表形式开展自评</w:t>
      </w:r>
      <w:r>
        <w:rPr>
          <w:rFonts w:ascii="Times New Roman" w:eastAsia="方正仿宋_GBK" w:cs="宋体" w:hAnsi="Times New Roman"/>
          <w:kern w:val="0"/>
          <w:sz w:val="32"/>
          <w:szCs w:val="32"/>
          <w:lang w:val="en-US" w:eastAsia="zh-CN" w:bidi="ar-SA"/>
        </w:rPr>
        <w:t>3</w:t>
      </w:r>
      <w:r>
        <w:rPr>
          <w:rFonts w:ascii="Times New Roman" w:eastAsia="方正仿宋_GBK" w:cs="宋体" w:hAnsi="Times New Roman" w:hint="eastAsia"/>
          <w:kern w:val="0"/>
          <w:sz w:val="32"/>
          <w:szCs w:val="32"/>
          <w:lang w:bidi="ar-SA"/>
        </w:rPr>
        <w:t>项，涉及资金</w:t>
      </w:r>
      <w:r>
        <w:rPr>
          <w:rFonts w:eastAsia="方正仿宋_GBK" w:cs="宋体" w:hint="eastAsia"/>
          <w:kern w:val="0"/>
          <w:sz w:val="32"/>
          <w:szCs w:val="32"/>
          <w:lang w:val="en-US" w:eastAsia="zh-CN" w:bidi="ar-SA"/>
        </w:rPr>
        <w:t>68.95</w:t>
      </w:r>
      <w:r>
        <w:rPr>
          <w:rFonts w:ascii="Times New Roman" w:eastAsia="方正仿宋_GBK" w:cs="宋体" w:hAnsi="Times New Roman" w:hint="eastAsia"/>
          <w:kern w:val="0"/>
          <w:sz w:val="32"/>
          <w:szCs w:val="32"/>
          <w:lang w:bidi="ar-SA"/>
        </w:rPr>
        <w:t>万元；以委托第三方形式开展绩效自评</w:t>
      </w:r>
      <w:r>
        <w:rPr>
          <w:rFonts w:ascii="Times New Roman" w:eastAsia="方正仿宋_GBK" w:cs="宋体" w:hAnsi="Times New Roman" w:hint="eastAsia"/>
          <w:kern w:val="0"/>
          <w:sz w:val="32"/>
          <w:szCs w:val="32"/>
          <w:lang w:val="en-US" w:eastAsia="zh-CN" w:bidi="ar-SA"/>
        </w:rPr>
        <w:t>0</w:t>
      </w:r>
      <w:r>
        <w:rPr>
          <w:rFonts w:ascii="Times New Roman" w:eastAsia="方正仿宋_GBK" w:cs="宋体" w:hAnsi="Times New Roman" w:hint="eastAsia"/>
          <w:kern w:val="0"/>
          <w:sz w:val="32"/>
          <w:szCs w:val="32"/>
          <w:lang w:bidi="ar-SA"/>
        </w:rPr>
        <w:t>项，涉及资金</w:t>
      </w:r>
      <w:r>
        <w:rPr>
          <w:rFonts w:ascii="Times New Roman" w:eastAsia="方正仿宋_GBK" w:cs="宋体" w:hAnsi="Times New Roman" w:hint="eastAsia"/>
          <w:kern w:val="0"/>
          <w:sz w:val="32"/>
          <w:szCs w:val="32"/>
          <w:lang w:val="en-US" w:eastAsia="zh-CN" w:bidi="ar-SA"/>
        </w:rPr>
        <w:t>0</w:t>
      </w:r>
      <w:r>
        <w:rPr>
          <w:rFonts w:ascii="Times New Roman" w:eastAsia="方正仿宋_GBK" w:cs="宋体" w:hAnsi="Times New Roman" w:hint="eastAsia"/>
          <w:kern w:val="0"/>
          <w:sz w:val="32"/>
          <w:szCs w:val="32"/>
          <w:lang w:bidi="ar-SA"/>
        </w:rPr>
        <w:t>万元</w:t>
      </w:r>
      <w:r>
        <w:rPr>
          <w:rFonts w:ascii="Times New Roman" w:eastAsia="方正仿宋_GBK" w:cs="宋体" w:hAnsi="Times New Roman" w:hint="eastAsia"/>
          <w:kern w:val="0"/>
          <w:sz w:val="32"/>
          <w:szCs w:val="32"/>
          <w:lang w:eastAsia="zh-CN" w:bidi="ar-SA"/>
        </w:rPr>
        <w:t>。</w:t>
      </w:r>
    </w:p>
    <w:p>
      <w:pPr>
        <w:pStyle w:val="20"/>
        <w:numPr>
          <w:ilvl w:val="0"/>
          <w:numId w:val="3"/>
        </w:numPr>
        <w:tabs>
          <w:tab w:val="clear" w:pos="0"/>
          <w:tab w:val="left" w:pos="0"/>
          <w:tab w:val="center" w:pos="4153"/>
          <w:tab w:val="left" w:pos="7275"/>
        </w:tabs>
        <w:spacing w:line="600" w:lineRule="exact"/>
        <w:ind w:left="0" w:firstLineChars="200" w:firstLine="640"/>
        <w:rPr>
          <w:rFonts w:ascii="Times New Roman" w:eastAsia="方正楷体_GBK" w:hAnsi="Times New Roman" w:hint="eastAsia"/>
          <w:color w:val="333333"/>
          <w:sz w:val="32"/>
          <w:szCs w:val="32"/>
        </w:rPr>
      </w:pPr>
      <w:r>
        <w:rPr>
          <w:rFonts w:ascii="Times New Roman" w:eastAsia="方正楷体_GBK" w:hAnsi="Times New Roman" w:hint="eastAsia"/>
          <w:color w:val="333333"/>
          <w:sz w:val="32"/>
          <w:szCs w:val="32"/>
        </w:rPr>
        <w:t>绩效自评结果</w:t>
      </w:r>
    </w:p>
    <w:p>
      <w:pPr>
        <w:pStyle w:val="20"/>
        <w:tabs>
          <w:tab w:val="center" w:pos="4153"/>
          <w:tab w:val="left" w:pos="7275"/>
        </w:tabs>
        <w:spacing w:line="600" w:lineRule="exact"/>
        <w:rPr>
          <w:rFonts w:ascii="Times New Roman" w:eastAsia="方正楷体_GBK" w:hAnsi="Times New Roman" w:hint="eastAsia"/>
          <w:color w:val="333333"/>
          <w:sz w:val="32"/>
          <w:szCs w:val="32"/>
        </w:rPr>
      </w:pPr>
      <w:r>
        <w:rPr>
          <w:rFonts w:ascii="Times New Roman" w:eastAsia="方正仿宋_GBK" w:cs="宋体" w:hAnsi="Times New Roman" w:hint="eastAsia"/>
          <w:bCs/>
          <w:kern w:val="0"/>
          <w:sz w:val="32"/>
          <w:szCs w:val="32"/>
          <w:lang w:bidi="ar-SA"/>
        </w:rPr>
        <w:t>1</w:t>
      </w:r>
      <w:r>
        <w:rPr>
          <w:rFonts w:ascii="Times New Roman" w:eastAsia="方正仿宋_GBK" w:cs="宋体" w:hAnsi="Times New Roman"/>
          <w:bCs/>
          <w:kern w:val="0"/>
          <w:sz w:val="32"/>
          <w:szCs w:val="32"/>
          <w:lang w:bidi="ar-SA"/>
        </w:rPr>
        <w:t>.</w:t>
      </w:r>
      <w:r>
        <w:rPr>
          <w:rFonts w:ascii="Times New Roman" w:eastAsia="方正仿宋_GBK" w:cs="宋体" w:hAnsi="Times New Roman" w:hint="eastAsia"/>
          <w:bCs/>
          <w:kern w:val="0"/>
          <w:sz w:val="32"/>
          <w:szCs w:val="32"/>
          <w:lang w:bidi="ar-SA"/>
        </w:rPr>
        <w:t>绩效目标自评表</w:t>
      </w:r>
    </w:p>
    <w:p>
      <w:pPr>
        <w:pStyle w:val="20"/>
        <w:tabs>
          <w:tab w:val="center" w:pos="4153"/>
          <w:tab w:val="left" w:pos="7275"/>
        </w:tabs>
        <w:spacing w:line="600" w:lineRule="exact"/>
        <w:rPr>
          <w:rFonts w:ascii="方正仿宋_GBK" w:eastAsia="方正仿宋_GBK" w:cs="宋体" w:hint="eastAsia"/>
          <w:sz w:val="32"/>
          <w:szCs w:val="32"/>
          <w:lang w:val="en-US" w:eastAsia="zh-CN" w:bidi="ar-SA"/>
        </w:rPr>
      </w:pPr>
      <w:r>
        <w:rPr>
          <w:rFonts w:ascii="方正仿宋_GBK" w:eastAsia="方正仿宋_GBK" w:cs="宋体" w:hint="eastAsia"/>
          <w:sz w:val="32"/>
          <w:szCs w:val="32"/>
          <w:lang w:bidi="ar-SA"/>
        </w:rPr>
        <w:t>四面山水利工程运行维护项目绩效目标自评综述：根据年初设定的绩效目标，项目总体完成情况良好。项目全年预算数为</w:t>
      </w:r>
      <w:r>
        <w:rPr>
          <w:rFonts w:ascii="方正仿宋_GBK" w:eastAsia="方正仿宋_GBK" w:cs="宋体" w:hint="eastAsia"/>
          <w:sz w:val="32"/>
          <w:szCs w:val="32"/>
          <w:lang w:val="en-US" w:eastAsia="zh-CN" w:bidi="ar-SA"/>
        </w:rPr>
        <w:t>20</w:t>
      </w:r>
      <w:r>
        <w:rPr>
          <w:rFonts w:ascii="方正仿宋_GBK" w:eastAsia="方正仿宋_GBK" w:cs="宋体" w:hint="eastAsia"/>
          <w:sz w:val="32"/>
          <w:szCs w:val="32"/>
          <w:lang w:bidi="ar-SA"/>
        </w:rPr>
        <w:t>万元，执行数为</w:t>
      </w:r>
      <w:r>
        <w:rPr>
          <w:rFonts w:ascii="方正仿宋_GBK" w:eastAsia="方正仿宋_GBK" w:cs="宋体" w:hint="eastAsia"/>
          <w:sz w:val="32"/>
          <w:szCs w:val="32"/>
          <w:lang w:val="en-US" w:eastAsia="zh-CN" w:bidi="ar-SA"/>
        </w:rPr>
        <w:t>20</w:t>
      </w:r>
      <w:r>
        <w:rPr>
          <w:rFonts w:ascii="方正仿宋_GBK" w:eastAsia="方正仿宋_GBK" w:cs="宋体" w:hint="eastAsia"/>
          <w:sz w:val="32"/>
          <w:szCs w:val="32"/>
          <w:lang w:bidi="ar-SA"/>
        </w:rPr>
        <w:t>万元，完成预算的</w:t>
      </w:r>
      <w:r>
        <w:rPr>
          <w:rFonts w:ascii="方正仿宋_GBK" w:eastAsia="方正仿宋_GBK" w:cs="宋体" w:hint="eastAsia"/>
          <w:sz w:val="32"/>
          <w:szCs w:val="32"/>
          <w:lang w:val="en-US" w:eastAsia="zh-CN" w:bidi="ar-SA"/>
        </w:rPr>
        <w:t>100</w:t>
      </w:r>
      <w:r>
        <w:rPr>
          <w:rFonts w:ascii="方正仿宋_GBK" w:eastAsia="方正仿宋_GBK" w:cs="宋体" w:hint="eastAsia"/>
          <w:sz w:val="32"/>
          <w:szCs w:val="32"/>
          <w:lang w:bidi="ar-SA"/>
        </w:rPr>
        <w:t>%。主要产出和效果：宣传贯彻水利工程的法律法规和有关政策，日常管理维护，防洪度汛，为四面山景区内水利工程的正常运行提供管理保障。</w:t>
      </w:r>
    </w:p>
    <w:p>
      <w:pPr>
        <w:pStyle w:val="20"/>
        <w:tabs>
          <w:tab w:val="center" w:pos="4153"/>
          <w:tab w:val="left" w:pos="7275"/>
        </w:tabs>
        <w:spacing w:line="600" w:lineRule="exact"/>
        <w:ind w:firstLineChars="0" w:firstLine="0"/>
        <w:jc w:val="center"/>
        <w:rPr>
          <w:rFonts w:ascii="Times New Roman" w:eastAsia="方正小标宋_GBK" w:cs="宋体" w:hAnsi="Times New Roman" w:hint="eastAsia"/>
          <w:color w:val="000000"/>
          <w:kern w:val="0"/>
          <w:sz w:val="36"/>
          <w:szCs w:val="36"/>
          <w:lang w:bidi="ar-SA"/>
        </w:rPr>
      </w:pPr>
      <w:r>
        <w:rPr>
          <w:rFonts w:ascii="Times New Roman" w:eastAsia="方正小标宋_GBK" w:cs="宋体" w:hAnsi="Times New Roman" w:hint="eastAsia"/>
          <w:color w:val="000000"/>
          <w:kern w:val="0"/>
          <w:sz w:val="36"/>
          <w:szCs w:val="36"/>
          <w:lang w:val="en-US" w:eastAsia="zh-CN" w:bidi="ar-SA"/>
        </w:rPr>
        <w:t>2022年度项目</w:t>
      </w:r>
      <w:r>
        <w:rPr>
          <w:rFonts w:ascii="Times New Roman" w:eastAsia="方正小标宋_GBK" w:cs="宋体" w:hAnsi="Times New Roman" w:hint="eastAsia"/>
          <w:color w:val="000000"/>
          <w:kern w:val="0"/>
          <w:sz w:val="36"/>
          <w:szCs w:val="36"/>
          <w:lang w:bidi="ar-SA"/>
        </w:rPr>
        <w:t>绩效自评表</w:t>
      </w:r>
    </w:p>
    <w:tbl>
      <w:tblPr>
        <w:jc w:val="cent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74"/>
        <w:gridCol w:w="1320"/>
        <w:gridCol w:w="570"/>
        <w:gridCol w:w="675"/>
        <w:gridCol w:w="147"/>
        <w:gridCol w:w="543"/>
        <w:gridCol w:w="503"/>
        <w:gridCol w:w="277"/>
        <w:gridCol w:w="870"/>
        <w:gridCol w:w="963"/>
        <w:gridCol w:w="1359"/>
        <w:gridCol w:w="993"/>
        <w:gridCol w:w="1238"/>
      </w:tblGrid>
      <w:tr>
        <w:trPr>
          <w:trHeight w:val="469"/>
        </w:trPr>
        <w:tc>
          <w:tcPr>
            <w:tcW w:w="674" w:type="dxa"/>
            <w:tcBorders>
              <w:tl2br w:val="nil"/>
              <w:tr2bl w:val="nil"/>
            </w:tcBorders>
            <w:vAlign w:val="center"/>
          </w:tcPr>
          <w:p>
            <w:pPr>
              <w:widowControl/>
              <w:spacing w:line="300" w:lineRule="exact"/>
              <w:jc w:val="center"/>
              <w:rPr>
                <w:rFonts w:ascii="Times New Roman" w:eastAsia="方正仿宋_GBK" w:cs="宋体" w:hAnsi="Times New Roman"/>
                <w:color w:val="000000"/>
                <w:kern w:val="0"/>
                <w:sz w:val="24"/>
                <w:szCs w:val="24"/>
                <w:lang w:bidi="ar-SA"/>
              </w:rPr>
            </w:pPr>
            <w:r>
              <w:rPr>
                <w:rFonts w:ascii="Times New Roman" w:eastAsia="方正仿宋_GBK" w:cs="宋体" w:hAnsi="Times New Roman" w:hint="eastAsia"/>
                <w:color w:val="000000"/>
                <w:kern w:val="0"/>
                <w:sz w:val="24"/>
                <w:szCs w:val="24"/>
                <w:lang w:bidi="ar-SA"/>
              </w:rPr>
              <w:t>项目</w:t>
            </w:r>
          </w:p>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名称</w:t>
            </w:r>
          </w:p>
        </w:tc>
        <w:tc>
          <w:tcPr>
            <w:tcW w:w="3758" w:type="dxa"/>
            <w:gridSpan w:val="6"/>
            <w:tcBorders>
              <w:tl2br w:val="nil"/>
              <w:tr2bl w:val="nil"/>
            </w:tcBorders>
            <w:vAlign w:val="center"/>
          </w:tcPr>
          <w:p>
            <w:pPr>
              <w:widowControl/>
              <w:spacing w:line="300" w:lineRule="exact"/>
              <w:jc w:val="center"/>
              <w:rPr>
                <w:rFonts w:ascii="Times New Roman" w:eastAsia="方正仿宋_GBK" w:cs="宋体" w:hAnsi="Times New Roman"/>
                <w:color w:val="000000"/>
                <w:kern w:val="0"/>
                <w:sz w:val="24"/>
                <w:szCs w:val="24"/>
                <w:lang w:val="en-US" w:eastAsia="zh-CN" w:bidi="ar-SA"/>
              </w:rPr>
            </w:pPr>
            <w:r>
              <w:rPr>
                <w:rFonts w:ascii="方正仿宋_GBK" w:eastAsia="方正仿宋_GBK" w:cs="宋体" w:hint="eastAsia"/>
                <w:sz w:val="32"/>
                <w:szCs w:val="32"/>
                <w:lang w:bidi="ar-SA"/>
              </w:rPr>
              <w:t>四面山水利工程运行维护</w:t>
            </w:r>
          </w:p>
        </w:tc>
        <w:tc>
          <w:tcPr>
            <w:tcW w:w="1147" w:type="dxa"/>
            <w:gridSpan w:val="2"/>
            <w:tcBorders>
              <w:tl2br w:val="nil"/>
              <w:tr2bl w:val="nil"/>
            </w:tcBorders>
            <w:vAlign w:val="center"/>
          </w:tcPr>
          <w:p>
            <w:pPr>
              <w:widowControl/>
              <w:spacing w:line="300" w:lineRule="exact"/>
              <w:jc w:val="center"/>
              <w:rPr>
                <w:rFonts w:ascii="Times New Roman" w:eastAsia="方正仿宋_GBK" w:cs="宋体" w:hAnsi="Times New Roman"/>
                <w:color w:val="000000"/>
                <w:kern w:val="0"/>
                <w:sz w:val="24"/>
                <w:szCs w:val="24"/>
                <w:lang w:bidi="ar-SA"/>
              </w:rPr>
            </w:pPr>
            <w:r>
              <w:rPr>
                <w:rFonts w:ascii="Times New Roman" w:eastAsia="方正仿宋_GBK" w:cs="宋体" w:hAnsi="Times New Roman" w:hint="eastAsia"/>
                <w:color w:val="000000"/>
                <w:kern w:val="0"/>
                <w:sz w:val="24"/>
                <w:szCs w:val="24"/>
                <w:lang w:bidi="ar-SA"/>
              </w:rPr>
              <w:t>自评</w:t>
            </w:r>
          </w:p>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总分</w:t>
            </w:r>
          </w:p>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（分）</w:t>
            </w:r>
          </w:p>
        </w:tc>
        <w:tc>
          <w:tcPr>
            <w:tcW w:w="4553" w:type="dxa"/>
            <w:gridSpan w:val="4"/>
            <w:tcBorders>
              <w:tl2br w:val="nil"/>
              <w:tr2bl w:val="nil"/>
            </w:tcBorders>
            <w:vAlign w:val="center"/>
          </w:tcPr>
          <w:p>
            <w:pPr>
              <w:widowControl/>
              <w:spacing w:line="300" w:lineRule="exact"/>
              <w:rPr>
                <w:rFonts w:ascii="Times New Roman" w:eastAsia="方正仿宋_GBK" w:cs="宋体" w:hAnsi="Times New Roman"/>
                <w:color w:val="000000"/>
                <w:kern w:val="0"/>
                <w:sz w:val="24"/>
                <w:szCs w:val="24"/>
                <w:lang w:val="en-US" w:eastAsia="zh-CN" w:bidi="ar-SA"/>
              </w:rPr>
            </w:pPr>
            <w:r>
              <w:rPr>
                <w:rFonts w:ascii="Times New Roman" w:eastAsia="方正仿宋_GBK" w:cs="宋体" w:hAnsi="Times New Roman" w:hint="eastAsia"/>
                <w:color w:val="000000"/>
                <w:kern w:val="0"/>
                <w:sz w:val="24"/>
                <w:szCs w:val="24"/>
                <w:lang w:val="en-US" w:eastAsia="zh-CN" w:bidi="ar-SA"/>
              </w:rPr>
              <w:t>100</w:t>
            </w:r>
          </w:p>
        </w:tc>
      </w:tr>
      <w:tr>
        <w:trPr>
          <w:trHeight w:val="469"/>
        </w:trPr>
        <w:tc>
          <w:tcPr>
            <w:tcW w:w="674" w:type="dxa"/>
            <w:tcBorders>
              <w:tl2br w:val="nil"/>
              <w:tr2bl w:val="nil"/>
            </w:tcBorders>
            <w:vAlign w:val="center"/>
          </w:tcPr>
          <w:p>
            <w:pPr>
              <w:widowControl/>
              <w:spacing w:line="300" w:lineRule="exact"/>
              <w:jc w:val="center"/>
              <w:rPr>
                <w:rFonts w:ascii="Times New Roman" w:eastAsia="方正仿宋_GBK" w:cs="宋体" w:hAnsi="Times New Roman"/>
                <w:color w:val="000000"/>
                <w:kern w:val="0"/>
                <w:sz w:val="24"/>
                <w:szCs w:val="24"/>
                <w:lang w:bidi="ar-SA"/>
              </w:rPr>
            </w:pPr>
            <w:r>
              <w:rPr>
                <w:rFonts w:ascii="Times New Roman" w:eastAsia="方正仿宋_GBK" w:cs="宋体" w:hAnsi="Times New Roman" w:hint="eastAsia"/>
                <w:color w:val="000000"/>
                <w:kern w:val="0"/>
                <w:sz w:val="24"/>
                <w:szCs w:val="24"/>
                <w:lang w:val="en-US" w:eastAsia="zh-CN" w:bidi="ar-SA"/>
              </w:rPr>
              <w:t>项目</w:t>
            </w:r>
            <w:r>
              <w:rPr>
                <w:rFonts w:ascii="Times New Roman" w:eastAsia="方正仿宋_GBK" w:cs="宋体" w:hAnsi="Times New Roman" w:hint="eastAsia"/>
                <w:color w:val="000000"/>
                <w:kern w:val="0"/>
                <w:sz w:val="24"/>
                <w:szCs w:val="24"/>
                <w:lang w:bidi="ar-SA"/>
              </w:rPr>
              <w:t>主管</w:t>
            </w:r>
          </w:p>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部门</w:t>
            </w:r>
          </w:p>
        </w:tc>
        <w:tc>
          <w:tcPr>
            <w:tcW w:w="1890" w:type="dxa"/>
            <w:gridSpan w:val="2"/>
            <w:tcBorders>
              <w:tl2br w:val="nil"/>
              <w:tr2bl w:val="nil"/>
            </w:tcBorders>
            <w:vAlign w:val="center"/>
          </w:tcPr>
          <w:p>
            <w:pPr>
              <w:widowControl/>
              <w:spacing w:line="300" w:lineRule="exact"/>
              <w:jc w:val="center"/>
              <w:rPr>
                <w:rFonts w:ascii="Times New Roman" w:eastAsia="方正仿宋_GBK" w:cs="宋体" w:hAnsi="Times New Roman"/>
                <w:color w:val="000000"/>
                <w:kern w:val="0"/>
                <w:sz w:val="24"/>
                <w:szCs w:val="24"/>
                <w:lang w:val="en-US" w:eastAsia="zh-CN" w:bidi="ar-SA"/>
              </w:rPr>
            </w:pPr>
            <w:r>
              <w:rPr>
                <w:rFonts w:ascii="Times New Roman" w:eastAsia="方正仿宋_GBK" w:cs="宋体" w:hAnsi="Times New Roman" w:hint="eastAsia"/>
                <w:color w:val="000000"/>
                <w:kern w:val="0"/>
                <w:sz w:val="24"/>
                <w:szCs w:val="24"/>
                <w:lang w:val="en-US" w:eastAsia="zh-CN" w:bidi="ar-SA"/>
              </w:rPr>
              <w:t>重庆市江津区水利局</w:t>
            </w:r>
          </w:p>
        </w:tc>
        <w:tc>
          <w:tcPr>
            <w:tcW w:w="822" w:type="dxa"/>
            <w:gridSpan w:val="2"/>
            <w:tcBorders>
              <w:tl2br w:val="nil"/>
              <w:tr2bl w:val="nil"/>
            </w:tcBorders>
            <w:vAlign w:val="center"/>
          </w:tcPr>
          <w:p>
            <w:pPr>
              <w:widowControl/>
              <w:spacing w:line="300" w:lineRule="exact"/>
              <w:jc w:val="center"/>
              <w:rPr>
                <w:rFonts w:ascii="Times New Roman" w:eastAsia="方正仿宋_GBK" w:cs="宋体" w:hAnsi="Times New Roman"/>
                <w:color w:val="000000"/>
                <w:kern w:val="0"/>
                <w:sz w:val="24"/>
                <w:szCs w:val="24"/>
                <w:lang w:val="en-US" w:eastAsia="zh-CN" w:bidi="ar-SA"/>
              </w:rPr>
            </w:pPr>
            <w:r>
              <w:rPr>
                <w:rFonts w:ascii="Times New Roman" w:eastAsia="方正仿宋_GBK" w:cs="宋体" w:hAnsi="Times New Roman" w:hint="eastAsia"/>
                <w:color w:val="000000"/>
                <w:kern w:val="0"/>
                <w:sz w:val="24"/>
                <w:szCs w:val="24"/>
                <w:lang w:val="en-US" w:eastAsia="zh-CN" w:bidi="ar-SA"/>
              </w:rPr>
              <w:t>财政归口科室</w:t>
            </w:r>
          </w:p>
        </w:tc>
        <w:tc>
          <w:tcPr>
            <w:tcW w:w="1046" w:type="dxa"/>
            <w:gridSpan w:val="2"/>
            <w:tcBorders>
              <w:tl2br w:val="nil"/>
              <w:tr2bl w:val="nil"/>
            </w:tcBorders>
            <w:vAlign w:val="center"/>
          </w:tcPr>
          <w:p>
            <w:pPr>
              <w:widowControl/>
              <w:spacing w:line="300" w:lineRule="exact"/>
              <w:jc w:val="center"/>
              <w:rPr>
                <w:rFonts w:ascii="Times New Roman" w:eastAsia="方正仿宋_GBK" w:cs="宋体" w:hAnsi="Times New Roman"/>
                <w:color w:val="000000"/>
                <w:kern w:val="0"/>
                <w:sz w:val="24"/>
                <w:szCs w:val="24"/>
                <w:lang w:val="en-US" w:eastAsia="zh-CN" w:bidi="ar-SA"/>
              </w:rPr>
            </w:pPr>
            <w:r>
              <w:rPr>
                <w:rFonts w:ascii="Times New Roman" w:eastAsia="方正仿宋_GBK" w:cs="宋体" w:hAnsi="Times New Roman" w:hint="eastAsia"/>
                <w:color w:val="000000"/>
                <w:kern w:val="0"/>
                <w:sz w:val="24"/>
                <w:szCs w:val="24"/>
                <w:lang w:val="en-US" w:eastAsia="zh-CN" w:bidi="ar-SA"/>
              </w:rPr>
              <w:t>农业农村科</w:t>
            </w:r>
          </w:p>
        </w:tc>
        <w:tc>
          <w:tcPr>
            <w:tcW w:w="1147" w:type="dxa"/>
            <w:gridSpan w:val="2"/>
            <w:tcBorders>
              <w:tl2br w:val="nil"/>
              <w:tr2bl w:val="nil"/>
            </w:tcBorders>
            <w:vAlign w:val="center"/>
          </w:tcPr>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项目</w:t>
            </w:r>
          </w:p>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联系人</w:t>
            </w:r>
          </w:p>
        </w:tc>
        <w:tc>
          <w:tcPr>
            <w:tcW w:w="963" w:type="dxa"/>
            <w:tcBorders>
              <w:tl2br w:val="nil"/>
              <w:tr2bl w:val="nil"/>
            </w:tcBorders>
            <w:vAlign w:val="center"/>
          </w:tcPr>
          <w:p>
            <w:pPr>
              <w:widowControl/>
              <w:spacing w:line="300" w:lineRule="exact"/>
              <w:jc w:val="center"/>
              <w:rPr>
                <w:rFonts w:ascii="Times New Roman" w:eastAsia="方正仿宋_GBK" w:cs="宋体" w:hAnsi="Times New Roman"/>
                <w:color w:val="000000"/>
                <w:kern w:val="0"/>
                <w:sz w:val="24"/>
                <w:szCs w:val="24"/>
                <w:lang w:val="en-US" w:eastAsia="zh-CN" w:bidi="ar-SA"/>
              </w:rPr>
            </w:pPr>
            <w:r>
              <w:rPr>
                <w:rFonts w:ascii="Times New Roman" w:eastAsia="方正仿宋_GBK" w:cs="宋体" w:hAnsi="Times New Roman"/>
                <w:color w:val="000000"/>
                <w:kern w:val="0"/>
                <w:sz w:val="24"/>
                <w:szCs w:val="24"/>
                <w:lang w:val="en-US" w:eastAsia="zh-CN" w:bidi="ar-SA"/>
              </w:rPr>
              <w:t>杨小波</w:t>
            </w:r>
          </w:p>
        </w:tc>
        <w:tc>
          <w:tcPr>
            <w:tcW w:w="1359" w:type="dxa"/>
            <w:tcBorders>
              <w:tl2br w:val="nil"/>
              <w:tr2bl w:val="nil"/>
            </w:tcBorders>
            <w:vAlign w:val="center"/>
          </w:tcPr>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联系电话</w:t>
            </w:r>
          </w:p>
        </w:tc>
        <w:tc>
          <w:tcPr>
            <w:tcW w:w="2231" w:type="dxa"/>
            <w:gridSpan w:val="2"/>
            <w:tcBorders>
              <w:tl2br w:val="nil"/>
              <w:tr2bl w:val="nil"/>
            </w:tcBorders>
            <w:vAlign w:val="center"/>
          </w:tcPr>
          <w:p>
            <w:r>
              <w:t>15215039955</w:t>
            </w:r>
          </w:p>
        </w:tc>
      </w:tr>
      <w:tr>
        <w:trPr>
          <w:trHeight w:val="469"/>
        </w:trPr>
        <w:tc>
          <w:tcPr>
            <w:tcW w:w="674" w:type="dxa"/>
            <w:vMerge w:val="restart"/>
            <w:tcBorders>
              <w:tl2br w:val="nil"/>
              <w:tr2bl w:val="nil"/>
            </w:tcBorders>
            <w:textDirection w:val="tbRlV"/>
            <w:vAlign w:val="center"/>
          </w:tcPr>
          <w:p>
            <w:pPr>
              <w:widowControl/>
              <w:spacing w:line="300" w:lineRule="exact"/>
              <w:ind w:left="113" w:right="113"/>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项目资金（万元）</w:t>
            </w:r>
          </w:p>
        </w:tc>
        <w:tc>
          <w:tcPr>
            <w:tcW w:w="1890" w:type="dxa"/>
            <w:gridSpan w:val="2"/>
            <w:vMerge w:val="restart"/>
            <w:tcBorders>
              <w:tl2br w:val="nil"/>
              <w:tr2bl w:val="nil"/>
            </w:tcBorders>
            <w:vAlign w:val="center"/>
          </w:tcPr>
          <w:p>
            <w:pPr>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年度总金额</w:t>
            </w:r>
          </w:p>
        </w:tc>
        <w:tc>
          <w:tcPr>
            <w:tcW w:w="822" w:type="dxa"/>
            <w:gridSpan w:val="2"/>
            <w:tcBorders>
              <w:tl2br w:val="nil"/>
              <w:tr2bl w:val="nil"/>
            </w:tcBorders>
            <w:vAlign w:val="center"/>
          </w:tcPr>
          <w:p>
            <w:pPr>
              <w:widowControl/>
              <w:spacing w:line="300" w:lineRule="exact"/>
              <w:jc w:val="center"/>
              <w:rPr>
                <w:rFonts w:ascii="Times New Roman" w:eastAsia="方正仿宋_GBK" w:cs="宋体" w:hAnsi="Times New Roman"/>
                <w:color w:val="000000"/>
                <w:kern w:val="0"/>
                <w:sz w:val="24"/>
                <w:szCs w:val="24"/>
                <w:lang w:bidi="ar-SA"/>
              </w:rPr>
            </w:pPr>
            <w:r>
              <w:rPr>
                <w:rFonts w:ascii="Times New Roman" w:eastAsia="方正仿宋_GBK" w:cs="宋体" w:hAnsi="Times New Roman" w:hint="eastAsia"/>
                <w:color w:val="000000"/>
                <w:kern w:val="0"/>
                <w:sz w:val="24"/>
                <w:szCs w:val="24"/>
                <w:lang w:bidi="ar-SA"/>
              </w:rPr>
              <w:t>年初</w:t>
            </w:r>
          </w:p>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预算数</w:t>
            </w:r>
          </w:p>
        </w:tc>
        <w:tc>
          <w:tcPr>
            <w:tcW w:w="1046" w:type="dxa"/>
            <w:gridSpan w:val="2"/>
            <w:tcBorders>
              <w:tl2br w:val="nil"/>
              <w:tr2bl w:val="nil"/>
            </w:tcBorders>
            <w:vAlign w:val="center"/>
          </w:tcPr>
          <w:p>
            <w:pPr>
              <w:widowControl/>
              <w:spacing w:line="300" w:lineRule="exact"/>
              <w:jc w:val="center"/>
              <w:rPr>
                <w:rFonts w:ascii="Times New Roman" w:eastAsia="方正仿宋_GBK" w:cs="宋体" w:hAnsi="Times New Roman"/>
                <w:color w:val="000000"/>
                <w:kern w:val="0"/>
                <w:sz w:val="24"/>
                <w:szCs w:val="24"/>
                <w:lang w:val="en-US" w:eastAsia="zh-CN" w:bidi="ar-SA"/>
              </w:rPr>
            </w:pPr>
            <w:r>
              <w:rPr>
                <w:rFonts w:ascii="Times New Roman" w:eastAsia="方正仿宋_GBK" w:cs="宋体" w:hAnsi="Times New Roman" w:hint="eastAsia"/>
                <w:color w:val="000000"/>
                <w:kern w:val="0"/>
                <w:sz w:val="24"/>
                <w:szCs w:val="24"/>
                <w:lang w:val="en-US" w:eastAsia="zh-CN" w:bidi="ar-SA"/>
              </w:rPr>
              <w:t>全年（调整）预算数</w:t>
            </w:r>
          </w:p>
        </w:tc>
        <w:tc>
          <w:tcPr>
            <w:tcW w:w="2110" w:type="dxa"/>
            <w:gridSpan w:val="3"/>
            <w:tcBorders>
              <w:tl2br w:val="nil"/>
              <w:tr2bl w:val="nil"/>
            </w:tcBorders>
            <w:vAlign w:val="center"/>
          </w:tcPr>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全年执行数</w:t>
            </w:r>
          </w:p>
        </w:tc>
        <w:tc>
          <w:tcPr>
            <w:tcW w:w="1359" w:type="dxa"/>
            <w:tcBorders>
              <w:tl2br w:val="nil"/>
              <w:tr2bl w:val="nil"/>
            </w:tcBorders>
            <w:vAlign w:val="center"/>
          </w:tcPr>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执行率</w:t>
            </w:r>
          </w:p>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w:t>
            </w:r>
          </w:p>
        </w:tc>
        <w:tc>
          <w:tcPr>
            <w:tcW w:w="993" w:type="dxa"/>
            <w:tcBorders>
              <w:tl2br w:val="nil"/>
              <w:tr2bl w:val="nil"/>
            </w:tcBorders>
            <w:vAlign w:val="center"/>
          </w:tcPr>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执行率</w:t>
            </w:r>
          </w:p>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权重</w:t>
            </w:r>
          </w:p>
        </w:tc>
        <w:tc>
          <w:tcPr>
            <w:tcW w:w="1238" w:type="dxa"/>
            <w:tcBorders>
              <w:tl2br w:val="nil"/>
              <w:tr2bl w:val="nil"/>
            </w:tcBorders>
            <w:vAlign w:val="center"/>
          </w:tcPr>
          <w:p>
            <w:pPr>
              <w:widowControl/>
              <w:spacing w:line="300" w:lineRule="exact"/>
              <w:jc w:val="center"/>
              <w:rPr>
                <w:rFonts w:ascii="Times New Roman" w:eastAsia="方正仿宋_GBK" w:cs="宋体" w:hAnsi="Times New Roman"/>
                <w:color w:val="000000"/>
                <w:kern w:val="0"/>
                <w:sz w:val="24"/>
                <w:szCs w:val="24"/>
                <w:lang w:bidi="ar-SA"/>
              </w:rPr>
            </w:pPr>
            <w:r>
              <w:rPr>
                <w:rFonts w:ascii="Times New Roman" w:eastAsia="方正仿宋_GBK" w:cs="宋体" w:hAnsi="Times New Roman" w:hint="eastAsia"/>
                <w:color w:val="000000"/>
                <w:kern w:val="0"/>
                <w:sz w:val="24"/>
                <w:szCs w:val="24"/>
                <w:lang w:bidi="ar-SA"/>
              </w:rPr>
              <w:t>执行率</w:t>
            </w:r>
          </w:p>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得分</w:t>
            </w:r>
          </w:p>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（分）</w:t>
            </w:r>
          </w:p>
        </w:tc>
      </w:tr>
      <w:tr>
        <w:trPr>
          <w:trHeight w:val="469"/>
        </w:trPr>
        <w:tc>
          <w:tcPr>
            <w:tcW w:w="674" w:type="dxa"/>
            <w:vMerge/>
            <w:tcBorders>
              <w:tl2br w:val="nil"/>
              <w:tr2bl w:val="nil"/>
            </w:tcBorders>
            <w:vAlign w:val="center"/>
          </w:tcPr>
          <w:p/>
        </w:tc>
        <w:tc>
          <w:tcPr>
            <w:tcW w:w="1890" w:type="dxa"/>
            <w:gridSpan w:val="2"/>
            <w:vMerge/>
            <w:tcBorders>
              <w:tl2br w:val="nil"/>
              <w:tr2bl w:val="nil"/>
            </w:tcBorders>
            <w:vAlign w:val="center"/>
          </w:tcPr>
          <w:p/>
        </w:tc>
        <w:tc>
          <w:tcPr>
            <w:tcW w:w="822" w:type="dxa"/>
            <w:gridSpan w:val="2"/>
            <w:tcBorders>
              <w:tl2br w:val="nil"/>
              <w:tr2bl w:val="nil"/>
            </w:tcBorders>
            <w:vAlign w:val="center"/>
          </w:tcPr>
          <w:p>
            <w:pPr>
              <w:widowControl/>
              <w:spacing w:line="300" w:lineRule="exact"/>
              <w:jc w:val="center"/>
              <w:rPr>
                <w:rFonts w:ascii="Times New Roman" w:eastAsia="方正仿宋_GBK" w:cs="宋体" w:hAnsi="Times New Roman"/>
                <w:color w:val="000000"/>
                <w:kern w:val="0"/>
                <w:sz w:val="24"/>
                <w:szCs w:val="24"/>
                <w:lang w:val="en-US" w:eastAsia="zh-CN" w:bidi="ar-SA"/>
              </w:rPr>
            </w:pPr>
            <w:r>
              <w:rPr>
                <w:rFonts w:ascii="Times New Roman" w:eastAsia="方正仿宋_GBK" w:cs="宋体" w:hAnsi="Times New Roman"/>
                <w:color w:val="000000"/>
                <w:kern w:val="0"/>
                <w:sz w:val="24"/>
                <w:szCs w:val="24"/>
                <w:lang w:val="en-US" w:eastAsia="zh-CN" w:bidi="ar-SA"/>
              </w:rPr>
              <w:t>20</w:t>
            </w:r>
          </w:p>
        </w:tc>
        <w:tc>
          <w:tcPr>
            <w:tcW w:w="1046" w:type="dxa"/>
            <w:gridSpan w:val="2"/>
            <w:tcBorders>
              <w:tl2br w:val="nil"/>
              <w:tr2bl w:val="nil"/>
            </w:tcBorders>
            <w:vAlign w:val="center"/>
          </w:tcPr>
          <w:p>
            <w:pPr>
              <w:widowControl/>
              <w:spacing w:line="300" w:lineRule="exact"/>
              <w:jc w:val="center"/>
              <w:rPr>
                <w:rFonts w:eastAsia="方正仿宋_GBK" w:cs="宋体"/>
                <w:color w:val="000000"/>
                <w:kern w:val="0"/>
                <w:sz w:val="24"/>
                <w:szCs w:val="24"/>
                <w:lang w:bidi="ar-SA"/>
              </w:rPr>
            </w:pPr>
            <w:r>
              <w:rPr>
                <w:rFonts w:eastAsia="方正仿宋_GBK" w:cs="宋体"/>
                <w:color w:val="000000"/>
                <w:kern w:val="0"/>
                <w:sz w:val="24"/>
                <w:szCs w:val="24"/>
                <w:lang w:bidi="ar-SA"/>
              </w:rPr>
              <w:t>20</w:t>
            </w:r>
          </w:p>
        </w:tc>
        <w:tc>
          <w:tcPr>
            <w:tcW w:w="2110" w:type="dxa"/>
            <w:gridSpan w:val="3"/>
            <w:tcBorders>
              <w:tl2br w:val="nil"/>
              <w:tr2bl w:val="nil"/>
            </w:tcBorders>
            <w:vAlign w:val="center"/>
          </w:tcPr>
          <w:p>
            <w:pPr>
              <w:widowControl/>
              <w:spacing w:line="300" w:lineRule="exact"/>
              <w:jc w:val="center"/>
              <w:rPr>
                <w:rFonts w:eastAsia="方正仿宋_GBK" w:cs="宋体"/>
                <w:color w:val="000000"/>
                <w:kern w:val="0"/>
                <w:sz w:val="24"/>
                <w:szCs w:val="24"/>
                <w:lang w:bidi="ar-SA"/>
              </w:rPr>
            </w:pPr>
            <w:r>
              <w:rPr>
                <w:rFonts w:eastAsia="方正仿宋_GBK" w:cs="宋体"/>
                <w:color w:val="000000"/>
                <w:kern w:val="0"/>
                <w:sz w:val="24"/>
                <w:szCs w:val="24"/>
                <w:lang w:bidi="ar-SA"/>
              </w:rPr>
              <w:t>20</w:t>
            </w:r>
          </w:p>
        </w:tc>
        <w:tc>
          <w:tcPr>
            <w:tcW w:w="1359" w:type="dxa"/>
            <w:tcBorders>
              <w:tl2br w:val="nil"/>
              <w:tr2bl w:val="nil"/>
            </w:tcBorders>
            <w:vAlign w:val="center"/>
          </w:tcPr>
          <w:p>
            <w:pPr>
              <w:widowControl/>
              <w:spacing w:line="300" w:lineRule="exact"/>
              <w:jc w:val="center"/>
              <w:rPr>
                <w:rFonts w:ascii="Times New Roman" w:eastAsia="方正仿宋_GBK" w:cs="宋体" w:hAnsi="Times New Roman"/>
                <w:color w:val="000000"/>
                <w:kern w:val="0"/>
                <w:sz w:val="24"/>
                <w:szCs w:val="24"/>
                <w:lang w:val="en-US" w:eastAsia="zh-CN" w:bidi="ar-SA"/>
              </w:rPr>
            </w:pPr>
          </w:p>
        </w:tc>
        <w:tc>
          <w:tcPr>
            <w:tcW w:w="993" w:type="dxa"/>
            <w:tcBorders>
              <w:tl2br w:val="nil"/>
              <w:tr2bl w:val="nil"/>
            </w:tcBorders>
            <w:vAlign w:val="center"/>
          </w:tcPr>
          <w:p>
            <w:pPr>
              <w:widowControl/>
              <w:spacing w:line="300" w:lineRule="exact"/>
              <w:jc w:val="center"/>
              <w:rPr>
                <w:rFonts w:ascii="Times New Roman" w:eastAsia="方正仿宋_GBK" w:cs="宋体" w:hAnsi="Times New Roman"/>
                <w:kern w:val="0"/>
                <w:sz w:val="24"/>
                <w:szCs w:val="24"/>
                <w:lang w:val="en-US" w:eastAsia="zh-CN" w:bidi="ar-SA"/>
              </w:rPr>
            </w:pPr>
          </w:p>
        </w:tc>
        <w:tc>
          <w:tcPr>
            <w:tcW w:w="1238" w:type="dxa"/>
            <w:tcBorders>
              <w:tl2br w:val="nil"/>
              <w:tr2bl w:val="nil"/>
            </w:tcBorders>
            <w:vAlign w:val="center"/>
          </w:tcPr>
          <w:p>
            <w:pPr>
              <w:widowControl/>
              <w:spacing w:line="300" w:lineRule="exact"/>
              <w:jc w:val="center"/>
              <w:rPr>
                <w:rFonts w:ascii="Times New Roman" w:eastAsia="方正仿宋_GBK" w:cs="宋体" w:hAnsi="Times New Roman"/>
                <w:color w:val="000000"/>
                <w:kern w:val="0"/>
                <w:sz w:val="24"/>
                <w:szCs w:val="24"/>
                <w:lang w:val="en-US" w:eastAsia="zh-CN" w:bidi="ar-SA"/>
              </w:rPr>
            </w:pPr>
          </w:p>
        </w:tc>
      </w:tr>
      <w:tr>
        <w:trPr>
          <w:trHeight w:val="469"/>
        </w:trPr>
        <w:tc>
          <w:tcPr>
            <w:tcW w:w="674" w:type="dxa"/>
            <w:vMerge/>
            <w:tcBorders>
              <w:tl2br w:val="nil"/>
              <w:tr2bl w:val="nil"/>
            </w:tcBorders>
            <w:vAlign w:val="center"/>
          </w:tcPr>
          <w:p/>
        </w:tc>
        <w:tc>
          <w:tcPr>
            <w:tcW w:w="1890" w:type="dxa"/>
            <w:gridSpan w:val="2"/>
            <w:tcBorders>
              <w:tl2br w:val="nil"/>
              <w:tr2bl w:val="nil"/>
            </w:tcBorders>
            <w:vAlign w:val="center"/>
          </w:tcPr>
          <w:p>
            <w:pPr>
              <w:widowControl/>
              <w:spacing w:line="300" w:lineRule="exact"/>
              <w:rPr>
                <w:rFonts w:ascii="Times New Roman" w:eastAsia="方正仿宋_GBK" w:cs="宋体" w:hAnsi="Times New Roman"/>
                <w:color w:val="000000"/>
                <w:kern w:val="0"/>
                <w:sz w:val="24"/>
                <w:szCs w:val="24"/>
                <w:lang w:bidi="ar-SA"/>
              </w:rPr>
            </w:pPr>
            <w:r>
              <w:rPr>
                <w:rFonts w:ascii="Times New Roman" w:eastAsia="方正仿宋_GBK" w:cs="宋体" w:hAnsi="Times New Roman" w:hint="eastAsia"/>
                <w:color w:val="000000"/>
                <w:kern w:val="0"/>
                <w:sz w:val="24"/>
                <w:szCs w:val="24"/>
                <w:lang w:bidi="ar-SA"/>
              </w:rPr>
              <w:t>其中：</w:t>
            </w:r>
          </w:p>
          <w:p>
            <w:pPr>
              <w:widowControl/>
              <w:spacing w:line="300" w:lineRule="exact"/>
              <w:rPr>
                <w:rFonts w:ascii="Times New Roman" w:eastAsia="方正仿宋_GBK" w:cs="宋体" w:hAnsi="Times New Roman"/>
                <w:color w:val="000000"/>
                <w:kern w:val="0"/>
                <w:sz w:val="24"/>
                <w:szCs w:val="24"/>
                <w:lang w:val="en-US" w:eastAsia="zh-CN" w:bidi="ar-SA"/>
              </w:rPr>
            </w:pPr>
            <w:r>
              <w:rPr>
                <w:rFonts w:ascii="Times New Roman" w:eastAsia="方正仿宋_GBK" w:cs="宋体" w:hAnsi="Times New Roman" w:hint="eastAsia"/>
                <w:color w:val="000000"/>
                <w:kern w:val="0"/>
                <w:sz w:val="24"/>
                <w:szCs w:val="24"/>
                <w:lang w:val="en-US" w:eastAsia="zh-CN" w:bidi="ar-SA"/>
              </w:rPr>
              <w:t>财政拨款</w:t>
            </w:r>
          </w:p>
        </w:tc>
        <w:tc>
          <w:tcPr>
            <w:tcW w:w="822" w:type="dxa"/>
            <w:gridSpan w:val="2"/>
            <w:tcBorders>
              <w:tl2br w:val="nil"/>
              <w:tr2bl w:val="nil"/>
            </w:tcBorders>
            <w:vAlign w:val="center"/>
          </w:tcPr>
          <w:p>
            <w:pPr>
              <w:widowControl/>
              <w:spacing w:line="300" w:lineRule="exact"/>
              <w:jc w:val="center"/>
              <w:rPr>
                <w:rFonts w:ascii="Times New Roman" w:eastAsia="方正仿宋_GBK" w:cs="宋体" w:hAnsi="Times New Roman"/>
                <w:color w:val="000000"/>
                <w:kern w:val="0"/>
                <w:sz w:val="24"/>
                <w:szCs w:val="24"/>
                <w:lang w:val="en-US" w:eastAsia="zh-CN" w:bidi="ar-SA"/>
              </w:rPr>
            </w:pPr>
            <w:r>
              <w:rPr>
                <w:rFonts w:ascii="Times New Roman" w:eastAsia="方正仿宋_GBK" w:cs="宋体" w:hAnsi="Times New Roman"/>
                <w:color w:val="000000"/>
                <w:kern w:val="0"/>
                <w:sz w:val="24"/>
                <w:szCs w:val="24"/>
                <w:lang w:val="en-US" w:eastAsia="zh-CN" w:bidi="ar-SA"/>
              </w:rPr>
              <w:t>20</w:t>
            </w:r>
          </w:p>
        </w:tc>
        <w:tc>
          <w:tcPr>
            <w:tcW w:w="1046" w:type="dxa"/>
            <w:gridSpan w:val="2"/>
            <w:tcBorders>
              <w:tl2br w:val="nil"/>
              <w:tr2bl w:val="nil"/>
            </w:tcBorders>
            <w:vAlign w:val="center"/>
          </w:tcPr>
          <w:p>
            <w:pPr>
              <w:widowControl/>
              <w:spacing w:line="300" w:lineRule="exact"/>
              <w:jc w:val="center"/>
              <w:rPr>
                <w:rFonts w:eastAsia="方正仿宋_GBK" w:cs="宋体"/>
                <w:color w:val="000000"/>
                <w:kern w:val="0"/>
                <w:sz w:val="24"/>
                <w:szCs w:val="24"/>
                <w:lang w:bidi="ar-SA"/>
              </w:rPr>
            </w:pPr>
            <w:r>
              <w:rPr>
                <w:rFonts w:eastAsia="方正仿宋_GBK" w:cs="宋体"/>
                <w:color w:val="000000"/>
                <w:kern w:val="0"/>
                <w:sz w:val="24"/>
                <w:szCs w:val="24"/>
                <w:lang w:bidi="ar-SA"/>
              </w:rPr>
              <w:t>20</w:t>
            </w:r>
          </w:p>
        </w:tc>
        <w:tc>
          <w:tcPr>
            <w:tcW w:w="2110" w:type="dxa"/>
            <w:gridSpan w:val="3"/>
            <w:tcBorders>
              <w:tl2br w:val="nil"/>
              <w:tr2bl w:val="nil"/>
            </w:tcBorders>
            <w:vAlign w:val="center"/>
          </w:tcPr>
          <w:p>
            <w:pPr>
              <w:widowControl/>
              <w:spacing w:line="300" w:lineRule="exact"/>
              <w:jc w:val="center"/>
              <w:rPr>
                <w:rFonts w:eastAsia="方正仿宋_GBK" w:cs="宋体"/>
                <w:color w:val="000000"/>
                <w:kern w:val="0"/>
                <w:sz w:val="24"/>
                <w:szCs w:val="24"/>
                <w:lang w:bidi="ar-SA"/>
              </w:rPr>
            </w:pPr>
            <w:r>
              <w:rPr>
                <w:rFonts w:eastAsia="方正仿宋_GBK" w:cs="宋体"/>
                <w:color w:val="000000"/>
                <w:kern w:val="0"/>
                <w:sz w:val="24"/>
                <w:szCs w:val="24"/>
                <w:lang w:bidi="ar-SA"/>
              </w:rPr>
              <w:t>20</w:t>
            </w:r>
          </w:p>
        </w:tc>
        <w:tc>
          <w:tcPr>
            <w:tcW w:w="1359" w:type="dxa"/>
            <w:tcBorders>
              <w:tl2br w:val="nil"/>
              <w:tr2bl w:val="nil"/>
            </w:tcBorders>
            <w:vAlign w:val="center"/>
          </w:tcPr>
          <w:p>
            <w:pPr>
              <w:widowControl/>
              <w:spacing w:line="300" w:lineRule="exact"/>
              <w:jc w:val="center"/>
              <w:rPr>
                <w:rFonts w:ascii="Times New Roman" w:eastAsia="方正仿宋_GBK" w:cs="宋体" w:hAnsi="Times New Roman"/>
                <w:color w:val="000000"/>
                <w:kern w:val="0"/>
                <w:sz w:val="24"/>
                <w:szCs w:val="24"/>
                <w:lang w:val="en-US" w:eastAsia="zh-CN" w:bidi="ar-SA"/>
              </w:rPr>
            </w:pPr>
            <w:r>
              <w:rPr>
                <w:rFonts w:ascii="Times New Roman" w:eastAsia="方正仿宋_GBK" w:cs="宋体" w:hAnsi="Times New Roman" w:hint="eastAsia"/>
                <w:color w:val="000000"/>
                <w:kern w:val="0"/>
                <w:sz w:val="24"/>
                <w:szCs w:val="24"/>
                <w:lang w:val="en-US" w:eastAsia="zh-CN" w:bidi="ar-SA"/>
              </w:rPr>
              <w:t>100</w:t>
            </w:r>
          </w:p>
        </w:tc>
        <w:tc>
          <w:tcPr>
            <w:tcW w:w="993" w:type="dxa"/>
            <w:tcBorders>
              <w:tl2br w:val="nil"/>
              <w:tr2bl w:val="nil"/>
            </w:tcBorders>
            <w:vAlign w:val="center"/>
          </w:tcPr>
          <w:p>
            <w:pPr>
              <w:widowControl/>
              <w:spacing w:line="300" w:lineRule="exact"/>
              <w:jc w:val="center"/>
              <w:rPr>
                <w:rFonts w:ascii="Times New Roman" w:eastAsia="方正仿宋_GBK" w:cs="宋体" w:hAnsi="Times New Roman"/>
                <w:color w:val="000000"/>
                <w:kern w:val="0"/>
                <w:sz w:val="24"/>
                <w:szCs w:val="24"/>
                <w:lang w:val="en-US" w:eastAsia="zh-CN" w:bidi="ar-SA"/>
              </w:rPr>
            </w:pPr>
            <w:r>
              <w:rPr>
                <w:rFonts w:ascii="Times New Roman" w:eastAsia="方正仿宋_GBK" w:cs="宋体" w:hAnsi="Times New Roman" w:hint="eastAsia"/>
                <w:color w:val="000000"/>
                <w:kern w:val="0"/>
                <w:sz w:val="24"/>
                <w:szCs w:val="24"/>
                <w:lang w:val="en-US" w:eastAsia="zh-CN" w:bidi="ar-SA"/>
              </w:rPr>
              <w:t>10</w:t>
            </w:r>
          </w:p>
        </w:tc>
        <w:tc>
          <w:tcPr>
            <w:tcW w:w="1238" w:type="dxa"/>
            <w:tcBorders>
              <w:tl2br w:val="nil"/>
              <w:tr2bl w:val="nil"/>
            </w:tcBorders>
            <w:vAlign w:val="center"/>
          </w:tcPr>
          <w:p>
            <w:pPr>
              <w:widowControl/>
              <w:spacing w:line="300" w:lineRule="exact"/>
              <w:jc w:val="center"/>
              <w:rPr>
                <w:rFonts w:ascii="Times New Roman" w:eastAsia="方正仿宋_GBK" w:cs="宋体" w:hAnsi="Times New Roman"/>
                <w:color w:val="000000"/>
                <w:kern w:val="0"/>
                <w:sz w:val="24"/>
                <w:szCs w:val="24"/>
                <w:lang w:val="en-US" w:eastAsia="zh-CN" w:bidi="ar-SA"/>
              </w:rPr>
            </w:pPr>
            <w:r>
              <w:rPr>
                <w:rFonts w:ascii="Times New Roman" w:eastAsia="方正仿宋_GBK" w:cs="宋体" w:hAnsi="Times New Roman" w:hint="eastAsia"/>
                <w:color w:val="000000"/>
                <w:kern w:val="0"/>
                <w:sz w:val="24"/>
                <w:szCs w:val="24"/>
                <w:lang w:val="en-US" w:eastAsia="zh-CN" w:bidi="ar-SA"/>
              </w:rPr>
              <w:t>10</w:t>
            </w:r>
          </w:p>
        </w:tc>
      </w:tr>
      <w:tr>
        <w:trPr>
          <w:trHeight w:val="469"/>
        </w:trPr>
        <w:tc>
          <w:tcPr>
            <w:tcW w:w="674" w:type="dxa"/>
            <w:vMerge w:val="restart"/>
            <w:tcBorders>
              <w:tl2br w:val="nil"/>
              <w:tr2bl w:val="nil"/>
            </w:tcBorders>
            <w:vAlign w:val="center"/>
          </w:tcPr>
          <w:p>
            <w:pPr>
              <w:widowControl/>
              <w:spacing w:line="300" w:lineRule="exact"/>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当年绩效目标</w:t>
            </w:r>
          </w:p>
        </w:tc>
        <w:tc>
          <w:tcPr>
            <w:tcW w:w="5868" w:type="dxa"/>
            <w:gridSpan w:val="9"/>
            <w:tcBorders>
              <w:tl2br w:val="nil"/>
              <w:tr2bl w:val="nil"/>
            </w:tcBorders>
            <w:vAlign w:val="center"/>
          </w:tcPr>
          <w:p>
            <w:pPr>
              <w:widowControl/>
              <w:spacing w:line="300" w:lineRule="exact"/>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年初绩效目标</w:t>
            </w:r>
          </w:p>
        </w:tc>
        <w:tc>
          <w:tcPr>
            <w:tcW w:w="3590" w:type="dxa"/>
            <w:gridSpan w:val="3"/>
            <w:tcBorders>
              <w:tl2br w:val="nil"/>
              <w:tr2bl w:val="nil"/>
            </w:tcBorders>
            <w:vAlign w:val="center"/>
          </w:tcPr>
          <w:p>
            <w:pPr>
              <w:widowControl/>
              <w:spacing w:line="300" w:lineRule="exact"/>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全年目标实际完成情况</w:t>
            </w:r>
          </w:p>
        </w:tc>
      </w:tr>
      <w:tr>
        <w:trPr>
          <w:trHeight w:val="1055"/>
        </w:trPr>
        <w:tc>
          <w:tcPr>
            <w:tcW w:w="674" w:type="dxa"/>
            <w:vMerge/>
            <w:tcBorders>
              <w:tl2br w:val="nil"/>
              <w:tr2bl w:val="nil"/>
            </w:tcBorders>
            <w:vAlign w:val="center"/>
          </w:tcPr>
          <w:p/>
        </w:tc>
        <w:tc>
          <w:tcPr>
            <w:tcW w:w="5868" w:type="dxa"/>
            <w:gridSpan w:val="9"/>
            <w:tcBorders>
              <w:tl2br w:val="nil"/>
              <w:tr2bl w:val="nil"/>
            </w:tcBorders>
            <w:vAlign w:val="center"/>
          </w:tcPr>
          <w:p>
            <w:pPr>
              <w:widowControl/>
              <w:spacing w:line="300" w:lineRule="exact"/>
              <w:rPr>
                <w:rFonts w:ascii="Times New Roman" w:eastAsia="方正仿宋_GBK" w:cs="宋体" w:hAnsi="Times New Roman"/>
                <w:color w:val="000000"/>
                <w:kern w:val="0"/>
                <w:sz w:val="24"/>
                <w:szCs w:val="24"/>
                <w:lang w:val="en-US" w:eastAsia="zh-CN" w:bidi="ar-SA"/>
              </w:rPr>
            </w:pPr>
            <w:r>
              <w:rPr>
                <w:rFonts w:ascii="Times New Roman" w:eastAsia="方正仿宋_GBK" w:cs="宋体" w:hAnsi="Times New Roman"/>
                <w:color w:val="000000"/>
                <w:kern w:val="0"/>
                <w:sz w:val="24"/>
                <w:szCs w:val="24"/>
                <w:lang w:val="en-US" w:eastAsia="zh-CN" w:bidi="ar-SA"/>
              </w:rPr>
              <w:t>宣传贯彻水利工程的法律法规和有关政策，日常管理维护，防洪度汛，为四面山景区内水利工程的正常运行提供管理保障。</w:t>
            </w:r>
          </w:p>
        </w:tc>
        <w:tc>
          <w:tcPr>
            <w:tcW w:w="3590" w:type="dxa"/>
            <w:gridSpan w:val="3"/>
            <w:tcBorders>
              <w:tl2br w:val="nil"/>
              <w:tr2bl w:val="nil"/>
            </w:tcBorders>
            <w:vAlign w:val="center"/>
          </w:tcPr>
          <w:p>
            <w:pPr>
              <w:widowControl/>
              <w:spacing w:line="300" w:lineRule="exact"/>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color w:val="000000"/>
                <w:kern w:val="0"/>
                <w:sz w:val="24"/>
                <w:szCs w:val="24"/>
                <w:lang w:bidi="ar-SA"/>
              </w:rPr>
              <w:t>宣传贯彻水利工程的法律法规和有关政策，日常管理维护，防洪度汛，为四面山景区内水利工程的正常运行提供管理保障。</w:t>
            </w:r>
          </w:p>
        </w:tc>
      </w:tr>
      <w:tr>
        <w:trPr>
          <w:trHeight w:val="469"/>
        </w:trPr>
        <w:tc>
          <w:tcPr>
            <w:tcW w:w="674" w:type="dxa"/>
            <w:vMerge w:val="restart"/>
            <w:tcBorders>
              <w:tl2br w:val="nil"/>
              <w:tr2bl w:val="nil"/>
            </w:tcBorders>
            <w:textDirection w:val="tbRlV"/>
            <w:vAlign w:val="center"/>
          </w:tcPr>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绩效指标</w:t>
            </w:r>
          </w:p>
        </w:tc>
        <w:tc>
          <w:tcPr>
            <w:tcW w:w="1320" w:type="dxa"/>
            <w:tcBorders>
              <w:tl2br w:val="nil"/>
              <w:tr2bl w:val="nil"/>
            </w:tcBorders>
            <w:vAlign w:val="center"/>
          </w:tcPr>
          <w:p>
            <w:pPr>
              <w:widowControl/>
              <w:spacing w:line="300" w:lineRule="exact"/>
              <w:jc w:val="center"/>
              <w:rPr>
                <w:rFonts w:ascii="Times New Roman" w:eastAsia="方正仿宋_GBK" w:cs="宋体" w:hAnsi="Times New Roman"/>
                <w:color w:val="000000"/>
                <w:kern w:val="0"/>
                <w:sz w:val="24"/>
                <w:szCs w:val="24"/>
                <w:lang w:bidi="ar-SA"/>
              </w:rPr>
            </w:pPr>
            <w:r>
              <w:rPr>
                <w:rFonts w:ascii="Times New Roman" w:eastAsia="方正仿宋_GBK" w:cs="宋体" w:hAnsi="Times New Roman" w:hint="eastAsia"/>
                <w:color w:val="000000"/>
                <w:kern w:val="0"/>
                <w:sz w:val="24"/>
                <w:szCs w:val="24"/>
                <w:lang w:bidi="ar-SA"/>
              </w:rPr>
              <w:t>指标</w:t>
            </w:r>
          </w:p>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名称</w:t>
            </w:r>
          </w:p>
        </w:tc>
        <w:tc>
          <w:tcPr>
            <w:tcW w:w="570" w:type="dxa"/>
            <w:tcBorders>
              <w:tl2br w:val="nil"/>
              <w:tr2bl w:val="nil"/>
            </w:tcBorders>
            <w:vAlign w:val="center"/>
          </w:tcPr>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计量</w:t>
            </w:r>
          </w:p>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单位</w:t>
            </w:r>
          </w:p>
        </w:tc>
        <w:tc>
          <w:tcPr>
            <w:tcW w:w="675" w:type="dxa"/>
            <w:tcBorders>
              <w:tl2br w:val="nil"/>
              <w:tr2bl w:val="nil"/>
            </w:tcBorders>
            <w:vAlign w:val="center"/>
          </w:tcPr>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指标</w:t>
            </w:r>
          </w:p>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性质</w:t>
            </w:r>
          </w:p>
        </w:tc>
        <w:tc>
          <w:tcPr>
            <w:tcW w:w="690" w:type="dxa"/>
            <w:gridSpan w:val="2"/>
            <w:tcBorders>
              <w:tl2br w:val="nil"/>
              <w:tr2bl w:val="nil"/>
            </w:tcBorders>
            <w:vAlign w:val="center"/>
          </w:tcPr>
          <w:p>
            <w:pPr>
              <w:widowControl/>
              <w:spacing w:line="300" w:lineRule="exact"/>
              <w:jc w:val="center"/>
              <w:rPr>
                <w:rFonts w:ascii="Times New Roman" w:eastAsia="方正仿宋_GBK" w:cs="宋体" w:hAnsi="Times New Roman"/>
                <w:color w:val="000000"/>
                <w:kern w:val="0"/>
                <w:sz w:val="24"/>
                <w:szCs w:val="24"/>
                <w:lang w:bidi="ar-SA"/>
              </w:rPr>
            </w:pPr>
            <w:r>
              <w:rPr>
                <w:rFonts w:ascii="Times New Roman" w:eastAsia="方正仿宋_GBK" w:cs="宋体" w:hAnsi="Times New Roman" w:hint="eastAsia"/>
                <w:color w:val="000000"/>
                <w:kern w:val="0"/>
                <w:sz w:val="24"/>
                <w:szCs w:val="24"/>
                <w:lang w:bidi="ar-SA"/>
              </w:rPr>
              <w:t>指标</w:t>
            </w:r>
          </w:p>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值</w:t>
            </w:r>
          </w:p>
        </w:tc>
        <w:tc>
          <w:tcPr>
            <w:tcW w:w="780" w:type="dxa"/>
            <w:gridSpan w:val="2"/>
            <w:tcBorders>
              <w:tl2br w:val="nil"/>
              <w:tr2bl w:val="nil"/>
            </w:tcBorders>
            <w:vAlign w:val="center"/>
          </w:tcPr>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全年</w:t>
            </w:r>
          </w:p>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完成值</w:t>
            </w:r>
          </w:p>
        </w:tc>
        <w:tc>
          <w:tcPr>
            <w:tcW w:w="870" w:type="dxa"/>
            <w:tcBorders>
              <w:tl2br w:val="nil"/>
              <w:tr2bl w:val="nil"/>
            </w:tcBorders>
            <w:vAlign w:val="center"/>
          </w:tcPr>
          <w:p>
            <w:pPr>
              <w:widowControl/>
              <w:spacing w:line="300" w:lineRule="exact"/>
              <w:jc w:val="center"/>
              <w:rPr>
                <w:rFonts w:ascii="Times New Roman" w:eastAsia="方正仿宋_GBK" w:cs="宋体" w:hAnsi="Times New Roman" w:hint="eastAsia"/>
                <w:color w:val="000000"/>
                <w:kern w:val="0"/>
                <w:sz w:val="24"/>
                <w:szCs w:val="24"/>
                <w:lang w:val="en-US" w:eastAsia="zh-CN" w:bidi="ar-SA"/>
              </w:rPr>
            </w:pPr>
            <w:r>
              <w:rPr>
                <w:rFonts w:ascii="Times New Roman" w:eastAsia="方正仿宋_GBK" w:cs="宋体" w:hAnsi="Times New Roman" w:hint="eastAsia"/>
                <w:color w:val="000000"/>
                <w:kern w:val="0"/>
                <w:sz w:val="24"/>
                <w:szCs w:val="24"/>
                <w:lang w:val="en-US" w:eastAsia="zh-CN" w:bidi="ar-SA"/>
              </w:rPr>
              <w:t>偏离度（%）</w:t>
            </w:r>
          </w:p>
        </w:tc>
        <w:tc>
          <w:tcPr>
            <w:tcW w:w="963" w:type="dxa"/>
            <w:tcBorders>
              <w:tl2br w:val="nil"/>
              <w:tr2bl w:val="nil"/>
            </w:tcBorders>
            <w:vAlign w:val="center"/>
          </w:tcPr>
          <w:p>
            <w:pPr>
              <w:widowControl/>
              <w:spacing w:line="300" w:lineRule="exact"/>
              <w:jc w:val="center"/>
              <w:rPr>
                <w:rFonts w:ascii="Times New Roman" w:eastAsia="方正仿宋_GBK" w:cs="宋体" w:hAnsi="Times New Roman"/>
                <w:color w:val="000000"/>
                <w:kern w:val="0"/>
                <w:sz w:val="24"/>
                <w:szCs w:val="24"/>
                <w:lang w:bidi="ar-SA"/>
              </w:rPr>
            </w:pPr>
            <w:r>
              <w:rPr>
                <w:rFonts w:ascii="Times New Roman" w:eastAsia="方正仿宋_GBK" w:cs="宋体" w:hAnsi="Times New Roman" w:hint="eastAsia"/>
                <w:color w:val="000000"/>
                <w:kern w:val="0"/>
                <w:sz w:val="24"/>
                <w:szCs w:val="24"/>
                <w:lang w:bidi="ar-SA"/>
              </w:rPr>
              <w:t>得分</w:t>
            </w:r>
          </w:p>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系数</w:t>
            </w:r>
          </w:p>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w:t>
            </w:r>
          </w:p>
        </w:tc>
        <w:tc>
          <w:tcPr>
            <w:tcW w:w="1359" w:type="dxa"/>
            <w:tcBorders>
              <w:tl2br w:val="nil"/>
              <w:tr2bl w:val="nil"/>
            </w:tcBorders>
            <w:vAlign w:val="center"/>
          </w:tcPr>
          <w:p>
            <w:pPr>
              <w:widowControl/>
              <w:spacing w:line="300" w:lineRule="exact"/>
              <w:jc w:val="center"/>
              <w:rPr>
                <w:rFonts w:ascii="Times New Roman" w:eastAsia="方正仿宋_GBK" w:cs="宋体" w:hAnsi="Times New Roman"/>
                <w:color w:val="000000"/>
                <w:kern w:val="0"/>
                <w:sz w:val="24"/>
                <w:szCs w:val="24"/>
                <w:lang w:bidi="ar-SA"/>
              </w:rPr>
            </w:pPr>
            <w:r>
              <w:rPr>
                <w:rFonts w:ascii="Times New Roman" w:eastAsia="方正仿宋_GBK" w:cs="宋体" w:hAnsi="Times New Roman" w:hint="eastAsia"/>
                <w:color w:val="000000"/>
                <w:kern w:val="0"/>
                <w:sz w:val="24"/>
                <w:szCs w:val="24"/>
                <w:lang w:bidi="ar-SA"/>
              </w:rPr>
              <w:t>指标</w:t>
            </w:r>
          </w:p>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权重</w:t>
            </w:r>
          </w:p>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（分）</w:t>
            </w:r>
          </w:p>
        </w:tc>
        <w:tc>
          <w:tcPr>
            <w:tcW w:w="2231" w:type="dxa"/>
            <w:gridSpan w:val="2"/>
            <w:tcBorders>
              <w:tl2br w:val="nil"/>
              <w:tr2bl w:val="nil"/>
            </w:tcBorders>
            <w:vAlign w:val="center"/>
          </w:tcPr>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指标得分</w:t>
            </w:r>
          </w:p>
          <w:p>
            <w:pPr>
              <w:widowControl/>
              <w:spacing w:line="300" w:lineRule="exact"/>
              <w:jc w:val="center"/>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（分）</w:t>
            </w:r>
          </w:p>
        </w:tc>
      </w:tr>
      <w:tr>
        <w:trPr>
          <w:trHeight w:val="408"/>
        </w:trPr>
        <w:tc>
          <w:tcPr>
            <w:tcW w:w="674" w:type="dxa"/>
            <w:vMerge/>
            <w:tcBorders>
              <w:tl2br w:val="nil"/>
              <w:tr2bl w:val="nil"/>
            </w:tcBorders>
            <w:vAlign w:val="center"/>
          </w:tcPr>
          <w:p/>
        </w:tc>
        <w:tc>
          <w:tcPr>
            <w:tcW w:w="1320" w:type="dxa"/>
            <w:tcBorders>
              <w:tl2br w:val="nil"/>
              <w:tr2bl w:val="nil"/>
            </w:tcBorders>
          </w:tcPr>
          <w:p>
            <w:pPr>
              <w:rPr>
                <w:rFonts w:ascii="宋体" w:eastAsia="宋体" w:hint="eastAsia"/>
                <w:sz w:val="24"/>
              </w:rPr>
            </w:pPr>
            <w:r>
              <w:rPr>
                <w:rFonts w:ascii="宋体" w:eastAsia="宋体" w:hint="eastAsia"/>
                <w:sz w:val="24"/>
              </w:rPr>
              <w:t>管理景区6座小一（二）水库和1座中型水库</w:t>
            </w:r>
          </w:p>
        </w:tc>
        <w:tc>
          <w:tcPr>
            <w:tcW w:w="570" w:type="dxa"/>
            <w:tcBorders>
              <w:tl2br w:val="nil"/>
              <w:tr2bl w:val="nil"/>
            </w:tcBorders>
            <w:vAlign w:val="center"/>
          </w:tcPr>
          <w:p>
            <w:pPr>
              <w:jc w:val="center"/>
              <w:rPr>
                <w:rFonts w:ascii="宋体" w:eastAsia="宋体" w:hint="eastAsia"/>
                <w:sz w:val="24"/>
              </w:rPr>
            </w:pPr>
            <w:r>
              <w:rPr>
                <w:rFonts w:ascii="宋体" w:eastAsia="宋体" w:hint="eastAsia"/>
                <w:sz w:val="24"/>
              </w:rPr>
              <w:t>座</w:t>
            </w:r>
          </w:p>
        </w:tc>
        <w:tc>
          <w:tcPr>
            <w:tcW w:w="675" w:type="dxa"/>
            <w:tcBorders>
              <w:tl2br w:val="nil"/>
              <w:tr2bl w:val="nil"/>
            </w:tcBorders>
            <w:vAlign w:val="center"/>
          </w:tcPr>
          <w:p>
            <w:pPr>
              <w:jc w:val="center"/>
              <w:rPr>
                <w:rFonts w:ascii="宋体" w:eastAsia="宋体" w:hint="eastAsia"/>
                <w:sz w:val="24"/>
              </w:rPr>
            </w:pPr>
            <w:r>
              <w:rPr>
                <w:rFonts w:ascii="宋体" w:eastAsia="宋体" w:hint="eastAsia"/>
                <w:sz w:val="24"/>
              </w:rPr>
              <w:t>≥</w:t>
            </w:r>
          </w:p>
        </w:tc>
        <w:tc>
          <w:tcPr>
            <w:tcW w:w="690" w:type="dxa"/>
            <w:gridSpan w:val="2"/>
            <w:tcBorders>
              <w:tl2br w:val="nil"/>
              <w:tr2bl w:val="nil"/>
            </w:tcBorders>
            <w:vAlign w:val="center"/>
          </w:tcPr>
          <w:p>
            <w:pPr>
              <w:jc w:val="center"/>
              <w:rPr>
                <w:rFonts w:ascii="宋体" w:eastAsia="宋体" w:hint="eastAsia"/>
                <w:sz w:val="24"/>
              </w:rPr>
            </w:pPr>
            <w:r>
              <w:rPr>
                <w:rFonts w:ascii="宋体" w:eastAsia="宋体" w:hint="eastAsia"/>
                <w:sz w:val="24"/>
              </w:rPr>
              <w:t>7</w:t>
            </w:r>
          </w:p>
        </w:tc>
        <w:tc>
          <w:tcPr>
            <w:tcW w:w="780" w:type="dxa"/>
            <w:gridSpan w:val="2"/>
            <w:tcBorders>
              <w:tl2br w:val="nil"/>
              <w:tr2bl w:val="nil"/>
            </w:tcBorders>
            <w:vAlign w:val="center"/>
          </w:tcPr>
          <w:p>
            <w:pPr>
              <w:jc w:val="center"/>
              <w:rPr>
                <w:rFonts w:ascii="宋体" w:eastAsia="宋体" w:hint="eastAsia"/>
                <w:sz w:val="24"/>
              </w:rPr>
            </w:pPr>
            <w:r>
              <w:rPr>
                <w:rFonts w:ascii="宋体" w:eastAsia="宋体" w:hint="eastAsia"/>
                <w:sz w:val="24"/>
              </w:rPr>
              <w:t>7</w:t>
            </w:r>
          </w:p>
        </w:tc>
        <w:tc>
          <w:tcPr>
            <w:tcW w:w="870" w:type="dxa"/>
            <w:tcBorders>
              <w:tl2br w:val="nil"/>
              <w:tr2bl w:val="nil"/>
            </w:tcBorders>
            <w:vAlign w:val="center"/>
          </w:tcPr>
          <w:p>
            <w:pPr>
              <w:jc w:val="center"/>
              <w:rPr>
                <w:rFonts w:ascii="宋体" w:eastAsia="宋体" w:hint="eastAsia"/>
                <w:sz w:val="24"/>
              </w:rPr>
            </w:pPr>
            <w:r>
              <w:rPr>
                <w:rFonts w:ascii="宋体" w:eastAsia="宋体" w:hint="eastAsia"/>
                <w:sz w:val="24"/>
              </w:rPr>
              <w:t>0</w:t>
            </w:r>
          </w:p>
        </w:tc>
        <w:tc>
          <w:tcPr>
            <w:tcW w:w="963" w:type="dxa"/>
            <w:tcBorders>
              <w:tl2br w:val="nil"/>
              <w:tr2bl w:val="nil"/>
            </w:tcBorders>
            <w:vAlign w:val="center"/>
          </w:tcPr>
          <w:p>
            <w:pPr>
              <w:jc w:val="center"/>
              <w:rPr>
                <w:rFonts w:ascii="宋体" w:eastAsia="宋体" w:hint="eastAsia"/>
                <w:sz w:val="24"/>
              </w:rPr>
            </w:pPr>
            <w:r>
              <w:rPr>
                <w:rFonts w:ascii="宋体" w:eastAsia="宋体" w:hint="eastAsia"/>
                <w:sz w:val="24"/>
              </w:rPr>
              <w:t>100</w:t>
            </w:r>
          </w:p>
        </w:tc>
        <w:tc>
          <w:tcPr>
            <w:tcW w:w="1359" w:type="dxa"/>
            <w:tcBorders>
              <w:tl2br w:val="nil"/>
              <w:tr2bl w:val="nil"/>
            </w:tcBorders>
            <w:vAlign w:val="center"/>
          </w:tcPr>
          <w:p>
            <w:pPr>
              <w:jc w:val="center"/>
              <w:rPr>
                <w:rFonts w:ascii="宋体" w:eastAsia="宋体" w:hint="eastAsia"/>
                <w:sz w:val="24"/>
              </w:rPr>
            </w:pPr>
            <w:r>
              <w:rPr>
                <w:rFonts w:ascii="宋体" w:eastAsia="宋体" w:hint="eastAsia"/>
                <w:sz w:val="24"/>
              </w:rPr>
              <w:t xml:space="preserve">30.00 </w:t>
            </w:r>
          </w:p>
        </w:tc>
        <w:tc>
          <w:tcPr>
            <w:tcW w:w="2231" w:type="dxa"/>
            <w:gridSpan w:val="2"/>
            <w:tcBorders>
              <w:tl2br w:val="nil"/>
              <w:tr2bl w:val="nil"/>
            </w:tcBorders>
            <w:vAlign w:val="center"/>
          </w:tcPr>
          <w:p>
            <w:pPr>
              <w:jc w:val="center"/>
              <w:rPr>
                <w:rFonts w:ascii="宋体" w:eastAsia="宋体" w:hint="eastAsia"/>
                <w:sz w:val="24"/>
              </w:rPr>
            </w:pPr>
            <w:r>
              <w:rPr>
                <w:rFonts w:ascii="宋体" w:eastAsia="宋体" w:hint="eastAsia"/>
                <w:sz w:val="24"/>
              </w:rPr>
              <w:t xml:space="preserve">30.00 </w:t>
            </w:r>
          </w:p>
        </w:tc>
      </w:tr>
      <w:tr>
        <w:trPr>
          <w:trHeight w:val="408"/>
        </w:trPr>
        <w:tc>
          <w:tcPr>
            <w:tcW w:w="674" w:type="dxa"/>
            <w:tcBorders>
              <w:tl2br w:val="nil"/>
              <w:tr2bl w:val="nil"/>
            </w:tcBorders>
            <w:vAlign w:val="center"/>
          </w:tcPr>
          <w:p>
            <w:pPr>
              <w:widowControl/>
              <w:spacing w:line="300" w:lineRule="exact"/>
              <w:rPr>
                <w:rFonts w:ascii="Times New Roman" w:eastAsia="方正仿宋_GBK" w:cs="宋体" w:hAnsi="Times New Roman"/>
                <w:color w:val="000000"/>
                <w:kern w:val="0"/>
                <w:sz w:val="24"/>
                <w:szCs w:val="24"/>
                <w:lang w:bidi="ar-SA"/>
              </w:rPr>
            </w:pPr>
          </w:p>
        </w:tc>
        <w:tc>
          <w:tcPr>
            <w:tcW w:w="1320" w:type="dxa"/>
            <w:tcBorders>
              <w:tl2br w:val="nil"/>
              <w:tr2bl w:val="nil"/>
            </w:tcBorders>
          </w:tcPr>
          <w:p>
            <w:pPr>
              <w:rPr>
                <w:rFonts w:ascii="宋体" w:eastAsia="宋体" w:hint="eastAsia"/>
                <w:sz w:val="24"/>
              </w:rPr>
            </w:pPr>
            <w:r>
              <w:rPr>
                <w:rFonts w:ascii="宋体" w:eastAsia="宋体" w:hint="eastAsia"/>
                <w:sz w:val="24"/>
              </w:rPr>
              <w:t>防汛抗旱安全运行</w:t>
            </w:r>
          </w:p>
        </w:tc>
        <w:tc>
          <w:tcPr>
            <w:tcW w:w="570" w:type="dxa"/>
            <w:tcBorders>
              <w:tl2br w:val="nil"/>
              <w:tr2bl w:val="nil"/>
            </w:tcBorders>
            <w:vAlign w:val="center"/>
          </w:tcPr>
          <w:p>
            <w:pPr>
              <w:jc w:val="center"/>
              <w:rPr>
                <w:rFonts w:ascii="宋体" w:eastAsia="宋体" w:hint="eastAsia"/>
                <w:sz w:val="24"/>
              </w:rPr>
            </w:pPr>
            <w:r>
              <w:rPr>
                <w:rFonts w:ascii="宋体" w:eastAsia="宋体" w:hint="eastAsia"/>
                <w:sz w:val="24"/>
              </w:rPr>
              <w:t>座</w:t>
            </w:r>
          </w:p>
        </w:tc>
        <w:tc>
          <w:tcPr>
            <w:tcW w:w="675" w:type="dxa"/>
            <w:tcBorders>
              <w:tl2br w:val="nil"/>
              <w:tr2bl w:val="nil"/>
            </w:tcBorders>
            <w:vAlign w:val="center"/>
          </w:tcPr>
          <w:p>
            <w:pPr>
              <w:jc w:val="center"/>
              <w:rPr>
                <w:rFonts w:ascii="宋体" w:eastAsia="宋体" w:hint="eastAsia"/>
                <w:sz w:val="24"/>
              </w:rPr>
            </w:pPr>
            <w:r>
              <w:rPr>
                <w:rFonts w:ascii="宋体" w:eastAsia="宋体" w:hint="eastAsia"/>
                <w:sz w:val="24"/>
              </w:rPr>
              <w:t>≥</w:t>
            </w:r>
          </w:p>
        </w:tc>
        <w:tc>
          <w:tcPr>
            <w:tcW w:w="690" w:type="dxa"/>
            <w:gridSpan w:val="2"/>
            <w:tcBorders>
              <w:tl2br w:val="nil"/>
              <w:tr2bl w:val="nil"/>
            </w:tcBorders>
            <w:vAlign w:val="center"/>
          </w:tcPr>
          <w:p>
            <w:pPr>
              <w:jc w:val="center"/>
              <w:rPr>
                <w:rFonts w:ascii="宋体" w:eastAsia="宋体" w:hint="eastAsia"/>
                <w:sz w:val="24"/>
              </w:rPr>
            </w:pPr>
            <w:r>
              <w:rPr>
                <w:rFonts w:ascii="宋体" w:eastAsia="宋体" w:hint="eastAsia"/>
                <w:sz w:val="24"/>
              </w:rPr>
              <w:t>7</w:t>
            </w:r>
          </w:p>
        </w:tc>
        <w:tc>
          <w:tcPr>
            <w:tcW w:w="780" w:type="dxa"/>
            <w:gridSpan w:val="2"/>
            <w:tcBorders>
              <w:tl2br w:val="nil"/>
              <w:tr2bl w:val="nil"/>
            </w:tcBorders>
            <w:vAlign w:val="center"/>
          </w:tcPr>
          <w:p>
            <w:pPr>
              <w:jc w:val="center"/>
              <w:rPr>
                <w:rFonts w:ascii="宋体" w:eastAsia="宋体" w:hint="eastAsia"/>
                <w:sz w:val="24"/>
              </w:rPr>
            </w:pPr>
            <w:r>
              <w:rPr>
                <w:rFonts w:ascii="宋体" w:eastAsia="宋体" w:hint="eastAsia"/>
                <w:sz w:val="24"/>
              </w:rPr>
              <w:t>7</w:t>
            </w:r>
          </w:p>
        </w:tc>
        <w:tc>
          <w:tcPr>
            <w:tcW w:w="870" w:type="dxa"/>
            <w:tcBorders>
              <w:tl2br w:val="nil"/>
              <w:tr2bl w:val="nil"/>
            </w:tcBorders>
            <w:vAlign w:val="center"/>
          </w:tcPr>
          <w:p>
            <w:pPr>
              <w:jc w:val="center"/>
              <w:rPr>
                <w:rFonts w:ascii="宋体" w:eastAsia="宋体" w:hint="eastAsia"/>
                <w:sz w:val="24"/>
              </w:rPr>
            </w:pPr>
            <w:r>
              <w:rPr>
                <w:rFonts w:ascii="宋体" w:eastAsia="宋体" w:hint="eastAsia"/>
                <w:sz w:val="24"/>
              </w:rPr>
              <w:t>0</w:t>
            </w:r>
          </w:p>
        </w:tc>
        <w:tc>
          <w:tcPr>
            <w:tcW w:w="963" w:type="dxa"/>
            <w:tcBorders>
              <w:tl2br w:val="nil"/>
              <w:tr2bl w:val="nil"/>
            </w:tcBorders>
            <w:vAlign w:val="center"/>
          </w:tcPr>
          <w:p>
            <w:pPr>
              <w:jc w:val="center"/>
              <w:rPr>
                <w:rFonts w:ascii="宋体" w:eastAsia="宋体" w:hint="eastAsia"/>
                <w:sz w:val="24"/>
              </w:rPr>
            </w:pPr>
            <w:r>
              <w:rPr>
                <w:rFonts w:ascii="宋体" w:eastAsia="宋体" w:hint="eastAsia"/>
                <w:sz w:val="24"/>
              </w:rPr>
              <w:t>100</w:t>
            </w:r>
          </w:p>
        </w:tc>
        <w:tc>
          <w:tcPr>
            <w:tcW w:w="1359" w:type="dxa"/>
            <w:tcBorders>
              <w:tl2br w:val="nil"/>
              <w:tr2bl w:val="nil"/>
            </w:tcBorders>
            <w:vAlign w:val="center"/>
          </w:tcPr>
          <w:p>
            <w:pPr>
              <w:jc w:val="center"/>
              <w:rPr>
                <w:rFonts w:ascii="宋体" w:eastAsia="宋体" w:hint="eastAsia"/>
                <w:sz w:val="24"/>
              </w:rPr>
            </w:pPr>
            <w:r>
              <w:rPr>
                <w:rFonts w:ascii="宋体" w:eastAsia="宋体" w:hint="eastAsia"/>
                <w:sz w:val="24"/>
              </w:rPr>
              <w:t xml:space="preserve">20.00 </w:t>
            </w:r>
          </w:p>
        </w:tc>
        <w:tc>
          <w:tcPr>
            <w:tcW w:w="2231" w:type="dxa"/>
            <w:gridSpan w:val="2"/>
            <w:tcBorders>
              <w:tl2br w:val="nil"/>
              <w:tr2bl w:val="nil"/>
            </w:tcBorders>
            <w:vAlign w:val="center"/>
          </w:tcPr>
          <w:p>
            <w:pPr>
              <w:jc w:val="center"/>
              <w:rPr>
                <w:rFonts w:ascii="宋体" w:eastAsia="宋体" w:hint="eastAsia"/>
                <w:sz w:val="24"/>
              </w:rPr>
            </w:pPr>
            <w:r>
              <w:rPr>
                <w:rFonts w:ascii="宋体" w:eastAsia="宋体" w:hint="eastAsia"/>
                <w:sz w:val="24"/>
              </w:rPr>
              <w:t xml:space="preserve">20.00 </w:t>
            </w:r>
          </w:p>
        </w:tc>
      </w:tr>
      <w:tr>
        <w:trPr>
          <w:trHeight w:val="408"/>
        </w:trPr>
        <w:tc>
          <w:tcPr>
            <w:tcW w:w="674" w:type="dxa"/>
            <w:tcBorders>
              <w:tl2br w:val="nil"/>
              <w:tr2bl w:val="nil"/>
            </w:tcBorders>
            <w:vAlign w:val="center"/>
          </w:tcPr>
          <w:p>
            <w:pPr>
              <w:widowControl/>
              <w:spacing w:line="300" w:lineRule="exact"/>
              <w:rPr>
                <w:rFonts w:ascii="Times New Roman" w:eastAsia="方正仿宋_GBK" w:cs="宋体" w:hAnsi="Times New Roman"/>
                <w:color w:val="000000"/>
                <w:kern w:val="0"/>
                <w:sz w:val="24"/>
                <w:szCs w:val="24"/>
                <w:lang w:bidi="ar-SA"/>
              </w:rPr>
            </w:pPr>
          </w:p>
        </w:tc>
        <w:tc>
          <w:tcPr>
            <w:tcW w:w="1320" w:type="dxa"/>
            <w:tcBorders>
              <w:tl2br w:val="nil"/>
              <w:tr2bl w:val="nil"/>
            </w:tcBorders>
          </w:tcPr>
          <w:p>
            <w:pPr>
              <w:rPr>
                <w:rFonts w:ascii="宋体" w:eastAsia="宋体" w:hint="eastAsia"/>
                <w:sz w:val="24"/>
              </w:rPr>
            </w:pPr>
            <w:r>
              <w:rPr>
                <w:rFonts w:ascii="宋体" w:eastAsia="宋体" w:hint="eastAsia"/>
                <w:sz w:val="24"/>
              </w:rPr>
              <w:t>10万人饮用水调配</w:t>
            </w:r>
          </w:p>
        </w:tc>
        <w:tc>
          <w:tcPr>
            <w:tcW w:w="570" w:type="dxa"/>
            <w:tcBorders>
              <w:tl2br w:val="nil"/>
              <w:tr2bl w:val="nil"/>
            </w:tcBorders>
            <w:vAlign w:val="center"/>
          </w:tcPr>
          <w:p>
            <w:pPr>
              <w:jc w:val="center"/>
              <w:rPr>
                <w:rFonts w:ascii="宋体" w:eastAsia="宋体" w:hint="eastAsia"/>
                <w:sz w:val="24"/>
              </w:rPr>
            </w:pPr>
            <w:r>
              <w:rPr>
                <w:rFonts w:ascii="宋体" w:eastAsia="宋体" w:hint="eastAsia"/>
                <w:sz w:val="24"/>
              </w:rPr>
              <w:t>万人</w:t>
            </w:r>
          </w:p>
        </w:tc>
        <w:tc>
          <w:tcPr>
            <w:tcW w:w="675" w:type="dxa"/>
            <w:tcBorders>
              <w:tl2br w:val="nil"/>
              <w:tr2bl w:val="nil"/>
            </w:tcBorders>
            <w:vAlign w:val="center"/>
          </w:tcPr>
          <w:p>
            <w:pPr>
              <w:jc w:val="center"/>
              <w:rPr>
                <w:rFonts w:ascii="宋体" w:eastAsia="宋体" w:hint="eastAsia"/>
                <w:sz w:val="24"/>
              </w:rPr>
            </w:pPr>
            <w:r>
              <w:rPr>
                <w:rFonts w:ascii="宋体" w:eastAsia="宋体" w:hint="eastAsia"/>
                <w:sz w:val="24"/>
              </w:rPr>
              <w:t>≥</w:t>
            </w:r>
          </w:p>
        </w:tc>
        <w:tc>
          <w:tcPr>
            <w:tcW w:w="690" w:type="dxa"/>
            <w:gridSpan w:val="2"/>
            <w:tcBorders>
              <w:tl2br w:val="nil"/>
              <w:tr2bl w:val="nil"/>
            </w:tcBorders>
            <w:vAlign w:val="center"/>
          </w:tcPr>
          <w:p>
            <w:pPr>
              <w:jc w:val="center"/>
              <w:rPr>
                <w:rFonts w:ascii="宋体" w:eastAsia="宋体" w:hint="eastAsia"/>
                <w:sz w:val="24"/>
              </w:rPr>
            </w:pPr>
            <w:r>
              <w:rPr>
                <w:rFonts w:ascii="宋体" w:eastAsia="宋体" w:hint="eastAsia"/>
                <w:sz w:val="24"/>
              </w:rPr>
              <w:t>10</w:t>
            </w:r>
          </w:p>
        </w:tc>
        <w:tc>
          <w:tcPr>
            <w:tcW w:w="780" w:type="dxa"/>
            <w:gridSpan w:val="2"/>
            <w:tcBorders>
              <w:tl2br w:val="nil"/>
              <w:tr2bl w:val="nil"/>
            </w:tcBorders>
            <w:vAlign w:val="center"/>
          </w:tcPr>
          <w:p>
            <w:pPr>
              <w:jc w:val="center"/>
              <w:rPr>
                <w:rFonts w:ascii="宋体" w:eastAsia="宋体" w:hint="eastAsia"/>
                <w:sz w:val="24"/>
              </w:rPr>
            </w:pPr>
            <w:r>
              <w:rPr>
                <w:rFonts w:ascii="宋体" w:eastAsia="宋体" w:hint="eastAsia"/>
                <w:sz w:val="24"/>
              </w:rPr>
              <w:t>10</w:t>
            </w:r>
          </w:p>
        </w:tc>
        <w:tc>
          <w:tcPr>
            <w:tcW w:w="870" w:type="dxa"/>
            <w:tcBorders>
              <w:tl2br w:val="nil"/>
              <w:tr2bl w:val="nil"/>
            </w:tcBorders>
            <w:vAlign w:val="center"/>
          </w:tcPr>
          <w:p>
            <w:pPr>
              <w:jc w:val="center"/>
              <w:rPr>
                <w:rFonts w:ascii="宋体" w:eastAsia="宋体" w:hint="eastAsia"/>
                <w:sz w:val="24"/>
              </w:rPr>
            </w:pPr>
            <w:r>
              <w:rPr>
                <w:rFonts w:ascii="宋体" w:eastAsia="宋体" w:hint="eastAsia"/>
                <w:sz w:val="24"/>
              </w:rPr>
              <w:t>0</w:t>
            </w:r>
          </w:p>
        </w:tc>
        <w:tc>
          <w:tcPr>
            <w:tcW w:w="963" w:type="dxa"/>
            <w:tcBorders>
              <w:tl2br w:val="nil"/>
              <w:tr2bl w:val="nil"/>
            </w:tcBorders>
            <w:vAlign w:val="center"/>
          </w:tcPr>
          <w:p>
            <w:pPr>
              <w:jc w:val="center"/>
              <w:rPr>
                <w:rFonts w:ascii="宋体" w:eastAsia="宋体" w:hint="eastAsia"/>
                <w:sz w:val="24"/>
              </w:rPr>
            </w:pPr>
            <w:r>
              <w:rPr>
                <w:rFonts w:ascii="宋体" w:eastAsia="宋体" w:hint="eastAsia"/>
                <w:sz w:val="24"/>
              </w:rPr>
              <w:t>100</w:t>
            </w:r>
          </w:p>
        </w:tc>
        <w:tc>
          <w:tcPr>
            <w:tcW w:w="1359" w:type="dxa"/>
            <w:tcBorders>
              <w:tl2br w:val="nil"/>
              <w:tr2bl w:val="nil"/>
            </w:tcBorders>
            <w:vAlign w:val="center"/>
          </w:tcPr>
          <w:p>
            <w:pPr>
              <w:jc w:val="center"/>
              <w:rPr>
                <w:rFonts w:ascii="宋体" w:eastAsia="宋体" w:hint="eastAsia"/>
                <w:sz w:val="24"/>
              </w:rPr>
            </w:pPr>
            <w:r>
              <w:rPr>
                <w:rFonts w:ascii="宋体" w:eastAsia="宋体" w:hint="eastAsia"/>
                <w:sz w:val="24"/>
              </w:rPr>
              <w:t xml:space="preserve">20.00 </w:t>
            </w:r>
          </w:p>
        </w:tc>
        <w:tc>
          <w:tcPr>
            <w:tcW w:w="2231" w:type="dxa"/>
            <w:gridSpan w:val="2"/>
            <w:tcBorders>
              <w:tl2br w:val="nil"/>
              <w:tr2bl w:val="nil"/>
            </w:tcBorders>
            <w:vAlign w:val="center"/>
          </w:tcPr>
          <w:p>
            <w:pPr>
              <w:jc w:val="center"/>
              <w:rPr>
                <w:rFonts w:ascii="宋体" w:eastAsia="宋体" w:hint="eastAsia"/>
                <w:sz w:val="24"/>
              </w:rPr>
            </w:pPr>
            <w:r>
              <w:rPr>
                <w:rFonts w:ascii="宋体" w:eastAsia="宋体" w:hint="eastAsia"/>
                <w:sz w:val="24"/>
              </w:rPr>
              <w:t xml:space="preserve">20.00 </w:t>
            </w:r>
          </w:p>
        </w:tc>
      </w:tr>
      <w:tr>
        <w:trPr>
          <w:trHeight w:val="408"/>
        </w:trPr>
        <w:tc>
          <w:tcPr>
            <w:tcW w:w="674" w:type="dxa"/>
            <w:tcBorders>
              <w:tl2br w:val="nil"/>
              <w:tr2bl w:val="nil"/>
            </w:tcBorders>
            <w:vAlign w:val="center"/>
          </w:tcPr>
          <w:p>
            <w:pPr>
              <w:widowControl/>
              <w:spacing w:line="300" w:lineRule="exact"/>
              <w:rPr>
                <w:rFonts w:ascii="Times New Roman" w:eastAsia="方正仿宋_GBK" w:cs="宋体" w:hAnsi="Times New Roman"/>
                <w:color w:val="000000"/>
                <w:kern w:val="0"/>
                <w:sz w:val="24"/>
                <w:szCs w:val="24"/>
                <w:lang w:bidi="ar-SA"/>
              </w:rPr>
            </w:pPr>
          </w:p>
        </w:tc>
        <w:tc>
          <w:tcPr>
            <w:tcW w:w="1320" w:type="dxa"/>
            <w:tcBorders>
              <w:tl2br w:val="nil"/>
              <w:tr2bl w:val="nil"/>
            </w:tcBorders>
          </w:tcPr>
          <w:p>
            <w:pPr>
              <w:rPr>
                <w:rFonts w:ascii="宋体" w:eastAsia="宋体" w:hint="eastAsia"/>
                <w:sz w:val="24"/>
              </w:rPr>
            </w:pPr>
            <w:r>
              <w:rPr>
                <w:rFonts w:ascii="宋体" w:eastAsia="宋体" w:hint="eastAsia"/>
                <w:sz w:val="24"/>
              </w:rPr>
              <w:t>10万人防汛财产安全</w:t>
            </w:r>
          </w:p>
        </w:tc>
        <w:tc>
          <w:tcPr>
            <w:tcW w:w="570" w:type="dxa"/>
            <w:tcBorders>
              <w:tl2br w:val="nil"/>
              <w:tr2bl w:val="nil"/>
            </w:tcBorders>
            <w:vAlign w:val="center"/>
          </w:tcPr>
          <w:p>
            <w:pPr>
              <w:jc w:val="center"/>
              <w:rPr>
                <w:rFonts w:ascii="宋体" w:eastAsia="宋体" w:hint="eastAsia"/>
                <w:sz w:val="24"/>
              </w:rPr>
            </w:pPr>
            <w:r>
              <w:rPr>
                <w:rFonts w:ascii="宋体" w:eastAsia="宋体" w:hint="eastAsia"/>
                <w:sz w:val="24"/>
              </w:rPr>
              <w:t>万人</w:t>
            </w:r>
          </w:p>
        </w:tc>
        <w:tc>
          <w:tcPr>
            <w:tcW w:w="675" w:type="dxa"/>
            <w:tcBorders>
              <w:tl2br w:val="nil"/>
              <w:tr2bl w:val="nil"/>
            </w:tcBorders>
            <w:vAlign w:val="center"/>
          </w:tcPr>
          <w:p>
            <w:pPr>
              <w:jc w:val="center"/>
              <w:rPr>
                <w:rFonts w:ascii="宋体" w:eastAsia="宋体" w:hint="eastAsia"/>
                <w:sz w:val="24"/>
              </w:rPr>
            </w:pPr>
            <w:r>
              <w:rPr>
                <w:rFonts w:ascii="宋体" w:eastAsia="宋体" w:hint="eastAsia"/>
                <w:sz w:val="24"/>
              </w:rPr>
              <w:t>≥</w:t>
            </w:r>
          </w:p>
        </w:tc>
        <w:tc>
          <w:tcPr>
            <w:tcW w:w="690" w:type="dxa"/>
            <w:gridSpan w:val="2"/>
            <w:tcBorders>
              <w:tl2br w:val="nil"/>
              <w:tr2bl w:val="nil"/>
            </w:tcBorders>
            <w:vAlign w:val="center"/>
          </w:tcPr>
          <w:p>
            <w:pPr>
              <w:jc w:val="center"/>
              <w:rPr>
                <w:rFonts w:ascii="宋体" w:eastAsia="宋体" w:hint="eastAsia"/>
                <w:sz w:val="24"/>
              </w:rPr>
            </w:pPr>
            <w:r>
              <w:rPr>
                <w:rFonts w:ascii="宋体" w:eastAsia="宋体" w:hint="eastAsia"/>
                <w:sz w:val="24"/>
              </w:rPr>
              <w:t>10</w:t>
            </w:r>
          </w:p>
        </w:tc>
        <w:tc>
          <w:tcPr>
            <w:tcW w:w="780" w:type="dxa"/>
            <w:gridSpan w:val="2"/>
            <w:tcBorders>
              <w:tl2br w:val="nil"/>
              <w:tr2bl w:val="nil"/>
            </w:tcBorders>
            <w:vAlign w:val="center"/>
          </w:tcPr>
          <w:p>
            <w:pPr>
              <w:jc w:val="center"/>
              <w:rPr>
                <w:rFonts w:ascii="宋体" w:eastAsia="宋体" w:hint="eastAsia"/>
                <w:sz w:val="24"/>
              </w:rPr>
            </w:pPr>
            <w:r>
              <w:rPr>
                <w:rFonts w:ascii="宋体" w:eastAsia="宋体" w:hint="eastAsia"/>
                <w:sz w:val="24"/>
              </w:rPr>
              <w:t>10</w:t>
            </w:r>
          </w:p>
        </w:tc>
        <w:tc>
          <w:tcPr>
            <w:tcW w:w="870" w:type="dxa"/>
            <w:tcBorders>
              <w:tl2br w:val="nil"/>
              <w:tr2bl w:val="nil"/>
            </w:tcBorders>
            <w:vAlign w:val="center"/>
          </w:tcPr>
          <w:p>
            <w:pPr>
              <w:jc w:val="center"/>
              <w:rPr>
                <w:rFonts w:ascii="宋体" w:eastAsia="宋体" w:hint="eastAsia"/>
                <w:sz w:val="24"/>
              </w:rPr>
            </w:pPr>
            <w:r>
              <w:rPr>
                <w:rFonts w:ascii="宋体" w:eastAsia="宋体" w:hint="eastAsia"/>
                <w:sz w:val="24"/>
              </w:rPr>
              <w:t>0</w:t>
            </w:r>
          </w:p>
        </w:tc>
        <w:tc>
          <w:tcPr>
            <w:tcW w:w="963" w:type="dxa"/>
            <w:tcBorders>
              <w:tl2br w:val="nil"/>
              <w:tr2bl w:val="nil"/>
            </w:tcBorders>
            <w:vAlign w:val="center"/>
          </w:tcPr>
          <w:p>
            <w:pPr>
              <w:jc w:val="center"/>
              <w:rPr>
                <w:rFonts w:ascii="宋体" w:eastAsia="宋体" w:hint="eastAsia"/>
                <w:sz w:val="24"/>
              </w:rPr>
            </w:pPr>
            <w:r>
              <w:rPr>
                <w:rFonts w:ascii="宋体" w:eastAsia="宋体" w:hint="eastAsia"/>
                <w:sz w:val="24"/>
              </w:rPr>
              <w:t>100</w:t>
            </w:r>
          </w:p>
        </w:tc>
        <w:tc>
          <w:tcPr>
            <w:tcW w:w="1359" w:type="dxa"/>
            <w:tcBorders>
              <w:tl2br w:val="nil"/>
              <w:tr2bl w:val="nil"/>
            </w:tcBorders>
            <w:vAlign w:val="center"/>
          </w:tcPr>
          <w:p>
            <w:pPr>
              <w:jc w:val="center"/>
              <w:rPr>
                <w:rFonts w:ascii="宋体" w:eastAsia="宋体" w:hint="eastAsia"/>
                <w:sz w:val="24"/>
              </w:rPr>
            </w:pPr>
            <w:r>
              <w:rPr>
                <w:rFonts w:ascii="宋体" w:eastAsia="宋体" w:hint="eastAsia"/>
                <w:sz w:val="24"/>
              </w:rPr>
              <w:t xml:space="preserve">20.00 </w:t>
            </w:r>
          </w:p>
        </w:tc>
        <w:tc>
          <w:tcPr>
            <w:tcW w:w="2231" w:type="dxa"/>
            <w:gridSpan w:val="2"/>
            <w:tcBorders>
              <w:tl2br w:val="nil"/>
              <w:tr2bl w:val="nil"/>
            </w:tcBorders>
            <w:vAlign w:val="center"/>
          </w:tcPr>
          <w:p>
            <w:pPr>
              <w:jc w:val="center"/>
              <w:rPr>
                <w:rFonts w:ascii="宋体" w:eastAsia="宋体" w:hint="eastAsia"/>
                <w:sz w:val="24"/>
              </w:rPr>
            </w:pPr>
            <w:r>
              <w:rPr>
                <w:rFonts w:ascii="宋体" w:eastAsia="宋体" w:hint="eastAsia"/>
                <w:sz w:val="24"/>
              </w:rPr>
              <w:t xml:space="preserve">20.00 </w:t>
            </w:r>
          </w:p>
        </w:tc>
      </w:tr>
      <w:tr>
        <w:trPr>
          <w:trHeight w:val="589"/>
        </w:trPr>
        <w:tc>
          <w:tcPr>
            <w:tcW w:w="674" w:type="dxa"/>
            <w:tcBorders>
              <w:tl2br w:val="nil"/>
              <w:tr2bl w:val="nil"/>
            </w:tcBorders>
            <w:vAlign w:val="center"/>
          </w:tcPr>
          <w:p>
            <w:pPr>
              <w:widowControl/>
              <w:spacing w:line="300" w:lineRule="exact"/>
              <w:rPr>
                <w:rFonts w:ascii="Times New Roman" w:eastAsia="方正仿宋_GBK" w:cs="宋体" w:hAnsi="Times New Roman" w:hint="eastAsia"/>
                <w:color w:val="000000"/>
                <w:kern w:val="0"/>
                <w:sz w:val="24"/>
                <w:szCs w:val="24"/>
                <w:lang w:bidi="ar-SA"/>
              </w:rPr>
            </w:pPr>
            <w:r>
              <w:rPr>
                <w:rFonts w:ascii="Times New Roman" w:eastAsia="方正仿宋_GBK" w:cs="宋体" w:hAnsi="Times New Roman" w:hint="eastAsia"/>
                <w:color w:val="000000"/>
                <w:kern w:val="0"/>
                <w:sz w:val="24"/>
                <w:szCs w:val="24"/>
                <w:lang w:bidi="ar-SA"/>
              </w:rPr>
              <w:t>说明</w:t>
            </w:r>
          </w:p>
        </w:tc>
        <w:tc>
          <w:tcPr>
            <w:tcW w:w="9458" w:type="dxa"/>
            <w:gridSpan w:val="12"/>
            <w:tcBorders>
              <w:tl2br w:val="nil"/>
              <w:tr2bl w:val="nil"/>
            </w:tcBorders>
            <w:vAlign w:val="center"/>
          </w:tcPr>
          <w:p>
            <w:pPr>
              <w:widowControl/>
              <w:spacing w:line="300" w:lineRule="exact"/>
              <w:rPr>
                <w:rFonts w:ascii="Times New Roman" w:eastAsia="方正仿宋_GBK" w:cs="宋体" w:hAnsi="Times New Roman" w:hint="eastAsia"/>
                <w:color w:val="000000"/>
                <w:kern w:val="0"/>
                <w:sz w:val="24"/>
                <w:szCs w:val="24"/>
                <w:lang w:bidi="ar-SA"/>
              </w:rPr>
            </w:pPr>
          </w:p>
        </w:tc>
      </w:tr>
    </w:tbl>
    <w:p>
      <w:pPr>
        <w:pStyle w:val="20"/>
        <w:tabs>
          <w:tab w:val="center" w:pos="4153"/>
          <w:tab w:val="left" w:pos="7275"/>
        </w:tabs>
        <w:spacing w:line="600" w:lineRule="exact"/>
        <w:ind w:left="0" w:firstLineChars="200" w:firstLine="640"/>
        <w:rPr>
          <w:rFonts w:ascii="Times New Roman" w:eastAsia="方正仿宋_GBK" w:cs="宋体" w:hAnsi="Times New Roman" w:hint="eastAsia"/>
          <w:kern w:val="0"/>
          <w:sz w:val="32"/>
          <w:szCs w:val="32"/>
          <w:lang w:bidi="ar-SA"/>
        </w:rPr>
      </w:pPr>
      <w:r>
        <w:rPr>
          <w:rFonts w:ascii="Times New Roman" w:eastAsia="方正仿宋_GBK" w:cs="宋体" w:hAnsi="Times New Roman" w:hint="eastAsia"/>
          <w:bCs/>
          <w:kern w:val="0"/>
          <w:sz w:val="32"/>
          <w:szCs w:val="32"/>
          <w:lang w:bidi="ar-SA"/>
        </w:rPr>
        <w:t>2.绩效自评报告</w:t>
      </w:r>
      <w:r>
        <w:rPr>
          <w:rFonts w:ascii="Times New Roman" w:eastAsia="方正仿宋_GBK" w:cs="宋体" w:hAnsi="Times New Roman"/>
          <w:bCs/>
          <w:kern w:val="0"/>
          <w:sz w:val="32"/>
          <w:szCs w:val="32"/>
          <w:lang w:bidi="ar-SA"/>
        </w:rPr>
        <w:t>或案例</w:t>
      </w:r>
    </w:p>
    <w:p>
      <w:pPr>
        <w:pStyle w:val="20"/>
        <w:tabs>
          <w:tab w:val="center" w:pos="4153"/>
          <w:tab w:val="left" w:pos="7275"/>
        </w:tabs>
        <w:spacing w:line="600" w:lineRule="exact"/>
        <w:rPr>
          <w:rFonts w:ascii="Times New Roman" w:eastAsia="方正仿宋_GBK" w:cs="宋体" w:hAnsi="Times New Roman" w:hint="eastAsia"/>
          <w:kern w:val="0"/>
          <w:sz w:val="32"/>
          <w:szCs w:val="32"/>
          <w:lang w:eastAsia="zh-CN" w:bidi="ar-SA"/>
        </w:rPr>
      </w:pPr>
      <w:r>
        <w:rPr>
          <w:rFonts w:ascii="Times New Roman" w:eastAsia="方正仿宋_GBK" w:cs="宋体" w:hAnsi="Times New Roman" w:hint="eastAsia"/>
          <w:kern w:val="0"/>
          <w:sz w:val="32"/>
          <w:szCs w:val="32"/>
          <w:lang w:val="en-US" w:eastAsia="zh-CN" w:bidi="ar-SA"/>
        </w:rPr>
        <w:t>本单位无此事项。</w:t>
      </w:r>
    </w:p>
    <w:p>
      <w:pPr>
        <w:pStyle w:val="20"/>
        <w:tabs>
          <w:tab w:val="center" w:pos="4153"/>
          <w:tab w:val="left" w:pos="7275"/>
        </w:tabs>
        <w:spacing w:line="600" w:lineRule="exact"/>
        <w:rPr>
          <w:rFonts w:ascii="Times New Roman" w:eastAsia="方正仿宋_GBK" w:cs="宋体" w:hAnsi="Times New Roman" w:hint="eastAsia"/>
          <w:color w:val="000000"/>
          <w:kern w:val="0"/>
          <w:sz w:val="32"/>
          <w:szCs w:val="32"/>
          <w:lang w:bidi="ar-SA"/>
        </w:rPr>
      </w:pPr>
      <w:r>
        <w:rPr>
          <w:rFonts w:ascii="Times New Roman" w:eastAsia="方正仿宋_GBK" w:cs="宋体" w:hAnsi="Times New Roman" w:hint="eastAsia"/>
          <w:color w:val="000000"/>
          <w:kern w:val="0"/>
          <w:sz w:val="32"/>
          <w:szCs w:val="32"/>
          <w:lang w:bidi="ar-SA"/>
        </w:rPr>
        <w:t>3.关于绩效自评结果的说明</w:t>
      </w:r>
    </w:p>
    <w:p>
      <w:pPr>
        <w:pStyle w:val="20"/>
        <w:tabs>
          <w:tab w:val="center" w:pos="4153"/>
          <w:tab w:val="left" w:pos="7275"/>
        </w:tabs>
        <w:spacing w:line="600" w:lineRule="exact"/>
        <w:rPr>
          <w:rFonts w:ascii="Times New Roman" w:eastAsia="方正仿宋_GBK" w:cs="宋体" w:hAnsi="Times New Roman" w:hint="eastAsia"/>
          <w:kern w:val="0"/>
          <w:sz w:val="32"/>
          <w:szCs w:val="32"/>
          <w:lang w:bidi="ar-SA"/>
        </w:rPr>
      </w:pPr>
      <w:r>
        <w:rPr>
          <w:rFonts w:ascii="Times New Roman" w:eastAsia="方正仿宋_GBK" w:cs="宋体" w:hAnsi="Times New Roman" w:hint="eastAsia"/>
          <w:kern w:val="0"/>
          <w:sz w:val="32"/>
          <w:szCs w:val="32"/>
          <w:lang w:val="en-US" w:eastAsia="zh-CN" w:bidi="ar-SA"/>
        </w:rPr>
        <w:t>本单位无此事项。</w:t>
      </w:r>
    </w:p>
    <w:p>
      <w:pPr>
        <w:pStyle w:val="20"/>
        <w:tabs>
          <w:tab w:val="center" w:pos="4153"/>
          <w:tab w:val="left" w:pos="7275"/>
        </w:tabs>
        <w:spacing w:line="600" w:lineRule="exact"/>
        <w:rPr>
          <w:rFonts w:ascii="Times New Roman" w:eastAsia="方正楷体_GBK" w:hAnsi="Times New Roman" w:hint="eastAsia"/>
          <w:color w:val="333333"/>
          <w:sz w:val="32"/>
          <w:szCs w:val="32"/>
        </w:rPr>
      </w:pPr>
      <w:r>
        <w:rPr>
          <w:rFonts w:ascii="Times New Roman" w:eastAsia="方正楷体_GBK" w:hAnsi="Times New Roman" w:hint="eastAsia"/>
          <w:color w:val="333333"/>
          <w:sz w:val="32"/>
          <w:szCs w:val="32"/>
        </w:rPr>
        <w:t>（三）重点绩效评价结果</w:t>
      </w:r>
    </w:p>
    <w:p>
      <w:pPr>
        <w:pStyle w:val="20"/>
        <w:tabs>
          <w:tab w:val="center" w:pos="4153"/>
          <w:tab w:val="left" w:pos="7275"/>
        </w:tabs>
        <w:spacing w:line="600" w:lineRule="exact"/>
        <w:rPr>
          <w:rFonts w:ascii="Times New Roman" w:eastAsia="方正仿宋_GBK" w:cs="宋体" w:hAnsi="Times New Roman" w:hint="eastAsia"/>
          <w:kern w:val="0"/>
          <w:sz w:val="32"/>
          <w:szCs w:val="32"/>
          <w:lang w:eastAsia="zh-CN" w:bidi="ar-SA"/>
        </w:rPr>
      </w:pPr>
      <w:r>
        <w:rPr>
          <w:rFonts w:ascii="Times New Roman" w:eastAsia="方正仿宋_GBK" w:cs="宋体" w:hAnsi="Times New Roman" w:hint="eastAsia"/>
          <w:kern w:val="0"/>
          <w:sz w:val="32"/>
          <w:szCs w:val="32"/>
          <w:lang w:val="en-US" w:eastAsia="zh-CN" w:bidi="ar-SA"/>
        </w:rPr>
        <w:t>本单位无此事项。</w:t>
      </w:r>
    </w:p>
    <w:p>
      <w:pPr>
        <w:pStyle w:val="20"/>
        <w:tabs>
          <w:tab w:val="center" w:pos="4153"/>
          <w:tab w:val="left" w:pos="7275"/>
        </w:tabs>
        <w:spacing w:line="600" w:lineRule="exact"/>
        <w:rPr>
          <w:rFonts w:ascii="Times New Roman" w:eastAsia="方正黑体_GBK" w:hAnsi="Times New Roman" w:hint="eastAsia"/>
          <w:sz w:val="32"/>
          <w:szCs w:val="32"/>
        </w:rPr>
      </w:pPr>
      <w:r>
        <w:rPr>
          <w:rFonts w:ascii="Times New Roman" w:eastAsia="方正黑体_GBK" w:hAnsi="Times New Roman" w:hint="eastAsia"/>
          <w:sz w:val="32"/>
          <w:szCs w:val="32"/>
        </w:rPr>
        <w:t>六、专业名词解释</w:t>
      </w:r>
    </w:p>
    <w:p>
      <w:pPr>
        <w:pStyle w:val="20"/>
        <w:tabs>
          <w:tab w:val="center" w:pos="4153"/>
          <w:tab w:val="left" w:pos="7275"/>
        </w:tabs>
        <w:spacing w:line="600" w:lineRule="exact"/>
        <w:jc w:val="left"/>
        <w:rPr>
          <w:rFonts w:ascii="方正仿宋_GBK" w:eastAsia="方正仿宋_GBK" w:hint="eastAsia"/>
          <w:sz w:val="32"/>
          <w:szCs w:val="32"/>
        </w:rPr>
      </w:pPr>
      <w:r>
        <w:rPr>
          <w:rFonts w:ascii="方正仿宋_GBK" w:eastAsia="方正仿宋_GBK" w:hint="eastAsia"/>
          <w:b/>
          <w:sz w:val="32"/>
          <w:szCs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pPr>
        <w:pStyle w:val="20"/>
        <w:tabs>
          <w:tab w:val="center" w:pos="4153"/>
          <w:tab w:val="left" w:pos="7275"/>
        </w:tabs>
        <w:spacing w:line="600" w:lineRule="exact"/>
        <w:jc w:val="left"/>
        <w:rPr>
          <w:rFonts w:ascii="方正仿宋_GBK" w:eastAsia="方正仿宋_GBK" w:hint="eastAsia"/>
          <w:b/>
          <w:sz w:val="32"/>
          <w:szCs w:val="32"/>
        </w:rPr>
      </w:pPr>
      <w:r>
        <w:rPr>
          <w:rFonts w:ascii="方正仿宋_GBK" w:eastAsia="方正仿宋_GBK" w:hint="eastAsia"/>
          <w:b/>
          <w:sz w:val="32"/>
          <w:szCs w:val="32"/>
        </w:rPr>
        <w:t>（二）事业收入</w:t>
      </w:r>
      <w:r>
        <w:rPr>
          <w:rFonts w:ascii="方正仿宋_GBK" w:eastAsia="方正仿宋_GBK" w:hint="eastAsia"/>
          <w:sz w:val="32"/>
          <w:szCs w:val="32"/>
        </w:rPr>
        <w:t>：指事业单位开展专业业务活动及其辅助活动取得的现金流入；事业单位收到的财政专户实际核拨的教育收费等资金在此反映。</w:t>
      </w:r>
    </w:p>
    <w:p>
      <w:pPr>
        <w:pStyle w:val="20"/>
        <w:tabs>
          <w:tab w:val="center" w:pos="4153"/>
          <w:tab w:val="left" w:pos="7275"/>
        </w:tabs>
        <w:spacing w:line="600" w:lineRule="exact"/>
        <w:jc w:val="left"/>
        <w:rPr>
          <w:rFonts w:ascii="方正仿宋_GBK" w:eastAsia="方正仿宋_GBK" w:hint="eastAsia"/>
          <w:b/>
          <w:sz w:val="32"/>
          <w:szCs w:val="32"/>
        </w:rPr>
      </w:pPr>
      <w:r>
        <w:rPr>
          <w:rFonts w:ascii="方正仿宋_GBK" w:eastAsia="方正仿宋_GBK" w:hint="eastAsia"/>
          <w:b/>
          <w:sz w:val="32"/>
          <w:szCs w:val="32"/>
        </w:rPr>
        <w:t>（三）经营收入</w:t>
      </w:r>
      <w:r>
        <w:rPr>
          <w:rFonts w:ascii="方正仿宋_GBK" w:eastAsia="方正仿宋_GBK" w:hint="eastAsia"/>
          <w:sz w:val="32"/>
          <w:szCs w:val="32"/>
        </w:rPr>
        <w:t>：指事业单位在专业业务活动及其辅助活动之外开展非独立核算经营活动取得的现金流入。</w:t>
      </w:r>
    </w:p>
    <w:p>
      <w:pPr>
        <w:pStyle w:val="20"/>
        <w:tabs>
          <w:tab w:val="center" w:pos="4153"/>
          <w:tab w:val="left" w:pos="7275"/>
        </w:tabs>
        <w:spacing w:line="600" w:lineRule="exact"/>
        <w:jc w:val="left"/>
        <w:rPr>
          <w:rFonts w:ascii="方正仿宋_GBK" w:eastAsia="方正仿宋_GBK" w:hint="eastAsia"/>
          <w:b/>
          <w:sz w:val="32"/>
          <w:szCs w:val="32"/>
        </w:rPr>
      </w:pPr>
      <w:r>
        <w:rPr>
          <w:rFonts w:ascii="方正仿宋_GBK" w:eastAsia="方正仿宋_GBK" w:hint="eastAsia"/>
          <w:b/>
          <w:sz w:val="32"/>
          <w:szCs w:val="32"/>
        </w:rPr>
        <w:t>（四）其他收入</w:t>
      </w:r>
      <w:r>
        <w:rPr>
          <w:rFonts w:ascii="方正仿宋_GBK" w:eastAsia="方正仿宋_GBK" w:hint="eastAsia"/>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0"/>
        <w:tabs>
          <w:tab w:val="center" w:pos="4153"/>
          <w:tab w:val="left" w:pos="7275"/>
        </w:tabs>
        <w:spacing w:line="600" w:lineRule="exact"/>
        <w:jc w:val="left"/>
        <w:rPr>
          <w:rFonts w:ascii="方正仿宋_GBK" w:eastAsia="方正仿宋_GBK" w:hint="eastAsia"/>
          <w:b/>
          <w:sz w:val="32"/>
          <w:szCs w:val="32"/>
        </w:rPr>
      </w:pPr>
      <w:r>
        <w:rPr>
          <w:rFonts w:ascii="方正仿宋_GBK" w:eastAsia="方正仿宋_GBK" w:hint="eastAsia"/>
          <w:b/>
          <w:sz w:val="32"/>
          <w:szCs w:val="32"/>
        </w:rPr>
        <w:t xml:space="preserve"> （五）用事业基金弥补收支差额</w:t>
      </w:r>
      <w:r>
        <w:rPr>
          <w:rFonts w:ascii="方正仿宋_GBK" w:eastAsia="方正仿宋_GBK" w:hint="eastAsia"/>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20"/>
        <w:tabs>
          <w:tab w:val="center" w:pos="4153"/>
          <w:tab w:val="left" w:pos="7275"/>
        </w:tabs>
        <w:spacing w:line="600" w:lineRule="exact"/>
        <w:jc w:val="left"/>
        <w:rPr>
          <w:rFonts w:ascii="方正仿宋_GBK" w:eastAsia="方正仿宋_GBK" w:hint="eastAsia"/>
          <w:b/>
          <w:sz w:val="32"/>
          <w:szCs w:val="32"/>
        </w:rPr>
      </w:pPr>
      <w:r>
        <w:rPr>
          <w:rFonts w:ascii="方正仿宋_GBK" w:eastAsia="方正仿宋_GBK" w:hint="eastAsia"/>
          <w:b/>
          <w:sz w:val="32"/>
          <w:szCs w:val="32"/>
        </w:rPr>
        <w:t>（六）年初结转和结余</w:t>
      </w:r>
      <w:r>
        <w:rPr>
          <w:rFonts w:ascii="方正仿宋_GBK" w:eastAsia="方正仿宋_GBK" w:hint="eastAsia"/>
          <w:sz w:val="32"/>
          <w:szCs w:val="32"/>
        </w:rPr>
        <w:t>：指单位上年结转本年使用的基本支出结转、项目支出结转和结余、经营结余。</w:t>
      </w:r>
    </w:p>
    <w:p>
      <w:pPr>
        <w:pStyle w:val="20"/>
        <w:tabs>
          <w:tab w:val="center" w:pos="4153"/>
          <w:tab w:val="left" w:pos="7275"/>
        </w:tabs>
        <w:spacing w:line="600" w:lineRule="exact"/>
        <w:jc w:val="left"/>
        <w:rPr>
          <w:rFonts w:ascii="方正仿宋_GBK" w:eastAsia="方正仿宋_GBK" w:hint="eastAsia"/>
          <w:b/>
          <w:sz w:val="32"/>
          <w:szCs w:val="32"/>
        </w:rPr>
      </w:pPr>
      <w:r>
        <w:rPr>
          <w:rFonts w:ascii="方正仿宋_GBK" w:eastAsia="方正仿宋_GBK" w:hint="eastAsia"/>
          <w:b/>
          <w:sz w:val="32"/>
          <w:szCs w:val="32"/>
        </w:rPr>
        <w:t>（七）结余分配</w:t>
      </w:r>
      <w:r>
        <w:rPr>
          <w:rFonts w:ascii="方正仿宋_GBK" w:eastAsia="方正仿宋_GBK" w:hint="eastAsia"/>
          <w:sz w:val="32"/>
          <w:szCs w:val="32"/>
        </w:rPr>
        <w:t>：指单位按照国家有关规定，缴纳所得税、提取专用基金、转入事业基金等当年结余的分配情况。</w:t>
      </w:r>
    </w:p>
    <w:p>
      <w:pPr>
        <w:pStyle w:val="20"/>
        <w:tabs>
          <w:tab w:val="center" w:pos="4153"/>
          <w:tab w:val="left" w:pos="7275"/>
        </w:tabs>
        <w:spacing w:line="600" w:lineRule="exact"/>
        <w:jc w:val="left"/>
        <w:rPr>
          <w:rFonts w:ascii="方正仿宋_GBK" w:eastAsia="方正仿宋_GBK" w:hint="eastAsia"/>
          <w:b/>
          <w:sz w:val="32"/>
          <w:szCs w:val="32"/>
        </w:rPr>
      </w:pPr>
      <w:r>
        <w:rPr>
          <w:rFonts w:ascii="方正仿宋_GBK" w:eastAsia="方正仿宋_GBK" w:hint="eastAsia"/>
          <w:b/>
          <w:sz w:val="32"/>
          <w:szCs w:val="32"/>
        </w:rPr>
        <w:t>（八）年末结转和结余</w:t>
      </w:r>
      <w:r>
        <w:rPr>
          <w:rFonts w:ascii="方正仿宋_GBK" w:eastAsia="方正仿宋_GBK" w:hint="eastAsia"/>
          <w:sz w:val="32"/>
          <w:szCs w:val="32"/>
        </w:rPr>
        <w:t>：指单位结转下年的基本支出结转、项目支出结转和结余、经营结余。</w:t>
      </w:r>
    </w:p>
    <w:p>
      <w:pPr>
        <w:pStyle w:val="20"/>
        <w:tabs>
          <w:tab w:val="center" w:pos="4153"/>
          <w:tab w:val="left" w:pos="7275"/>
        </w:tabs>
        <w:spacing w:line="600" w:lineRule="exact"/>
        <w:jc w:val="left"/>
        <w:rPr>
          <w:rFonts w:ascii="方正仿宋_GBK" w:eastAsia="方正仿宋_GBK" w:hint="eastAsia"/>
          <w:b/>
          <w:sz w:val="32"/>
          <w:szCs w:val="32"/>
        </w:rPr>
      </w:pPr>
      <w:r>
        <w:rPr>
          <w:rFonts w:ascii="方正仿宋_GBK" w:eastAsia="方正仿宋_GBK" w:hint="eastAsia"/>
          <w:b/>
          <w:sz w:val="32"/>
          <w:szCs w:val="32"/>
        </w:rPr>
        <w:t>（九）基本支出</w:t>
      </w:r>
      <w:r>
        <w:rPr>
          <w:rFonts w:ascii="方正仿宋_GBK" w:eastAsia="方正仿宋_GBK"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0"/>
        <w:tabs>
          <w:tab w:val="center" w:pos="4153"/>
          <w:tab w:val="left" w:pos="7275"/>
        </w:tabs>
        <w:spacing w:line="600" w:lineRule="exact"/>
        <w:jc w:val="left"/>
        <w:rPr>
          <w:rFonts w:ascii="方正仿宋_GBK" w:eastAsia="方正仿宋_GBK" w:hint="eastAsia"/>
          <w:b/>
          <w:sz w:val="32"/>
          <w:szCs w:val="32"/>
        </w:rPr>
      </w:pPr>
      <w:r>
        <w:rPr>
          <w:rFonts w:ascii="方正仿宋_GBK" w:eastAsia="方正仿宋_GBK" w:hint="eastAsia"/>
          <w:b/>
          <w:sz w:val="32"/>
          <w:szCs w:val="32"/>
        </w:rPr>
        <w:t>（十）项目支出</w:t>
      </w:r>
      <w:r>
        <w:rPr>
          <w:rFonts w:ascii="方正仿宋_GBK" w:eastAsia="方正仿宋_GBK" w:hint="eastAsia"/>
          <w:sz w:val="32"/>
          <w:szCs w:val="32"/>
        </w:rPr>
        <w:t>：指在基本支出之外为完成特定行政任务和事业发展目标所发生的支出。</w:t>
      </w:r>
    </w:p>
    <w:p>
      <w:pPr>
        <w:pStyle w:val="20"/>
        <w:tabs>
          <w:tab w:val="center" w:pos="4153"/>
          <w:tab w:val="left" w:pos="7275"/>
        </w:tabs>
        <w:spacing w:line="600" w:lineRule="exact"/>
        <w:jc w:val="left"/>
        <w:rPr>
          <w:rFonts w:ascii="方正仿宋_GBK" w:eastAsia="方正仿宋_GBK" w:hint="eastAsia"/>
          <w:b/>
          <w:sz w:val="32"/>
          <w:szCs w:val="32"/>
        </w:rPr>
      </w:pPr>
      <w:r>
        <w:rPr>
          <w:rFonts w:ascii="方正仿宋_GBK" w:eastAsia="方正仿宋_GBK" w:hint="eastAsia"/>
          <w:b/>
          <w:sz w:val="32"/>
          <w:szCs w:val="32"/>
        </w:rPr>
        <w:t>（十一）经营支出</w:t>
      </w:r>
      <w:r>
        <w:rPr>
          <w:rFonts w:ascii="方正仿宋_GBK" w:eastAsia="方正仿宋_GBK" w:hint="eastAsia"/>
          <w:sz w:val="32"/>
          <w:szCs w:val="32"/>
        </w:rPr>
        <w:t>：指事业单位在专业业务活动及其辅助活动之外开展非独立核算经营活动发生的支出。</w:t>
      </w:r>
    </w:p>
    <w:p>
      <w:pPr>
        <w:pStyle w:val="20"/>
        <w:tabs>
          <w:tab w:val="center" w:pos="4153"/>
          <w:tab w:val="left" w:pos="7275"/>
        </w:tabs>
        <w:spacing w:line="600" w:lineRule="exact"/>
        <w:jc w:val="left"/>
        <w:rPr>
          <w:rFonts w:ascii="方正仿宋_GBK" w:eastAsia="方正仿宋_GBK" w:hint="eastAsia"/>
          <w:b/>
          <w:sz w:val="32"/>
          <w:szCs w:val="32"/>
        </w:rPr>
      </w:pPr>
      <w:r>
        <w:rPr>
          <w:rFonts w:ascii="方正仿宋_GBK" w:eastAsia="方正仿宋_GBK" w:hint="eastAsia"/>
          <w:b/>
          <w:sz w:val="32"/>
          <w:szCs w:val="32"/>
        </w:rPr>
        <w:t>（十二）“三公”经费</w:t>
      </w:r>
      <w:r>
        <w:rPr>
          <w:rFonts w:ascii="方正仿宋_GBK" w:eastAsia="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0"/>
        <w:tabs>
          <w:tab w:val="center" w:pos="4153"/>
          <w:tab w:val="left" w:pos="7275"/>
        </w:tabs>
        <w:spacing w:line="600" w:lineRule="exact"/>
        <w:jc w:val="left"/>
        <w:rPr>
          <w:rFonts w:ascii="方正仿宋_GBK" w:eastAsia="方正仿宋_GBK" w:hint="eastAsia"/>
          <w:b/>
          <w:sz w:val="32"/>
          <w:szCs w:val="32"/>
        </w:rPr>
      </w:pPr>
      <w:r>
        <w:rPr>
          <w:rFonts w:ascii="方正仿宋_GBK" w:eastAsia="方正仿宋_GBK" w:hint="eastAsia"/>
          <w:b/>
          <w:sz w:val="32"/>
          <w:szCs w:val="32"/>
        </w:rPr>
        <w:t>（十三）机关运行经费</w:t>
      </w:r>
      <w:r>
        <w:rPr>
          <w:rFonts w:ascii="方正仿宋_GBK" w:eastAsia="方正仿宋_GBK" w:hint="eastAsia"/>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0"/>
        <w:tabs>
          <w:tab w:val="center" w:pos="4153"/>
          <w:tab w:val="left" w:pos="7275"/>
        </w:tabs>
        <w:spacing w:line="600" w:lineRule="exact"/>
        <w:jc w:val="left"/>
        <w:rPr>
          <w:rFonts w:ascii="方正仿宋_GBK" w:eastAsia="方正仿宋_GBK" w:hint="eastAsia"/>
          <w:b/>
          <w:sz w:val="32"/>
          <w:szCs w:val="32"/>
        </w:rPr>
      </w:pPr>
      <w:r>
        <w:rPr>
          <w:rFonts w:ascii="方正仿宋_GBK" w:eastAsia="方正仿宋_GBK" w:hint="eastAsia"/>
          <w:b/>
          <w:sz w:val="32"/>
          <w:szCs w:val="32"/>
        </w:rPr>
        <w:t>（十四）工资福利支出（支出经济分类科目类级）</w:t>
      </w:r>
      <w:r>
        <w:rPr>
          <w:rFonts w:ascii="方正仿宋_GBK" w:eastAsia="方正仿宋_GBK" w:hint="eastAsia"/>
          <w:sz w:val="32"/>
          <w:szCs w:val="32"/>
        </w:rPr>
        <w:t>：反映单位开支的在职职工和编制外长期聘用人员的各类劳动报酬，以及为上述人员缴纳的各项社会保险费等。</w:t>
      </w:r>
    </w:p>
    <w:p>
      <w:pPr>
        <w:pStyle w:val="20"/>
        <w:tabs>
          <w:tab w:val="center" w:pos="4153"/>
          <w:tab w:val="left" w:pos="7275"/>
        </w:tabs>
        <w:spacing w:line="600" w:lineRule="exact"/>
        <w:jc w:val="left"/>
        <w:rPr>
          <w:rFonts w:ascii="方正仿宋_GBK" w:eastAsia="方正仿宋_GBK" w:hint="eastAsia"/>
          <w:b/>
          <w:sz w:val="32"/>
          <w:szCs w:val="32"/>
        </w:rPr>
      </w:pPr>
      <w:r>
        <w:rPr>
          <w:rFonts w:ascii="方正仿宋_GBK" w:eastAsia="方正仿宋_GBK" w:hint="eastAsia"/>
          <w:b/>
          <w:sz w:val="32"/>
          <w:szCs w:val="32"/>
        </w:rPr>
        <w:t>（十五）商品和服务支出（支出经济分类科目类级）</w:t>
      </w:r>
      <w:r>
        <w:rPr>
          <w:rFonts w:ascii="方正仿宋_GBK" w:eastAsia="方正仿宋_GBK" w:hint="eastAsia"/>
          <w:sz w:val="32"/>
          <w:szCs w:val="32"/>
        </w:rPr>
        <w:t>：反映单位购买商品和服务的支出（不包括用于购置固定资产的支出、战略性和应急储备支出）。</w:t>
      </w:r>
    </w:p>
    <w:p>
      <w:pPr>
        <w:pStyle w:val="20"/>
        <w:tabs>
          <w:tab w:val="center" w:pos="4153"/>
          <w:tab w:val="left" w:pos="7275"/>
        </w:tabs>
        <w:spacing w:line="600" w:lineRule="exact"/>
        <w:jc w:val="left"/>
        <w:rPr>
          <w:rFonts w:ascii="方正仿宋_GBK" w:eastAsia="方正仿宋_GBK" w:hint="eastAsia"/>
          <w:b/>
          <w:sz w:val="32"/>
          <w:szCs w:val="32"/>
        </w:rPr>
      </w:pPr>
      <w:r>
        <w:rPr>
          <w:rFonts w:ascii="方正仿宋_GBK" w:eastAsia="方正仿宋_GBK" w:hint="eastAsia"/>
          <w:b/>
          <w:sz w:val="32"/>
          <w:szCs w:val="32"/>
        </w:rPr>
        <w:t>（十六）对个人和家庭的补助（支出经济分类科目类级）</w:t>
      </w:r>
      <w:r>
        <w:rPr>
          <w:rFonts w:ascii="方正仿宋_GBK" w:eastAsia="方正仿宋_GBK" w:hint="eastAsia"/>
          <w:sz w:val="32"/>
          <w:szCs w:val="32"/>
        </w:rPr>
        <w:t>：反映用于对个人和家庭的补助支出。</w:t>
      </w:r>
    </w:p>
    <w:p>
      <w:pPr>
        <w:pStyle w:val="20"/>
        <w:tabs>
          <w:tab w:val="center" w:pos="4153"/>
          <w:tab w:val="left" w:pos="7275"/>
        </w:tabs>
        <w:spacing w:line="600" w:lineRule="exact"/>
        <w:jc w:val="left"/>
        <w:rPr>
          <w:rFonts w:ascii="方正仿宋_GBK" w:eastAsia="方正仿宋_GBK" w:hint="eastAsia"/>
          <w:sz w:val="32"/>
          <w:szCs w:val="32"/>
        </w:rPr>
      </w:pPr>
      <w:r>
        <w:rPr>
          <w:rFonts w:ascii="方正仿宋_GBK" w:eastAsia="方正仿宋_GBK" w:hint="eastAsia"/>
          <w:b/>
          <w:sz w:val="32"/>
          <w:szCs w:val="32"/>
        </w:rPr>
        <w:t>（十七）其他资本性支出（支出经济分类科目类级）</w:t>
      </w:r>
      <w:r>
        <w:rPr>
          <w:rFonts w:ascii="方正仿宋_GBK" w:eastAsia="方正仿宋_GBK" w:hint="eastAsia"/>
          <w:sz w:val="32"/>
          <w:szCs w:val="32"/>
        </w:rPr>
        <w:t>：反映非各级发展与改革部门集中安排的用于购置固定资产、战略性和应急性储备、土地和无形资产，以及构建基础设施、大型修缮和财政支持企业更新改造所发生的支出。</w:t>
      </w:r>
    </w:p>
    <w:p>
      <w:pPr>
        <w:pStyle w:val="20"/>
        <w:tabs>
          <w:tab w:val="center" w:pos="4153"/>
          <w:tab w:val="left" w:pos="7275"/>
        </w:tabs>
        <w:spacing w:line="600" w:lineRule="exact"/>
        <w:rPr>
          <w:rFonts w:ascii="Times New Roman" w:eastAsia="方正黑体_GBK" w:hAnsi="Times New Roman" w:hint="eastAsia"/>
          <w:sz w:val="32"/>
          <w:szCs w:val="32"/>
        </w:rPr>
      </w:pPr>
      <w:r>
        <w:rPr>
          <w:rFonts w:ascii="Times New Roman" w:eastAsia="方正黑体_GBK" w:hAnsi="Times New Roman" w:hint="eastAsia"/>
          <w:sz w:val="32"/>
          <w:szCs w:val="32"/>
        </w:rPr>
        <w:t>七、决算公开联系方式</w:t>
      </w:r>
    </w:p>
    <w:p>
      <w:pPr>
        <w:pStyle w:val="20"/>
        <w:tabs>
          <w:tab w:val="center" w:pos="4153"/>
          <w:tab w:val="left" w:pos="7275"/>
        </w:tabs>
        <w:spacing w:line="600" w:lineRule="exact"/>
        <w:jc w:val="left"/>
        <w:rPr>
          <w:rFonts w:ascii="Times New Roman" w:eastAsia="方正仿宋_GBK" w:hAnsi="Times New Roman" w:hint="eastAsia"/>
          <w:sz w:val="32"/>
          <w:szCs w:val="32"/>
        </w:rPr>
      </w:pPr>
      <w:r>
        <w:rPr>
          <w:rFonts w:ascii="方正仿宋_GBK" w:eastAsia="方正仿宋_GBK" w:hint="eastAsia"/>
          <w:sz w:val="32"/>
          <w:szCs w:val="32"/>
        </w:rPr>
        <w:t>本单位决算公开信息反馈和联系方式：023-47519648。</w:t>
      </w:r>
    </w:p>
    <w:sectPr>
      <w:footerReference w:type="default" r:id="rId2"/>
      <w:footerReference w:type="even" r:id="rId3"/>
      <w:pgSz w:w="11906" w:h="16838"/>
      <w:pgMar w:top="2098" w:right="1531" w:bottom="1985" w:left="1531" w:header="851" w:footer="1474" w:gutter="0"/>
      <w:pgBorders>
        <w:top w:val="none" w:sz="0" w:space="0" w:color="auto"/>
        <w:left w:val="none" w:sz="0" w:space="0" w:color="auto"/>
        <w:bottom w:val="none" w:sz="0" w:space="0" w:color="auto"/>
        <w:right w:val="none" w:sz="0" w:space="0" w:color="auto"/>
      </w:pgBorders>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E0002EFF" w:usb1="C000785B" w:usb2="00000009" w:usb3="00000000" w:csb0="400001FF" w:csb1="FFFF0000"/>
  </w:font>
  <w:font w:name="方正小标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仿宋_GB2312">
    <w:altName w:val="仿宋"/>
    <w:panose1 w:val="00000000000000000000"/>
    <w:charset w:val="86"/>
    <w:family w:val="modern"/>
    <w:pitch w:val="variable"/>
    <w:sig w:usb0="00000000" w:usb1="00000000" w:usb2="00000010" w:usb3="00000000" w:csb0="00040000" w:csb1="00000000"/>
  </w:font>
  <w:font w:name="Arial">
    <w:panose1 w:val="020B0604020202020204"/>
    <w:charset w:val="01"/>
    <w:family w:val="swiss"/>
    <w:pitch w:val="variable"/>
    <w:sig w:usb0="E0002EFF" w:usb1="C000785B" w:usb2="00000009" w:usb3="00000000" w:csb0="400001FF" w:csb1="FFFF0000"/>
  </w:font>
  <w:font w:name="方正楷体_GBK">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_GB2312">
    <w:altName w:val="楷体"/>
    <w:panose1 w:val="00000000000000000000"/>
    <w:charset w:val="00"/>
    <w:family w:val="auto"/>
    <w:pitch w:val="variable"/>
    <w:sig w:usb0="00000000" w:usb1="0000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lear" w:pos="4153"/>
        <w:tab w:val="clear" w:pos="8306"/>
        <w:tab w:val="center" w:pos="4153"/>
        <w:tab w:val="right" w:pos="8306"/>
      </w:tabs>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eastAsia="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lear" w:pos="4153"/>
        <w:tab w:val="clear" w:pos="8306"/>
        <w:tab w:val="center" w:pos="4153"/>
        <w:tab w:val="right" w:pos="8306"/>
      </w:tabs>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eastAsia="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843D1C3D"/>
    <w:multiLevelType w:val="singleLevel"/>
    <w:tmpl w:val="843D1C3D"/>
    <w:lvl w:ilvl="0">
      <w:start w:val="2"/>
      <w:numFmt w:val="chineseCounting"/>
      <w:lvlRestart w:val="0"/>
      <w:suff w:val="nothing"/>
      <w:lvlText w:val="（%1）"/>
      <w:lvlJc w:val="left"/>
      <w:pPr>
        <w:tabs>
          <w:tab w:val="num" w:pos="0"/>
        </w:tabs>
        <w:ind w:left="0" w:hanging="0"/>
      </w:pPr>
      <w:rPr>
        <w:rFonts w:hint="eastAsia"/>
      </w:rPr>
    </w:lvl>
  </w:abstractNum>
  <w:abstractNum w:abstractNumId="1">
    <w:nsid w:val="DB1D57F7"/>
    <w:multiLevelType w:val="multilevel"/>
    <w:tmpl w:val="DB1D57F7"/>
    <w:lvl w:ilvl="0">
      <w:start w:val="1"/>
      <w:numFmt w:val="chineseCountingThousand"/>
      <w:lvlRestart w:val="0"/>
      <w:lvlText w:val="（%1）"/>
      <w:lvlJc w:val="left"/>
      <w:pPr>
        <w:tabs>
          <w:tab w:val="num" w:pos="1440"/>
        </w:tabs>
        <w:ind w:left="1440" w:hanging="96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nsid w:val="477818A8"/>
    <w:multiLevelType w:val="singleLevel"/>
    <w:tmpl w:val="477818A8"/>
    <w:lvl w:ilvl="0">
      <w:start w:val="2"/>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evenAndOddHeaders/>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1"/>
  </w:compat>
  <w:docVars>
    <w:docVar w:name="commondata" w:val="eyJoZGlkIjoiYWU1OTI2YWZmY2NlYzI5ZDAzZjQ5OTJhMzFlNmU2ND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1"/>
      <w:szCs w:val="22"/>
      <w:lang w:val="en-US" w:eastAsia="zh-CN" w:bidi="ar-SA"/>
    </w:rPr>
  </w:style>
  <w:style w:type="paragraph" w:styleId="1">
    <w:name w:val="heading 1"/>
    <w:qFormat/>
    <w:basedOn w:val="0"/>
    <w:next w:val="0"/>
    <w:pPr>
      <w:keepNext/>
      <w:keepLines/>
      <w:widowControl w:val="0"/>
      <w:spacing w:before="340" w:after="330" w:line="578" w:lineRule="auto"/>
      <w:outlineLvl w:val="0"/>
    </w:pPr>
    <w:rPr>
      <w:b/>
      <w:bCs/>
      <w:kern w:val="44"/>
      <w:sz w:val="44"/>
    </w:rPr>
  </w:style>
  <w:style w:type="paragraph" w:styleId="2">
    <w:name w:val="heading 2"/>
    <w:qFormat/>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style>
  <w:style w:type="paragraph" w:styleId="15">
    <w:name w:val="Balloon Text"/>
    <w:qFormat/>
    <w:basedOn w:val="0"/>
    <w:rPr>
      <w:sz w:val="18"/>
      <w:szCs w:val="18"/>
    </w:rPr>
  </w:style>
  <w:style w:type="paragraph" w:styleId="16">
    <w:name w:val="footer"/>
    <w:qFormat/>
    <w:basedOn w:val="0"/>
    <w:pPr>
      <w:tabs>
        <w:tab w:val="center" w:pos="4153"/>
        <w:tab w:val="right" w:pos="8306"/>
      </w:tabs>
      <w:snapToGrid w:val="0"/>
      <w:jc w:val="left"/>
    </w:pPr>
    <w:rPr>
      <w:sz w:val="18"/>
      <w:szCs w:val="18"/>
    </w:rPr>
  </w:style>
  <w:style w:type="paragraph" w:styleId="17">
    <w:name w:val="header"/>
    <w:qFormat/>
    <w:basedOn w:val="0"/>
    <w:pPr>
      <w:pBdr>
        <w:bottom w:val="single" w:sz="6" w:space="1" w:color="auto"/>
      </w:pBdr>
      <w:tabs>
        <w:tab w:val="center" w:pos="4153"/>
        <w:tab w:val="right" w:pos="8306"/>
      </w:tabs>
      <w:snapToGrid w:val="0"/>
      <w:jc w:val="center"/>
    </w:pPr>
    <w:rPr>
      <w:sz w:val="18"/>
      <w:szCs w:val="18"/>
      <w:bdr w:val="none" w:sz="0" w:space="0" w:color="auto"/>
    </w:rPr>
  </w:style>
  <w:style w:type="paragraph" w:styleId="18">
    <w:name w:val="Normal (Web)"/>
    <w:qFormat/>
    <w:basedOn w:val="0"/>
    <w:pPr>
      <w:spacing w:before="100" w:beforeAutospacing="1" w:after="100" w:afterAutospacing="1"/>
      <w:ind w:left="0" w:right="0"/>
      <w:jc w:val="left"/>
    </w:pPr>
    <w:rPr>
      <w:kern w:val="0"/>
      <w:sz w:val="24"/>
      <w:lang w:val="en-US" w:eastAsia="zh-CN" w:bidi="ar-SA"/>
    </w:rPr>
  </w:style>
  <w:style w:type="character" w:customStyle="1" w:styleId="19">
    <w:name w:val="页脚 Char"/>
    <w:qFormat/>
    <w:rPr>
      <w:kern w:val="2"/>
      <w:sz w:val="18"/>
      <w:szCs w:val="18"/>
    </w:rPr>
  </w:style>
  <w:style w:type="paragraph" w:styleId="20">
    <w:name w:val="列出段落"/>
    <w:qFormat/>
    <w:basedOn w:val="0"/>
    <w:pPr>
      <w:ind w:firstLineChars="200" w:firstLine="200"/>
    </w:pPr>
  </w:style>
  <w:style w:type="paragraph" w:customStyle="1" w:styleId="21">
    <w:name w:val="font6"/>
    <w:qFormat/>
    <w:next w:val="16"/>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9"/>
    </w:pPr>
    <w:rPr>
      <w:rFonts w:ascii="Times New Roman" w:eastAsia="楷体_GB2312" w:cs="Times New Roman" w:hAnsi="Times New Roman"/>
      <w:snapToGrid/>
      <w:color w:val="auto"/>
      <w:spacing w:val="0"/>
      <w:w w:val="100"/>
      <w:kern w:val="0"/>
      <w:position w:val="0"/>
      <w:sz w:val="32"/>
      <w:szCs w:val="24"/>
      <w:u w:val="none" w:color="auto"/>
      <w:bdr w:val="none" w:sz="0" w:space="0"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mpd="sng" cap="flat">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mpd="sng" cap="flat">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docProps/app.xml><?xml version="1.0" encoding="utf-8"?>
<Properties xmlns="http://schemas.openxmlformats.org/officeDocument/2006/extended-properties">
  <Template>Normal.eit</Template>
  <TotalTime>0</TotalTime>
  <Application>Yozo_Office27021597764231180</Application>
  <Pages>9</Pages>
  <Words>0</Words>
  <Characters>3120</Characters>
  <Lines>0</Lines>
  <Paragraphs>80</Paragraphs>
  <CharactersWithSpaces>4161</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HP</cp:lastModifiedBy>
  <cp:revision>5</cp:revision>
  <cp:lastPrinted>2023-10-27T02:55:00Z</cp:lastPrinted>
  <dcterms:created xsi:type="dcterms:W3CDTF">2021-07-06T06:32:00Z</dcterms:created>
  <dcterms:modified xsi:type="dcterms:W3CDTF">2023-11-01T04:10:08Z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ies>
</file>