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重庆市江津区水利局</w:t>
      </w:r>
    </w:p>
    <w:p>
      <w:pPr>
        <w:spacing w:line="600" w:lineRule="exact"/>
        <w:jc w:val="center"/>
        <w:rPr>
          <w:rFonts w:hint="eastAsia" w:ascii="方正小标宋_GBK" w:eastAsia="方正小标宋_GBK"/>
          <w:sz w:val="44"/>
          <w:szCs w:val="44"/>
        </w:rPr>
      </w:pPr>
      <w:bookmarkStart w:id="0" w:name="_GoBack"/>
      <w:r>
        <w:rPr>
          <w:rFonts w:hint="eastAsia" w:ascii="方正小标宋_GBK" w:eastAsia="方正小标宋_GBK"/>
          <w:sz w:val="44"/>
          <w:szCs w:val="44"/>
        </w:rPr>
        <w:t>2020年度部门决算公开说明</w:t>
      </w:r>
    </w:p>
    <w:bookmarkEnd w:id="0"/>
    <w:p>
      <w:pPr>
        <w:spacing w:line="600" w:lineRule="exact"/>
        <w:ind w:firstLine="883" w:firstLineChars="200"/>
        <w:rPr>
          <w:rFonts w:hint="eastAsia" w:ascii="方正仿宋简体" w:eastAsia="方正仿宋简体"/>
          <w:b/>
          <w:sz w:val="44"/>
          <w:szCs w:val="44"/>
        </w:rPr>
      </w:pPr>
    </w:p>
    <w:p>
      <w:pPr>
        <w:pStyle w:val="9"/>
        <w:tabs>
          <w:tab w:val="center" w:pos="4153"/>
          <w:tab w:val="left" w:pos="7275"/>
        </w:tabs>
        <w:spacing w:line="600" w:lineRule="exact"/>
        <w:ind w:firstLine="640"/>
        <w:rPr>
          <w:rFonts w:hint="eastAsia" w:ascii="方正黑体_GBK" w:eastAsia="方正黑体_GBK"/>
          <w:sz w:val="32"/>
          <w:szCs w:val="32"/>
        </w:rPr>
      </w:pPr>
      <w:r>
        <w:rPr>
          <w:rFonts w:hint="eastAsia" w:ascii="方正黑体_GBK" w:eastAsia="方正黑体_GBK"/>
          <w:sz w:val="32"/>
          <w:szCs w:val="32"/>
        </w:rPr>
        <w:t>一、单位基本情况</w:t>
      </w:r>
    </w:p>
    <w:p>
      <w:pPr>
        <w:spacing w:line="600" w:lineRule="exact"/>
        <w:ind w:firstLine="643" w:firstLineChars="200"/>
        <w:rPr>
          <w:rFonts w:hint="eastAsia" w:ascii="方正仿宋_GBK" w:eastAsia="方正仿宋_GBK" w:cs="宋体"/>
          <w:b/>
          <w:color w:val="333333"/>
          <w:sz w:val="32"/>
          <w:szCs w:val="32"/>
        </w:rPr>
      </w:pPr>
      <w:r>
        <w:rPr>
          <w:rFonts w:hint="eastAsia" w:ascii="方正仿宋_GBK" w:eastAsia="方正仿宋_GBK" w:cs="宋体"/>
          <w:b/>
          <w:color w:val="333333"/>
          <w:sz w:val="32"/>
          <w:szCs w:val="32"/>
        </w:rPr>
        <w:t>（一）职能职责</w:t>
      </w:r>
    </w:p>
    <w:p>
      <w:pPr>
        <w:spacing w:line="560" w:lineRule="exact"/>
        <w:ind w:firstLine="640" w:firstLineChars="200"/>
        <w:rPr>
          <w:rFonts w:hint="eastAsia" w:ascii="方正仿宋_GBK" w:eastAsia="方正仿宋_GBK" w:cs="仿宋_GB2312"/>
          <w:sz w:val="32"/>
          <w:szCs w:val="32"/>
        </w:rPr>
      </w:pPr>
      <w:r>
        <w:rPr>
          <w:rFonts w:hint="eastAsia" w:ascii="方正仿宋_GBK" w:eastAsia="方正仿宋_GBK" w:cs="宋体"/>
          <w:kern w:val="0"/>
          <w:sz w:val="32"/>
          <w:szCs w:val="32"/>
        </w:rPr>
        <w:t>重庆市</w:t>
      </w:r>
      <w:r>
        <w:rPr>
          <w:rFonts w:hint="eastAsia" w:ascii="方正仿宋_GBK" w:eastAsia="方正仿宋_GBK" w:cs="仿宋_GB2312"/>
          <w:sz w:val="32"/>
          <w:szCs w:val="32"/>
        </w:rPr>
        <w:t>江津区水利局是区政府直属全额拨款行政单位。职能职责：1.贯彻执行有关水利工作的法律法规和方针政策;负责拟订水利规划并组织实施。2.负责生活、生产经营和生态环境用水的统筹兼顾和保障。实施水资源的统一监督管理，拟订水中长期供求规划、水量分配方案并组织监督实施；组织开展水资源调查评价工作，负责区域内的水资源调度，组织实施取水许可、水资源有偿作用制度和水资源论证、防洪论证制度；按规定开展水能资源调查工作，参与拟订水能资源开发利用规划和水能资源保护管理规章制度。3.负责水资源的保护工作。拟订城乡水资源保护规划；组织水功能区的划分和向饮水区等水域排污的控制；监测江河湖泊水量水质，审定水域纳污能力，提出限制排污总量的建议；审查区域内江河、湖泊、水库管理范围内新建、改建或扩建的排污口；指导饮用水源保护工作，指导地下水开发利用和城市规划区地下水资源管理保护工作。4.负责计划用水、节约部门（单位）职能、部门组成情况等。用水工作。拟订计划用水、节约用水方法，编制计划用水、节约用水规划，指导和推动节水型社会建设工作。5.承担水利突发公共事件应急管理责任。负责防治水旱灾害，组织、协调、监督、指挥防汛抗旱工作，对重要江河湖泊和重要水工程实施防汛抗旱调度和应急水量调度，编制防汛抗旱应急预案并组织实施；承担区防汛抗旱指挥部日常工作。6.承担水利工程建设与运行安全监管的责任。负责水利工程建设与运行的监督管理，制定有关制度并组织实施；负责组织、协调水利建设项目前期工作；指导水利建设市场的监督管理。7.负责大中型水利水电工程移民及后期管理工作。拟订大中型水利水电工程移民安置规划方案，监督检查移民后扶资金、项目实施工作。8.组织、指导水域及其岸线、水利设施的管理与保护，以及江河、湖泊、滩涂的治理和开发；组织制定并监督实施防治水害规划和河道防洪调度方案，审查河道管理范围内工程建设方案，拟订河道清障计划和实施方案并监督实施，按分工负责河道采砂的管理、监督和检查；根据气象、水文等提供的信息，及时做好汛期工作。9.负责防治水土保持流失。拟订水土保持规划并组织监督实施，承担水土流失的综合防治、监测预报的责任，负责有关建设项目水土保持方案的审批、监督实施及验收工作，指导水土保持建设项目的实施。10.负责农村水利工作。组织协调农田水利基本建设和管理，组织、指导城乡饮水安全、节水灌溉、雨水集蓄利用等工程建设与管理工作，指导农村水利社会化服务体系建设和农村水利技术推广工作；指导和组织实施水电农村电气化和小水电代燃料工作。11.负责涉水违法事件的查处，协调、仲裁水事纠纷，组织、指导水政监察和水行政执法工作。12.负责对行政审批事项、行政执法、各项工程安全等情况进行督查。13.承办区政府交办的其他事项。</w:t>
      </w:r>
    </w:p>
    <w:p>
      <w:pPr>
        <w:spacing w:line="600" w:lineRule="exact"/>
        <w:ind w:firstLine="643" w:firstLineChars="200"/>
        <w:rPr>
          <w:rFonts w:hint="eastAsia" w:ascii="方正仿宋_GBK" w:eastAsia="方正仿宋_GBK" w:cs="宋体"/>
          <w:b/>
          <w:bCs/>
          <w:kern w:val="0"/>
          <w:sz w:val="32"/>
          <w:szCs w:val="32"/>
        </w:rPr>
      </w:pPr>
      <w:r>
        <w:rPr>
          <w:rFonts w:hint="eastAsia" w:ascii="方正仿宋_GBK" w:eastAsia="方正仿宋_GBK" w:cs="宋体"/>
          <w:b/>
          <w:bCs/>
          <w:color w:val="333333"/>
          <w:sz w:val="32"/>
          <w:szCs w:val="32"/>
        </w:rPr>
        <w:t>（二）</w:t>
      </w:r>
      <w:r>
        <w:rPr>
          <w:rFonts w:hint="eastAsia" w:ascii="方正仿宋_GBK" w:eastAsia="方正仿宋_GBK" w:cs="宋体"/>
          <w:b/>
          <w:bCs/>
          <w:kern w:val="0"/>
          <w:sz w:val="32"/>
          <w:szCs w:val="32"/>
        </w:rPr>
        <w:t>单位构成</w:t>
      </w:r>
    </w:p>
    <w:p>
      <w:pPr>
        <w:pStyle w:val="9"/>
        <w:tabs>
          <w:tab w:val="center" w:pos="4153"/>
          <w:tab w:val="left" w:pos="7275"/>
        </w:tabs>
        <w:spacing w:line="560" w:lineRule="exact"/>
        <w:ind w:firstLine="640"/>
        <w:jc w:val="left"/>
        <w:rPr>
          <w:rFonts w:hint="eastAsia" w:ascii="方正仿宋_GBK" w:eastAsia="方正仿宋_GBK" w:cs="仿宋_GB2312"/>
          <w:sz w:val="32"/>
          <w:szCs w:val="32"/>
        </w:rPr>
      </w:pPr>
      <w:r>
        <w:rPr>
          <w:rFonts w:hint="eastAsia" w:ascii="方正仿宋_GBK" w:eastAsia="方正仿宋_GBK" w:cs="仿宋_GB2312"/>
          <w:sz w:val="32"/>
          <w:szCs w:val="32"/>
        </w:rPr>
        <w:t>江津区水利局内设11个科室：办公室；财务科；规划建设科；水利水保科；水资源科；移民工作科；水生态管理科；行政审批科；安全科；群众工作科（法制科）；机关党委。</w:t>
      </w:r>
    </w:p>
    <w:p>
      <w:pPr>
        <w:spacing w:line="600" w:lineRule="exact"/>
        <w:ind w:firstLine="643" w:firstLineChars="200"/>
        <w:rPr>
          <w:rFonts w:hint="eastAsia" w:ascii="方正仿宋_GBK" w:eastAsia="方正仿宋_GBK" w:cs="宋体"/>
          <w:b/>
          <w:bCs/>
          <w:kern w:val="0"/>
          <w:sz w:val="32"/>
          <w:szCs w:val="32"/>
        </w:rPr>
      </w:pPr>
      <w:r>
        <w:rPr>
          <w:rFonts w:hint="eastAsia" w:ascii="方正仿宋_GBK" w:eastAsia="方正仿宋_GBK" w:cs="宋体"/>
          <w:b/>
          <w:bCs/>
          <w:color w:val="333333"/>
          <w:sz w:val="32"/>
          <w:szCs w:val="32"/>
        </w:rPr>
        <w:t>（三）</w:t>
      </w:r>
      <w:r>
        <w:rPr>
          <w:rFonts w:hint="eastAsia" w:ascii="方正仿宋_GBK" w:eastAsia="方正仿宋_GBK" w:cs="宋体"/>
          <w:b/>
          <w:bCs/>
          <w:kern w:val="0"/>
          <w:sz w:val="32"/>
          <w:szCs w:val="32"/>
        </w:rPr>
        <w:t>机构设置</w:t>
      </w:r>
    </w:p>
    <w:p>
      <w:pPr>
        <w:pStyle w:val="9"/>
        <w:tabs>
          <w:tab w:val="center" w:pos="4153"/>
          <w:tab w:val="left" w:pos="7275"/>
        </w:tabs>
        <w:spacing w:line="560" w:lineRule="exact"/>
        <w:ind w:firstLine="640"/>
        <w:jc w:val="left"/>
        <w:rPr>
          <w:rFonts w:hint="eastAsia" w:ascii="方正仿宋_GBK" w:eastAsia="方正仿宋_GBK" w:cs="仿宋_GB2312"/>
          <w:sz w:val="32"/>
          <w:szCs w:val="32"/>
        </w:rPr>
      </w:pPr>
      <w:r>
        <w:rPr>
          <w:rFonts w:hint="eastAsia" w:ascii="方正仿宋_GBK" w:eastAsia="方正仿宋_GBK" w:cs="仿宋_GB2312"/>
          <w:sz w:val="32"/>
          <w:szCs w:val="32"/>
        </w:rPr>
        <w:t>重庆市江津区水利局下设5个参公单位：重庆市江津区水利工程质量监督站；重庆市江津区水利工程管理站; 重庆市江津区水土保持生态环境监测站; 重庆市江津区水利行政执法支队；重庆市江津区水旱灾害防御中心。</w:t>
      </w:r>
    </w:p>
    <w:p>
      <w:pPr>
        <w:pStyle w:val="9"/>
        <w:tabs>
          <w:tab w:val="center" w:pos="4153"/>
          <w:tab w:val="left" w:pos="7275"/>
        </w:tabs>
        <w:spacing w:line="560" w:lineRule="exact"/>
        <w:ind w:firstLine="640"/>
        <w:jc w:val="left"/>
        <w:rPr>
          <w:rFonts w:hint="eastAsia" w:ascii="方正仿宋_GBK" w:eastAsia="方正仿宋_GBK" w:cs="仿宋_GB2312"/>
          <w:sz w:val="32"/>
          <w:szCs w:val="32"/>
        </w:rPr>
      </w:pPr>
      <w:r>
        <w:rPr>
          <w:rFonts w:hint="eastAsia" w:ascii="方正仿宋_GBK" w:eastAsia="方正仿宋_GBK" w:cs="仿宋_GB2312"/>
          <w:sz w:val="32"/>
          <w:szCs w:val="32"/>
        </w:rPr>
        <w:t>江津区水利局下设5个事业单位：重庆市江津区水文水资源管理站；重庆市江津区清溪沟水库管理所；重庆市江津区四面山水库管理所；重庆市江津区水利技术服务中心；重庆市江津区三峡工程后续发展服务中心。</w:t>
      </w:r>
    </w:p>
    <w:p>
      <w:pPr>
        <w:pStyle w:val="9"/>
        <w:tabs>
          <w:tab w:val="center" w:pos="4153"/>
          <w:tab w:val="left" w:pos="7275"/>
        </w:tabs>
        <w:spacing w:line="560" w:lineRule="exact"/>
        <w:ind w:firstLine="640"/>
        <w:jc w:val="left"/>
        <w:rPr>
          <w:rFonts w:hint="eastAsia" w:ascii="方正仿宋_GBK" w:eastAsia="方正仿宋_GBK" w:cs="仿宋_GB2312"/>
          <w:sz w:val="32"/>
          <w:szCs w:val="32"/>
        </w:rPr>
      </w:pPr>
    </w:p>
    <w:p>
      <w:pPr>
        <w:spacing w:line="600" w:lineRule="exact"/>
        <w:ind w:firstLine="640" w:firstLineChars="200"/>
        <w:rPr>
          <w:rFonts w:hint="eastAsia" w:ascii="方正仿宋_GBK" w:eastAsia="方正仿宋_GBK" w:cs="宋体"/>
          <w:kern w:val="0"/>
          <w:sz w:val="32"/>
          <w:szCs w:val="32"/>
        </w:rPr>
      </w:pPr>
      <w:r>
        <w:rPr>
          <w:rFonts w:hint="eastAsia" w:ascii="方正黑体_GBK" w:eastAsia="方正黑体_GBK"/>
          <w:sz w:val="32"/>
          <w:szCs w:val="32"/>
        </w:rPr>
        <w:t>二、部门决算情况说明</w:t>
      </w:r>
    </w:p>
    <w:p>
      <w:pPr>
        <w:spacing w:line="600" w:lineRule="exact"/>
        <w:ind w:firstLine="643" w:firstLineChars="200"/>
        <w:jc w:val="left"/>
        <w:rPr>
          <w:rFonts w:hint="eastAsia" w:ascii="方正仿宋_GBK" w:eastAsia="方正仿宋_GBK" w:cs="宋体"/>
          <w:sz w:val="32"/>
          <w:szCs w:val="32"/>
        </w:rPr>
      </w:pPr>
      <w:r>
        <w:rPr>
          <w:rFonts w:hint="eastAsia" w:ascii="方正仿宋_GBK" w:eastAsia="方正仿宋_GBK" w:cs="宋体"/>
          <w:b/>
          <w:sz w:val="32"/>
          <w:szCs w:val="32"/>
        </w:rPr>
        <w:t>（一）收入支出决算总体情况说明</w:t>
      </w:r>
    </w:p>
    <w:p>
      <w:pPr>
        <w:spacing w:line="600" w:lineRule="exact"/>
        <w:ind w:firstLine="643" w:firstLineChars="200"/>
        <w:jc w:val="left"/>
        <w:rPr>
          <w:rFonts w:hint="eastAsia" w:ascii="方正仿宋_GBK" w:eastAsia="方正仿宋_GBK" w:cs="宋体"/>
          <w:sz w:val="32"/>
          <w:szCs w:val="32"/>
        </w:rPr>
      </w:pPr>
      <w:r>
        <w:rPr>
          <w:rFonts w:hint="eastAsia" w:ascii="方正仿宋_GBK" w:eastAsia="方正仿宋_GBK" w:cs="宋体"/>
          <w:b/>
          <w:sz w:val="32"/>
          <w:szCs w:val="32"/>
        </w:rPr>
        <w:t>1.总体情况。</w:t>
      </w:r>
      <w:r>
        <w:rPr>
          <w:rFonts w:hint="eastAsia" w:ascii="方正仿宋_GBK" w:eastAsia="方正仿宋_GBK" w:cs="宋体"/>
          <w:sz w:val="32"/>
          <w:szCs w:val="32"/>
        </w:rPr>
        <w:t>2020年度收入总计69,572.92万元，支出总计69,572.92万元。收支较上年决算数增加</w:t>
      </w:r>
      <w:r>
        <w:rPr>
          <w:rFonts w:ascii="方正仿宋_GBK" w:eastAsia="方正仿宋_GBK" w:cs="宋体"/>
          <w:sz w:val="32"/>
          <w:szCs w:val="32"/>
        </w:rPr>
        <w:t>31,799.36</w:t>
      </w:r>
      <w:r>
        <w:rPr>
          <w:rFonts w:hint="eastAsia" w:ascii="方正仿宋_GBK" w:eastAsia="方正仿宋_GBK" w:cs="宋体"/>
          <w:sz w:val="32"/>
          <w:szCs w:val="32"/>
        </w:rPr>
        <w:t>万元、增长84.18%，主要原因是精简区级一级预算单位，并增加鹅公水库项目和抗疫特别国债。</w:t>
      </w:r>
    </w:p>
    <w:p>
      <w:pPr>
        <w:spacing w:line="600" w:lineRule="exact"/>
        <w:ind w:firstLine="643" w:firstLineChars="200"/>
        <w:jc w:val="left"/>
        <w:rPr>
          <w:rFonts w:hint="eastAsia" w:ascii="方正仿宋_GBK" w:eastAsia="方正仿宋_GBK" w:cs="宋体"/>
          <w:sz w:val="32"/>
          <w:szCs w:val="32"/>
        </w:rPr>
      </w:pPr>
      <w:r>
        <w:rPr>
          <w:rFonts w:hint="eastAsia" w:ascii="方正仿宋_GBK" w:eastAsia="方正仿宋_GBK" w:cs="宋体"/>
          <w:b/>
          <w:sz w:val="32"/>
          <w:szCs w:val="32"/>
        </w:rPr>
        <w:t>2.收入情况。</w:t>
      </w:r>
      <w:r>
        <w:rPr>
          <w:rFonts w:hint="eastAsia" w:ascii="方正仿宋_GBK" w:eastAsia="方正仿宋_GBK" w:cs="宋体"/>
          <w:sz w:val="32"/>
          <w:szCs w:val="32"/>
        </w:rPr>
        <w:t>2020年度收入合计54,961.06万元，较上年决算数增加26,217.40万元，增长91.21%，主要原因是精简区级一级预算单位，并增加鹅公水库项目和抗疫特别国债。其中：财政拨款收入54,961.06万元，占100.00%；年初结转和结余14,611.86万元。</w:t>
      </w:r>
    </w:p>
    <w:p>
      <w:pPr>
        <w:spacing w:line="600" w:lineRule="exact"/>
        <w:ind w:firstLine="643" w:firstLineChars="200"/>
        <w:jc w:val="left"/>
        <w:rPr>
          <w:rFonts w:hint="eastAsia" w:ascii="方正仿宋_GBK" w:eastAsia="方正仿宋_GBK" w:cs="宋体"/>
          <w:sz w:val="32"/>
          <w:szCs w:val="32"/>
        </w:rPr>
      </w:pPr>
      <w:r>
        <w:rPr>
          <w:rFonts w:hint="eastAsia" w:ascii="方正仿宋_GBK" w:eastAsia="方正仿宋_GBK" w:cs="宋体"/>
          <w:b/>
          <w:sz w:val="32"/>
          <w:szCs w:val="32"/>
        </w:rPr>
        <w:t>3.支出情况。</w:t>
      </w:r>
      <w:r>
        <w:rPr>
          <w:rFonts w:hint="eastAsia" w:ascii="方正仿宋_GBK" w:eastAsia="方正仿宋_GBK" w:cs="宋体"/>
          <w:sz w:val="32"/>
          <w:szCs w:val="32"/>
        </w:rPr>
        <w:t>2020年度支出合计40,149.90万元，较上年决算数增加</w:t>
      </w:r>
      <w:r>
        <w:rPr>
          <w:rFonts w:ascii="方正仿宋_GBK" w:eastAsia="方正仿宋_GBK" w:cs="宋体"/>
          <w:sz w:val="32"/>
          <w:szCs w:val="32"/>
        </w:rPr>
        <w:t xml:space="preserve">18,274.39 </w:t>
      </w:r>
      <w:r>
        <w:rPr>
          <w:rFonts w:hint="eastAsia" w:ascii="方正仿宋_GBK" w:eastAsia="方正仿宋_GBK" w:cs="宋体"/>
          <w:sz w:val="32"/>
          <w:szCs w:val="32"/>
        </w:rPr>
        <w:t>万元，增长83.54%，主要原因是精简区级一级预算单位，并增加鹅公水库项目和抗疫特别国债支出。其中：基本支出3,617.09万元，占9.01%；项目支出36,532.81万元，占90.99%。</w:t>
      </w:r>
    </w:p>
    <w:p>
      <w:pPr>
        <w:spacing w:line="600" w:lineRule="exact"/>
        <w:ind w:firstLine="643" w:firstLineChars="200"/>
        <w:jc w:val="left"/>
        <w:rPr>
          <w:rFonts w:hint="eastAsia" w:ascii="方正仿宋_GBK" w:eastAsia="方正仿宋_GBK" w:cs="宋体"/>
          <w:sz w:val="32"/>
          <w:szCs w:val="32"/>
        </w:rPr>
      </w:pPr>
      <w:r>
        <w:rPr>
          <w:rFonts w:hint="eastAsia" w:ascii="方正仿宋_GBK" w:eastAsia="方正仿宋_GBK" w:cs="宋体"/>
          <w:b/>
          <w:sz w:val="32"/>
          <w:szCs w:val="32"/>
        </w:rPr>
        <w:t>4.结转结余情况。</w:t>
      </w:r>
      <w:r>
        <w:rPr>
          <w:rFonts w:hint="eastAsia" w:ascii="方正仿宋_GBK" w:eastAsia="方正仿宋_GBK" w:cs="宋体"/>
          <w:sz w:val="32"/>
          <w:szCs w:val="32"/>
        </w:rPr>
        <w:t>2020年度年末结转和结余29,423.02万元，较上年决算数增加13,524.98万元，增长85.07%，主要原因是增加鹅公水库支出结转和抗疫特别国债资金。</w:t>
      </w:r>
    </w:p>
    <w:p>
      <w:pPr>
        <w:spacing w:line="600" w:lineRule="exact"/>
        <w:ind w:firstLine="643" w:firstLineChars="200"/>
        <w:jc w:val="left"/>
        <w:rPr>
          <w:rFonts w:hint="eastAsia" w:ascii="方正仿宋_GBK" w:eastAsia="方正仿宋_GBK" w:cs="宋体"/>
          <w:sz w:val="32"/>
          <w:szCs w:val="32"/>
        </w:rPr>
      </w:pPr>
      <w:r>
        <w:rPr>
          <w:rFonts w:hint="eastAsia" w:ascii="方正仿宋_GBK" w:eastAsia="方正仿宋_GBK" w:cs="宋体"/>
          <w:b/>
          <w:sz w:val="32"/>
          <w:szCs w:val="32"/>
        </w:rPr>
        <w:t>（二）财政拨款收入支出决算总体情况说明</w:t>
      </w:r>
    </w:p>
    <w:p>
      <w:pPr>
        <w:spacing w:line="600" w:lineRule="exact"/>
        <w:ind w:firstLine="640" w:firstLineChars="200"/>
        <w:jc w:val="left"/>
        <w:rPr>
          <w:rFonts w:hint="eastAsia" w:ascii="方正仿宋_GBK" w:eastAsia="方正仿宋_GBK" w:cs="宋体"/>
          <w:sz w:val="32"/>
          <w:szCs w:val="32"/>
        </w:rPr>
      </w:pPr>
      <w:r>
        <w:rPr>
          <w:rFonts w:hint="eastAsia" w:ascii="方正仿宋_GBK" w:eastAsia="方正仿宋_GBK" w:cs="宋体"/>
          <w:sz w:val="32"/>
          <w:szCs w:val="32"/>
        </w:rPr>
        <w:t>  2020年度财政拨款收、支总计69,572.92万元。与2019年相比，财政拨款收、支总计各增加</w:t>
      </w:r>
      <w:r>
        <w:rPr>
          <w:rFonts w:ascii="方正仿宋_GBK" w:eastAsia="方正仿宋_GBK" w:cs="宋体"/>
          <w:sz w:val="32"/>
          <w:szCs w:val="32"/>
        </w:rPr>
        <w:t>31,799.36</w:t>
      </w:r>
      <w:r>
        <w:rPr>
          <w:rFonts w:hint="eastAsia" w:ascii="方正仿宋_GBK" w:eastAsia="方正仿宋_GBK" w:cs="宋体"/>
          <w:sz w:val="32"/>
          <w:szCs w:val="32"/>
        </w:rPr>
        <w:t>万元，增长84.18%。主要原因是精简区级一级预算单位，并增加鹅公水库项目和抗疫特别国债支出。</w:t>
      </w:r>
    </w:p>
    <w:p>
      <w:pPr>
        <w:spacing w:line="600" w:lineRule="exact"/>
        <w:ind w:firstLine="643" w:firstLineChars="200"/>
        <w:jc w:val="left"/>
        <w:rPr>
          <w:rFonts w:hint="eastAsia" w:ascii="方正仿宋_GBK" w:eastAsia="方正仿宋_GBK" w:cs="宋体"/>
          <w:sz w:val="32"/>
          <w:szCs w:val="32"/>
        </w:rPr>
      </w:pPr>
      <w:r>
        <w:rPr>
          <w:rFonts w:hint="eastAsia" w:ascii="方正仿宋_GBK" w:eastAsia="方正仿宋_GBK" w:cs="宋体"/>
          <w:b/>
          <w:sz w:val="32"/>
          <w:szCs w:val="32"/>
        </w:rPr>
        <w:t>（三）一般公共预算财政拨款收入支出决算情况说明</w:t>
      </w:r>
    </w:p>
    <w:p>
      <w:pPr>
        <w:ind w:firstLine="643" w:firstLineChars="200"/>
        <w:jc w:val="left"/>
        <w:rPr>
          <w:rFonts w:ascii="宋体" w:hAnsi="宋体" w:cs="Arial"/>
          <w:b/>
          <w:bCs/>
          <w:kern w:val="0"/>
          <w:sz w:val="20"/>
          <w:szCs w:val="20"/>
        </w:rPr>
      </w:pPr>
      <w:r>
        <w:rPr>
          <w:rFonts w:hint="eastAsia" w:ascii="方正仿宋_GBK" w:eastAsia="方正仿宋_GBK" w:cs="宋体"/>
          <w:b/>
          <w:sz w:val="32"/>
          <w:szCs w:val="32"/>
        </w:rPr>
        <w:t>1.收入情况。</w:t>
      </w:r>
      <w:r>
        <w:rPr>
          <w:rFonts w:hint="eastAsia" w:ascii="方正仿宋_GBK" w:eastAsia="方正仿宋_GBK" w:cs="宋体"/>
          <w:sz w:val="32"/>
          <w:szCs w:val="32"/>
        </w:rPr>
        <w:t>2020年度一般公共预算财政拨款收入30,235.16万元，较上年决算数增加</w:t>
      </w:r>
      <w:r>
        <w:rPr>
          <w:rFonts w:ascii="方正仿宋_GBK" w:eastAsia="方正仿宋_GBK" w:cs="宋体"/>
          <w:sz w:val="32"/>
          <w:szCs w:val="32"/>
        </w:rPr>
        <w:t>7</w:t>
      </w:r>
      <w:r>
        <w:rPr>
          <w:rFonts w:hint="eastAsia" w:ascii="方正仿宋_GBK" w:eastAsia="方正仿宋_GBK" w:cs="宋体"/>
          <w:sz w:val="32"/>
          <w:szCs w:val="32"/>
        </w:rPr>
        <w:t>,</w:t>
      </w:r>
      <w:r>
        <w:rPr>
          <w:rFonts w:ascii="方正仿宋_GBK" w:eastAsia="方正仿宋_GBK" w:cs="宋体"/>
          <w:sz w:val="32"/>
          <w:szCs w:val="32"/>
        </w:rPr>
        <w:t>465.20</w:t>
      </w:r>
      <w:r>
        <w:rPr>
          <w:rFonts w:hint="eastAsia" w:ascii="方正仿宋_GBK" w:eastAsia="方正仿宋_GBK" w:cs="宋体"/>
          <w:sz w:val="32"/>
          <w:szCs w:val="32"/>
        </w:rPr>
        <w:t>万元，增长32.79%。主要原因是精简区级一级预算单位，并增加鹅公水库项目和抗</w:t>
      </w:r>
      <w:r>
        <w:rPr>
          <w:rFonts w:hint="eastAsia" w:ascii="方正仿宋_GBK" w:eastAsia="方正仿宋_GBK" w:cs="宋体"/>
          <w:sz w:val="32"/>
          <w:szCs w:val="32"/>
          <w:lang w:eastAsia="zh-CN"/>
        </w:rPr>
        <w:t>疫</w:t>
      </w:r>
      <w:r>
        <w:rPr>
          <w:rFonts w:hint="eastAsia" w:ascii="方正仿宋_GBK" w:eastAsia="方正仿宋_GBK" w:cs="宋体"/>
          <w:sz w:val="32"/>
          <w:szCs w:val="32"/>
        </w:rPr>
        <w:t>特别国债。较年初预算数增加21,948.34万元，增长264.86%。主要原因是精简区级一级预算单位，并增加鹅公水库项目和抗</w:t>
      </w:r>
      <w:r>
        <w:rPr>
          <w:rFonts w:hint="eastAsia" w:ascii="方正仿宋_GBK" w:eastAsia="方正仿宋_GBK" w:cs="宋体"/>
          <w:sz w:val="32"/>
          <w:szCs w:val="32"/>
          <w:lang w:eastAsia="zh-CN"/>
        </w:rPr>
        <w:t>疫</w:t>
      </w:r>
      <w:r>
        <w:rPr>
          <w:rFonts w:hint="eastAsia" w:ascii="方正仿宋_GBK" w:eastAsia="方正仿宋_GBK" w:cs="宋体"/>
          <w:sz w:val="32"/>
          <w:szCs w:val="32"/>
        </w:rPr>
        <w:t>特别国债。此外，年初财政拨款结转和结余10,564.61万元。</w:t>
      </w:r>
    </w:p>
    <w:p>
      <w:pPr>
        <w:spacing w:line="600" w:lineRule="exact"/>
        <w:ind w:left="160" w:leftChars="76" w:firstLine="482" w:firstLineChars="150"/>
        <w:jc w:val="left"/>
        <w:rPr>
          <w:rFonts w:hint="eastAsia" w:ascii="方正仿宋_GBK" w:eastAsia="方正仿宋_GBK" w:cs="宋体"/>
          <w:color w:val="FF0000"/>
          <w:sz w:val="32"/>
          <w:szCs w:val="32"/>
        </w:rPr>
      </w:pPr>
      <w:r>
        <w:rPr>
          <w:rFonts w:hint="eastAsia" w:ascii="方正仿宋_GBK" w:eastAsia="方正仿宋_GBK" w:cs="宋体"/>
          <w:b/>
          <w:sz w:val="32"/>
          <w:szCs w:val="32"/>
        </w:rPr>
        <w:t>2.支出情况。</w:t>
      </w:r>
      <w:r>
        <w:rPr>
          <w:rFonts w:hint="eastAsia" w:ascii="方正仿宋_GBK" w:eastAsia="方正仿宋_GBK" w:cs="宋体"/>
          <w:sz w:val="32"/>
          <w:szCs w:val="32"/>
        </w:rPr>
        <w:t>2020年度一般公共预算财政拨款支出17,619.43万元，较上年决算数增加</w:t>
      </w:r>
      <w:r>
        <w:rPr>
          <w:rFonts w:ascii="方正仿宋_GBK" w:eastAsia="方正仿宋_GBK" w:cs="宋体"/>
          <w:sz w:val="32"/>
          <w:szCs w:val="32"/>
        </w:rPr>
        <w:t>2,150.06</w:t>
      </w:r>
      <w:r>
        <w:rPr>
          <w:rFonts w:hint="eastAsia" w:ascii="方正仿宋_GBK" w:eastAsia="方正仿宋_GBK" w:cs="宋体"/>
          <w:sz w:val="32"/>
          <w:szCs w:val="32"/>
        </w:rPr>
        <w:t>万元，上升</w:t>
      </w:r>
      <w:r>
        <w:rPr>
          <w:rFonts w:ascii="方正仿宋_GBK" w:eastAsia="方正仿宋_GBK" w:cs="宋体"/>
          <w:sz w:val="32"/>
          <w:szCs w:val="32"/>
        </w:rPr>
        <w:t>13.90%</w:t>
      </w:r>
      <w:r>
        <w:rPr>
          <w:rFonts w:hint="eastAsia" w:ascii="方正仿宋_GBK" w:eastAsia="方正仿宋_GBK" w:cs="宋体"/>
          <w:sz w:val="32"/>
          <w:szCs w:val="32"/>
        </w:rPr>
        <w:t>。主要原因是精简区级一级预算单位，并增加鹅公水库项目和抗</w:t>
      </w:r>
      <w:r>
        <w:rPr>
          <w:rFonts w:hint="eastAsia" w:ascii="方正仿宋_GBK" w:eastAsia="方正仿宋_GBK" w:cs="宋体"/>
          <w:sz w:val="32"/>
          <w:szCs w:val="32"/>
          <w:lang w:eastAsia="zh-CN"/>
        </w:rPr>
        <w:t>疫</w:t>
      </w:r>
      <w:r>
        <w:rPr>
          <w:rFonts w:hint="eastAsia" w:ascii="方正仿宋_GBK" w:eastAsia="方正仿宋_GBK" w:cs="宋体"/>
          <w:sz w:val="32"/>
          <w:szCs w:val="32"/>
        </w:rPr>
        <w:t>特别国债支出。较年初预算数增加</w:t>
      </w:r>
      <w:r>
        <w:rPr>
          <w:rFonts w:ascii="方正仿宋_GBK" w:eastAsia="方正仿宋_GBK" w:cs="宋体"/>
          <w:sz w:val="32"/>
          <w:szCs w:val="32"/>
        </w:rPr>
        <w:t>9,332.61</w:t>
      </w:r>
      <w:r>
        <w:rPr>
          <w:rFonts w:hint="eastAsia" w:ascii="方正仿宋_GBK" w:eastAsia="方正仿宋_GBK" w:cs="宋体"/>
          <w:sz w:val="32"/>
          <w:szCs w:val="32"/>
        </w:rPr>
        <w:t>万元，增长</w:t>
      </w:r>
      <w:r>
        <w:rPr>
          <w:rFonts w:ascii="方正仿宋_GBK" w:eastAsia="方正仿宋_GBK" w:cs="宋体"/>
          <w:sz w:val="32"/>
          <w:szCs w:val="32"/>
        </w:rPr>
        <w:t>112.62%</w:t>
      </w:r>
      <w:r>
        <w:rPr>
          <w:rFonts w:hint="eastAsia" w:ascii="方正仿宋_GBK" w:eastAsia="方正仿宋_GBK" w:cs="宋体"/>
          <w:sz w:val="32"/>
          <w:szCs w:val="32"/>
        </w:rPr>
        <w:t>。主要原因是精简区级一级预算单位，并增加鹅公水库项目和抗</w:t>
      </w:r>
      <w:r>
        <w:rPr>
          <w:rFonts w:hint="eastAsia" w:ascii="方正仿宋_GBK" w:eastAsia="方正仿宋_GBK" w:cs="宋体"/>
          <w:sz w:val="32"/>
          <w:szCs w:val="32"/>
          <w:lang w:eastAsia="zh-CN"/>
        </w:rPr>
        <w:t>疫</w:t>
      </w:r>
      <w:r>
        <w:rPr>
          <w:rFonts w:hint="eastAsia" w:ascii="方正仿宋_GBK" w:eastAsia="方正仿宋_GBK" w:cs="宋体"/>
          <w:sz w:val="32"/>
          <w:szCs w:val="32"/>
        </w:rPr>
        <w:t>特别国债支出。</w:t>
      </w:r>
    </w:p>
    <w:p>
      <w:pPr>
        <w:spacing w:line="600" w:lineRule="exact"/>
        <w:ind w:left="160" w:leftChars="76" w:firstLine="482" w:firstLineChars="150"/>
        <w:jc w:val="left"/>
        <w:rPr>
          <w:rFonts w:hint="eastAsia" w:ascii="方正仿宋_GBK" w:eastAsia="方正仿宋_GBK" w:cs="宋体"/>
          <w:sz w:val="32"/>
          <w:szCs w:val="32"/>
        </w:rPr>
      </w:pPr>
      <w:r>
        <w:rPr>
          <w:rFonts w:hint="eastAsia" w:ascii="方正仿宋_GBK" w:eastAsia="方正仿宋_GBK" w:cs="宋体"/>
          <w:b/>
          <w:sz w:val="32"/>
          <w:szCs w:val="32"/>
        </w:rPr>
        <w:t>3.结转结余情况。</w:t>
      </w:r>
      <w:r>
        <w:rPr>
          <w:rFonts w:hint="eastAsia" w:ascii="方正仿宋_GBK" w:eastAsia="方正仿宋_GBK" w:cs="宋体"/>
          <w:sz w:val="32"/>
          <w:szCs w:val="32"/>
        </w:rPr>
        <w:t>2020年度年末一般公共预算财政拨款结转和结余23,180.34万元，较上年决算数增加</w:t>
      </w:r>
      <w:r>
        <w:rPr>
          <w:rFonts w:ascii="方正仿宋_GBK" w:eastAsia="方正仿宋_GBK" w:cs="宋体"/>
          <w:sz w:val="32"/>
          <w:szCs w:val="32"/>
        </w:rPr>
        <w:t>11,959.61</w:t>
      </w:r>
      <w:r>
        <w:rPr>
          <w:rFonts w:hint="eastAsia" w:ascii="方正仿宋_GBK" w:eastAsia="方正仿宋_GBK" w:cs="宋体"/>
          <w:sz w:val="32"/>
          <w:szCs w:val="32"/>
        </w:rPr>
        <w:t>万元，增长</w:t>
      </w:r>
      <w:r>
        <w:rPr>
          <w:rFonts w:ascii="方正仿宋_GBK" w:eastAsia="方正仿宋_GBK" w:cs="宋体"/>
          <w:sz w:val="32"/>
          <w:szCs w:val="32"/>
        </w:rPr>
        <w:t>106.58</w:t>
      </w:r>
      <w:r>
        <w:rPr>
          <w:rFonts w:hint="eastAsia" w:ascii="方正仿宋_GBK" w:eastAsia="方正仿宋_GBK" w:cs="宋体"/>
          <w:sz w:val="32"/>
          <w:szCs w:val="32"/>
        </w:rPr>
        <w:t>%，主要原因是精简区级一级预算单位，并增加鹅公水库项目和</w:t>
      </w:r>
      <w:r>
        <w:rPr>
          <w:rFonts w:hint="eastAsia" w:ascii="方正仿宋_GBK" w:eastAsia="方正仿宋_GBK" w:cs="宋体"/>
          <w:sz w:val="32"/>
          <w:szCs w:val="32"/>
          <w:lang w:eastAsia="zh-CN"/>
        </w:rPr>
        <w:t>抗疫</w:t>
      </w:r>
      <w:r>
        <w:rPr>
          <w:rFonts w:hint="eastAsia" w:ascii="方正仿宋_GBK" w:eastAsia="方正仿宋_GBK" w:cs="宋体"/>
          <w:sz w:val="32"/>
          <w:szCs w:val="32"/>
        </w:rPr>
        <w:t>特别国债支出。</w:t>
      </w:r>
    </w:p>
    <w:p>
      <w:pPr>
        <w:spacing w:line="600" w:lineRule="exact"/>
        <w:ind w:firstLine="643" w:firstLineChars="200"/>
        <w:jc w:val="left"/>
        <w:rPr>
          <w:rFonts w:hint="eastAsia" w:ascii="方正仿宋_GBK" w:eastAsia="方正仿宋_GBK" w:cs="宋体"/>
          <w:sz w:val="32"/>
          <w:szCs w:val="32"/>
        </w:rPr>
      </w:pPr>
      <w:r>
        <w:rPr>
          <w:rFonts w:hint="eastAsia" w:ascii="方正仿宋_GBK" w:eastAsia="方正仿宋_GBK" w:cs="宋体"/>
          <w:b/>
          <w:sz w:val="32"/>
          <w:szCs w:val="32"/>
        </w:rPr>
        <w:t>4.比较情况。</w:t>
      </w:r>
      <w:r>
        <w:rPr>
          <w:rFonts w:hint="eastAsia" w:ascii="方正仿宋_GBK" w:eastAsia="方正仿宋_GBK" w:cs="宋体"/>
          <w:sz w:val="32"/>
          <w:szCs w:val="32"/>
        </w:rPr>
        <w:t>本部门2020年度一般公共预算财政拨款支出主要用于以下几个方面：</w:t>
      </w:r>
    </w:p>
    <w:p>
      <w:pPr>
        <w:spacing w:line="600" w:lineRule="exact"/>
        <w:ind w:firstLine="640" w:firstLineChars="200"/>
        <w:jc w:val="left"/>
        <w:rPr>
          <w:rFonts w:hint="eastAsia" w:ascii="方正仿宋_GBK" w:eastAsia="方正仿宋_GBK" w:cs="宋体"/>
          <w:sz w:val="32"/>
          <w:szCs w:val="32"/>
        </w:rPr>
      </w:pPr>
      <w:r>
        <w:rPr>
          <w:rFonts w:hint="eastAsia" w:ascii="方正仿宋_GBK" w:eastAsia="方正仿宋_GBK" w:cs="宋体"/>
          <w:sz w:val="32"/>
          <w:szCs w:val="32"/>
        </w:rPr>
        <w:t>（1）教育支出16.36万元，占</w:t>
      </w:r>
      <w:r>
        <w:rPr>
          <w:rFonts w:ascii="方正仿宋_GBK" w:eastAsia="方正仿宋_GBK" w:cs="宋体"/>
          <w:sz w:val="32"/>
          <w:szCs w:val="32"/>
        </w:rPr>
        <w:t>0.09%</w:t>
      </w:r>
      <w:r>
        <w:rPr>
          <w:rFonts w:hint="eastAsia" w:ascii="方正仿宋_GBK" w:eastAsia="方正仿宋_GBK" w:cs="宋体"/>
          <w:sz w:val="32"/>
          <w:szCs w:val="32"/>
        </w:rPr>
        <w:t>，与年初预算数一致。</w:t>
      </w:r>
    </w:p>
    <w:p>
      <w:pPr>
        <w:spacing w:line="600" w:lineRule="exact"/>
        <w:ind w:firstLine="640" w:firstLineChars="200"/>
        <w:jc w:val="left"/>
        <w:rPr>
          <w:rFonts w:hint="eastAsia" w:ascii="方正仿宋_GBK" w:eastAsia="方正仿宋_GBK" w:cs="宋体"/>
          <w:sz w:val="32"/>
          <w:szCs w:val="32"/>
        </w:rPr>
      </w:pPr>
      <w:r>
        <w:rPr>
          <w:rFonts w:hint="eastAsia" w:ascii="方正仿宋_GBK" w:eastAsia="方正仿宋_GBK" w:cs="宋体"/>
          <w:sz w:val="32"/>
          <w:szCs w:val="32"/>
        </w:rPr>
        <w:t>（2）社会保障与就业支出625.10万元，占</w:t>
      </w:r>
      <w:r>
        <w:rPr>
          <w:rFonts w:ascii="方正仿宋_GBK" w:eastAsia="方正仿宋_GBK" w:cs="宋体"/>
          <w:sz w:val="32"/>
          <w:szCs w:val="32"/>
        </w:rPr>
        <w:t>3.55%</w:t>
      </w:r>
      <w:r>
        <w:rPr>
          <w:rFonts w:hint="eastAsia" w:ascii="方正仿宋_GBK" w:eastAsia="方正仿宋_GBK" w:cs="宋体"/>
          <w:sz w:val="32"/>
          <w:szCs w:val="32"/>
        </w:rPr>
        <w:t>，较年初预算数增加</w:t>
      </w:r>
      <w:r>
        <w:rPr>
          <w:rFonts w:ascii="方正仿宋_GBK" w:eastAsia="方正仿宋_GBK" w:cs="宋体"/>
          <w:sz w:val="32"/>
          <w:szCs w:val="32"/>
        </w:rPr>
        <w:t>102.87</w:t>
      </w:r>
      <w:r>
        <w:rPr>
          <w:rFonts w:hint="eastAsia" w:ascii="方正仿宋_GBK" w:eastAsia="方正仿宋_GBK" w:cs="宋体"/>
          <w:sz w:val="32"/>
          <w:szCs w:val="32"/>
        </w:rPr>
        <w:t>万元，增长</w:t>
      </w:r>
      <w:r>
        <w:rPr>
          <w:rFonts w:ascii="方正仿宋_GBK" w:eastAsia="方正仿宋_GBK" w:cs="宋体"/>
          <w:sz w:val="32"/>
          <w:szCs w:val="32"/>
        </w:rPr>
        <w:t>19.70%</w:t>
      </w:r>
      <w:r>
        <w:rPr>
          <w:rFonts w:hint="eastAsia" w:ascii="方正仿宋_GBK" w:eastAsia="方正仿宋_GBK" w:cs="宋体"/>
          <w:sz w:val="32"/>
          <w:szCs w:val="32"/>
        </w:rPr>
        <w:t>，主要原因是</w:t>
      </w:r>
      <w:r>
        <w:rPr>
          <w:rFonts w:ascii="方正仿宋_GBK" w:eastAsia="方正仿宋_GBK" w:cs="宋体"/>
          <w:sz w:val="32"/>
          <w:szCs w:val="32"/>
        </w:rPr>
        <w:t>增加抚恤金和去年清算缴费支出</w:t>
      </w:r>
      <w:r>
        <w:rPr>
          <w:rFonts w:hint="eastAsia" w:ascii="方正仿宋_GBK" w:eastAsia="方正仿宋_GBK" w:cs="宋体"/>
          <w:sz w:val="32"/>
          <w:szCs w:val="32"/>
        </w:rPr>
        <w:t>。</w:t>
      </w:r>
    </w:p>
    <w:p>
      <w:pPr>
        <w:spacing w:line="600" w:lineRule="exact"/>
        <w:ind w:firstLine="640" w:firstLineChars="200"/>
        <w:jc w:val="left"/>
        <w:rPr>
          <w:rFonts w:hint="eastAsia" w:ascii="方正仿宋_GBK" w:eastAsia="方正仿宋_GBK" w:cs="宋体"/>
          <w:sz w:val="32"/>
          <w:szCs w:val="32"/>
        </w:rPr>
      </w:pPr>
      <w:r>
        <w:rPr>
          <w:rFonts w:hint="eastAsia" w:ascii="方正仿宋_GBK" w:eastAsia="方正仿宋_GBK" w:cs="宋体"/>
          <w:sz w:val="32"/>
          <w:szCs w:val="32"/>
        </w:rPr>
        <w:t>（3）卫生健康支出189.88万元，占</w:t>
      </w:r>
      <w:r>
        <w:rPr>
          <w:rFonts w:ascii="方正仿宋_GBK" w:eastAsia="方正仿宋_GBK" w:cs="宋体"/>
          <w:sz w:val="32"/>
          <w:szCs w:val="32"/>
        </w:rPr>
        <w:t>1.08%</w:t>
      </w:r>
      <w:r>
        <w:rPr>
          <w:rFonts w:hint="eastAsia" w:ascii="方正仿宋_GBK" w:eastAsia="方正仿宋_GBK" w:cs="宋体"/>
          <w:sz w:val="32"/>
          <w:szCs w:val="32"/>
        </w:rPr>
        <w:t>，与年初预算数一致。</w:t>
      </w:r>
    </w:p>
    <w:p>
      <w:pPr>
        <w:spacing w:line="600" w:lineRule="exact"/>
        <w:ind w:firstLine="640" w:firstLineChars="200"/>
        <w:jc w:val="left"/>
        <w:rPr>
          <w:rFonts w:hint="eastAsia" w:ascii="方正仿宋_GBK" w:eastAsia="方正仿宋_GBK" w:cs="宋体"/>
          <w:color w:val="FF0000"/>
          <w:sz w:val="32"/>
          <w:szCs w:val="32"/>
        </w:rPr>
      </w:pPr>
      <w:r>
        <w:rPr>
          <w:rFonts w:hint="eastAsia" w:ascii="方正仿宋_GBK" w:eastAsia="方正仿宋_GBK" w:cs="宋体"/>
          <w:sz w:val="32"/>
          <w:szCs w:val="32"/>
        </w:rPr>
        <w:t> （4）节能环保支出210.85万元，占</w:t>
      </w:r>
      <w:r>
        <w:rPr>
          <w:rFonts w:ascii="方正仿宋_GBK" w:eastAsia="方正仿宋_GBK" w:cs="宋体"/>
          <w:sz w:val="32"/>
          <w:szCs w:val="32"/>
        </w:rPr>
        <w:t>1.20%</w:t>
      </w:r>
      <w:r>
        <w:rPr>
          <w:rFonts w:hint="eastAsia" w:ascii="方正仿宋_GBK" w:eastAsia="方正仿宋_GBK" w:cs="宋体"/>
          <w:sz w:val="32"/>
          <w:szCs w:val="32"/>
        </w:rPr>
        <w:t>，无年初预算，主要原因是年中上级拨款河库管护经费和农村污水处理站运行维护费。</w:t>
      </w:r>
    </w:p>
    <w:p>
      <w:pPr>
        <w:jc w:val="left"/>
        <w:rPr>
          <w:rFonts w:ascii="Arial" w:hAnsi="Arial" w:cs="Arial"/>
          <w:kern w:val="0"/>
          <w:sz w:val="24"/>
          <w:szCs w:val="24"/>
        </w:rPr>
      </w:pPr>
      <w:r>
        <w:rPr>
          <w:rFonts w:hint="eastAsia" w:ascii="方正仿宋_GBK" w:eastAsia="方正仿宋_GBK" w:cs="宋体"/>
          <w:sz w:val="32"/>
          <w:szCs w:val="32"/>
        </w:rPr>
        <w:t>     （5）农林水支出16,446.39万元，占</w:t>
      </w:r>
      <w:r>
        <w:rPr>
          <w:rFonts w:ascii="方正仿宋_GBK" w:eastAsia="方正仿宋_GBK" w:cs="宋体"/>
          <w:sz w:val="32"/>
          <w:szCs w:val="32"/>
        </w:rPr>
        <w:t>93.34%</w:t>
      </w:r>
      <w:r>
        <w:rPr>
          <w:rFonts w:hint="eastAsia" w:ascii="方正仿宋_GBK" w:eastAsia="方正仿宋_GBK" w:cs="宋体"/>
          <w:sz w:val="32"/>
          <w:szCs w:val="32"/>
        </w:rPr>
        <w:t>，较年初预算数增加</w:t>
      </w:r>
      <w:r>
        <w:rPr>
          <w:rFonts w:ascii="方正仿宋_GBK" w:eastAsia="方正仿宋_GBK" w:cs="宋体"/>
          <w:sz w:val="32"/>
          <w:szCs w:val="32"/>
        </w:rPr>
        <w:t>9,092.53</w:t>
      </w:r>
      <w:r>
        <w:rPr>
          <w:rFonts w:hint="eastAsia" w:ascii="方正仿宋_GBK" w:eastAsia="方正仿宋_GBK" w:cs="宋体"/>
          <w:sz w:val="32"/>
          <w:szCs w:val="32"/>
        </w:rPr>
        <w:t>万元，增长</w:t>
      </w:r>
      <w:r>
        <w:rPr>
          <w:rFonts w:ascii="方正仿宋_GBK" w:eastAsia="方正仿宋_GBK" w:cs="宋体"/>
          <w:sz w:val="32"/>
          <w:szCs w:val="32"/>
        </w:rPr>
        <w:t>123.64%</w:t>
      </w:r>
      <w:r>
        <w:rPr>
          <w:rFonts w:hint="eastAsia" w:ascii="方正仿宋_GBK" w:eastAsia="方正仿宋_GBK" w:cs="宋体"/>
          <w:sz w:val="32"/>
          <w:szCs w:val="32"/>
        </w:rPr>
        <w:t>，主要原因是精简区级一级预算单位，并增加鹅公水库项目和</w:t>
      </w:r>
      <w:r>
        <w:rPr>
          <w:rFonts w:hint="eastAsia" w:ascii="方正仿宋_GBK" w:eastAsia="方正仿宋_GBK" w:cs="宋体"/>
          <w:sz w:val="32"/>
          <w:szCs w:val="32"/>
          <w:lang w:eastAsia="zh-CN"/>
        </w:rPr>
        <w:t>抗疫</w:t>
      </w:r>
      <w:r>
        <w:rPr>
          <w:rFonts w:hint="eastAsia" w:ascii="方正仿宋_GBK" w:eastAsia="方正仿宋_GBK" w:cs="宋体"/>
          <w:sz w:val="32"/>
          <w:szCs w:val="32"/>
        </w:rPr>
        <w:t>特别国债支出。</w:t>
      </w:r>
    </w:p>
    <w:p>
      <w:pPr>
        <w:ind w:firstLine="800" w:firstLineChars="250"/>
        <w:jc w:val="left"/>
        <w:rPr>
          <w:rFonts w:hint="eastAsia" w:ascii="方正仿宋_GBK" w:eastAsia="方正仿宋_GBK" w:cs="宋体"/>
          <w:sz w:val="32"/>
          <w:szCs w:val="32"/>
        </w:rPr>
      </w:pPr>
      <w:r>
        <w:rPr>
          <w:rFonts w:hint="eastAsia" w:ascii="方正仿宋_GBK" w:eastAsia="方正仿宋_GBK" w:cs="宋体"/>
          <w:sz w:val="32"/>
          <w:szCs w:val="32"/>
        </w:rPr>
        <w:t>（6）住房保障支出130.85万元，占</w:t>
      </w:r>
      <w:r>
        <w:rPr>
          <w:rFonts w:ascii="方正仿宋_GBK" w:eastAsia="方正仿宋_GBK" w:cs="宋体"/>
          <w:sz w:val="32"/>
          <w:szCs w:val="32"/>
        </w:rPr>
        <w:t>0.74%</w:t>
      </w:r>
      <w:r>
        <w:rPr>
          <w:rFonts w:hint="eastAsia" w:ascii="方正仿宋_GBK" w:eastAsia="方正仿宋_GBK" w:cs="宋体"/>
          <w:sz w:val="32"/>
          <w:szCs w:val="32"/>
        </w:rPr>
        <w:t>，较年初预算数减少</w:t>
      </w:r>
      <w:r>
        <w:rPr>
          <w:rFonts w:ascii="方正仿宋_GBK" w:eastAsia="方正仿宋_GBK" w:cs="宋体"/>
          <w:sz w:val="32"/>
          <w:szCs w:val="32"/>
        </w:rPr>
        <w:t>73.64</w:t>
      </w:r>
      <w:r>
        <w:rPr>
          <w:rFonts w:hint="eastAsia" w:ascii="方正仿宋_GBK" w:eastAsia="方正仿宋_GBK" w:cs="宋体"/>
          <w:sz w:val="32"/>
          <w:szCs w:val="32"/>
        </w:rPr>
        <w:t>万元，下降</w:t>
      </w:r>
      <w:r>
        <w:rPr>
          <w:rFonts w:ascii="方正仿宋_GBK" w:eastAsia="方正仿宋_GBK" w:cs="宋体"/>
          <w:sz w:val="32"/>
          <w:szCs w:val="32"/>
        </w:rPr>
        <w:t>36.01%</w:t>
      </w:r>
      <w:r>
        <w:rPr>
          <w:rFonts w:hint="eastAsia" w:ascii="方正仿宋_GBK" w:eastAsia="方正仿宋_GBK" w:cs="宋体"/>
          <w:sz w:val="32"/>
          <w:szCs w:val="32"/>
        </w:rPr>
        <w:t xml:space="preserve">，主要原因是机构人员调出。    </w:t>
      </w:r>
    </w:p>
    <w:p>
      <w:pPr>
        <w:spacing w:line="600" w:lineRule="exact"/>
        <w:ind w:left="160" w:leftChars="76" w:firstLine="482" w:firstLineChars="150"/>
        <w:jc w:val="left"/>
        <w:rPr>
          <w:rFonts w:hint="eastAsia" w:ascii="方正仿宋_GBK" w:eastAsia="方正仿宋_GBK" w:cs="宋体"/>
          <w:sz w:val="32"/>
          <w:szCs w:val="32"/>
        </w:rPr>
      </w:pPr>
      <w:r>
        <w:rPr>
          <w:rFonts w:hint="eastAsia" w:ascii="方正仿宋_GBK" w:eastAsia="方正仿宋_GBK" w:cs="宋体"/>
          <w:b/>
          <w:sz w:val="32"/>
          <w:szCs w:val="32"/>
        </w:rPr>
        <w:t>（四）一般公共预算财政拨款基本支出决算情况说明</w:t>
      </w:r>
    </w:p>
    <w:p>
      <w:pPr>
        <w:ind w:firstLine="640" w:firstLineChars="200"/>
        <w:jc w:val="left"/>
        <w:rPr>
          <w:rFonts w:hint="eastAsia" w:ascii="方正仿宋_GBK" w:eastAsia="方正仿宋_GBK" w:cs="宋体"/>
          <w:sz w:val="32"/>
          <w:szCs w:val="32"/>
        </w:rPr>
      </w:pPr>
      <w:r>
        <w:rPr>
          <w:rFonts w:hint="eastAsia" w:ascii="方正仿宋_GBK" w:eastAsia="方正仿宋_GBK" w:cs="宋体"/>
          <w:sz w:val="32"/>
          <w:szCs w:val="32"/>
        </w:rPr>
        <w:t>2020度一般公共财政拨款基本支出3,617.09 万元。其中：人员经费3,008.24万元，较上年决算数增加1,948.24万元，增长183.80%，主要原因是精简区级一级预算单位，增加人员经费支出。人员经费用途主要包括基本工资、津贴补贴、奖金、社会保障缴费等。公用经费608.85万元，较上年决算数增加344.83万元，增长130.61%，主要原因是精简区级一级预算单位，增加公用经费支出。公用经费用途主要包括办公费、印刷费、咨询费、邮电费、水费、电费、差旅费、物业管理费等。</w:t>
      </w:r>
    </w:p>
    <w:p>
      <w:pPr>
        <w:spacing w:line="600" w:lineRule="exact"/>
        <w:ind w:firstLine="643" w:firstLineChars="200"/>
        <w:jc w:val="left"/>
        <w:rPr>
          <w:rFonts w:hint="eastAsia" w:ascii="方正仿宋_GBK" w:eastAsia="方正仿宋_GBK" w:cs="宋体"/>
          <w:sz w:val="32"/>
          <w:szCs w:val="32"/>
        </w:rPr>
      </w:pPr>
      <w:r>
        <w:rPr>
          <w:rFonts w:hint="eastAsia" w:ascii="方正仿宋_GBK" w:eastAsia="方正仿宋_GBK" w:cs="宋体"/>
          <w:b/>
          <w:sz w:val="32"/>
          <w:szCs w:val="32"/>
        </w:rPr>
        <w:t>（五）政府性基金预算收支决算情况说明</w:t>
      </w:r>
    </w:p>
    <w:p>
      <w:pPr>
        <w:ind w:firstLine="640" w:firstLineChars="200"/>
        <w:jc w:val="left"/>
        <w:rPr>
          <w:rFonts w:hint="eastAsia" w:ascii="方正仿宋_GBK" w:eastAsia="方正仿宋_GBK" w:cs="宋体"/>
          <w:sz w:val="32"/>
          <w:szCs w:val="32"/>
        </w:rPr>
      </w:pPr>
      <w:r>
        <w:rPr>
          <w:rFonts w:hint="eastAsia" w:ascii="方正仿宋_GBK" w:eastAsia="方正仿宋_GBK" w:cs="宋体"/>
          <w:sz w:val="32"/>
          <w:szCs w:val="32"/>
        </w:rPr>
        <w:t>2020年度政府性基金预算财政拨款年初结转结余4,047.26万元，年末结转结余6,242.69万元。本年收入24,725.90万元，较上年决算数增加18,752.20万元，增长313.91%，主要原因是精简区级一级预算单位，并增加鹅公水库项目和</w:t>
      </w:r>
      <w:r>
        <w:rPr>
          <w:rFonts w:hint="eastAsia" w:ascii="方正仿宋_GBK" w:eastAsia="方正仿宋_GBK" w:cs="宋体"/>
          <w:sz w:val="32"/>
          <w:szCs w:val="32"/>
          <w:lang w:eastAsia="zh-CN"/>
        </w:rPr>
        <w:t>抗疫</w:t>
      </w:r>
      <w:r>
        <w:rPr>
          <w:rFonts w:hint="eastAsia" w:ascii="方正仿宋_GBK" w:eastAsia="方正仿宋_GBK" w:cs="宋体"/>
          <w:sz w:val="32"/>
          <w:szCs w:val="32"/>
        </w:rPr>
        <w:t>特别国债。本年支出22,530.47万元，较上年决算数增加16,124.33 万元，增长251.70%，主要原因是精简区级一级预算单位，并增加鹅公水库项目和</w:t>
      </w:r>
      <w:r>
        <w:rPr>
          <w:rFonts w:hint="eastAsia" w:ascii="方正仿宋_GBK" w:eastAsia="方正仿宋_GBK" w:cs="宋体"/>
          <w:sz w:val="32"/>
          <w:szCs w:val="32"/>
          <w:lang w:eastAsia="zh-CN"/>
        </w:rPr>
        <w:t>抗疫</w:t>
      </w:r>
      <w:r>
        <w:rPr>
          <w:rFonts w:hint="eastAsia" w:ascii="方正仿宋_GBK" w:eastAsia="方正仿宋_GBK" w:cs="宋体"/>
          <w:sz w:val="32"/>
          <w:szCs w:val="32"/>
        </w:rPr>
        <w:t>特别国债支出。</w:t>
      </w:r>
    </w:p>
    <w:p>
      <w:pPr>
        <w:spacing w:line="600" w:lineRule="exact"/>
        <w:ind w:firstLine="643" w:firstLineChars="200"/>
        <w:jc w:val="left"/>
        <w:rPr>
          <w:rFonts w:hint="eastAsia" w:ascii="方正仿宋_GBK" w:eastAsia="方正仿宋_GBK" w:cs="宋体"/>
          <w:b/>
          <w:sz w:val="32"/>
          <w:szCs w:val="32"/>
        </w:rPr>
      </w:pPr>
      <w:r>
        <w:rPr>
          <w:rFonts w:hint="eastAsia" w:ascii="方正仿宋_GBK" w:eastAsia="方正仿宋_GBK" w:cs="宋体"/>
          <w:b/>
          <w:sz w:val="32"/>
          <w:szCs w:val="32"/>
        </w:rPr>
        <w:t>（六）国有资本经营预算</w:t>
      </w:r>
    </w:p>
    <w:p>
      <w:pPr>
        <w:spacing w:line="600" w:lineRule="exact"/>
        <w:ind w:firstLine="640" w:firstLineChars="200"/>
        <w:jc w:val="left"/>
        <w:rPr>
          <w:rFonts w:hint="eastAsia" w:ascii="方正仿宋_GBK" w:eastAsia="方正仿宋_GBK" w:cs="宋体"/>
          <w:sz w:val="32"/>
          <w:szCs w:val="32"/>
        </w:rPr>
      </w:pPr>
      <w:r>
        <w:rPr>
          <w:rFonts w:hint="eastAsia" w:ascii="方正仿宋_GBK" w:eastAsia="方正仿宋_GBK" w:cs="宋体"/>
          <w:sz w:val="32"/>
          <w:szCs w:val="32"/>
        </w:rPr>
        <w:t>本单位无国有资本经营预算财政拨款支出，故本表无数据，与年初预算数一致。</w:t>
      </w:r>
    </w:p>
    <w:p>
      <w:pPr>
        <w:spacing w:line="600" w:lineRule="exact"/>
        <w:ind w:firstLine="640" w:firstLineChars="200"/>
        <w:rPr>
          <w:rFonts w:hint="eastAsia"/>
          <w:sz w:val="30"/>
          <w:szCs w:val="30"/>
        </w:rPr>
      </w:pPr>
      <w:r>
        <w:rPr>
          <w:rFonts w:hint="eastAsia" w:ascii="方正黑体_GBK" w:eastAsia="方正黑体_GBK"/>
          <w:sz w:val="32"/>
          <w:szCs w:val="32"/>
        </w:rPr>
        <w:t xml:space="preserve">三、“三公”经费情况说明 </w:t>
      </w:r>
    </w:p>
    <w:p>
      <w:pPr>
        <w:spacing w:line="600" w:lineRule="exact"/>
        <w:ind w:firstLine="643" w:firstLineChars="200"/>
        <w:jc w:val="left"/>
        <w:rPr>
          <w:rFonts w:hint="eastAsia" w:ascii="方正仿宋_GBK" w:eastAsia="方正仿宋_GBK"/>
          <w:b/>
          <w:color w:val="333333"/>
          <w:sz w:val="32"/>
          <w:szCs w:val="32"/>
        </w:rPr>
      </w:pPr>
      <w:r>
        <w:rPr>
          <w:rFonts w:hint="eastAsia" w:ascii="方正仿宋_GBK" w:eastAsia="方正仿宋_GBK"/>
          <w:b/>
          <w:color w:val="333333"/>
          <w:sz w:val="32"/>
          <w:szCs w:val="32"/>
        </w:rPr>
        <w:t xml:space="preserve"> （一）“三公”经费支出总体情况说明</w:t>
      </w:r>
    </w:p>
    <w:p>
      <w:pPr>
        <w:spacing w:line="600" w:lineRule="exact"/>
        <w:ind w:firstLine="643" w:firstLineChars="200"/>
        <w:jc w:val="left"/>
        <w:rPr>
          <w:rFonts w:hint="eastAsia" w:ascii="方正仿宋_GBK" w:eastAsia="方正仿宋_GBK" w:cs="宋体"/>
          <w:color w:val="333333"/>
          <w:sz w:val="32"/>
          <w:szCs w:val="32"/>
        </w:rPr>
      </w:pPr>
      <w:r>
        <w:rPr>
          <w:rFonts w:hint="eastAsia" w:ascii="方正仿宋_GBK" w:eastAsia="方正仿宋_GBK"/>
          <w:b/>
          <w:color w:val="333333"/>
          <w:sz w:val="32"/>
          <w:szCs w:val="32"/>
        </w:rPr>
        <w:t xml:space="preserve">  </w:t>
      </w:r>
      <w:r>
        <w:rPr>
          <w:rFonts w:hint="eastAsia" w:ascii="方正仿宋_GBK" w:eastAsia="方正仿宋_GBK" w:cs="宋体"/>
          <w:color w:val="333333"/>
          <w:sz w:val="32"/>
          <w:szCs w:val="32"/>
        </w:rPr>
        <w:t>2020年年度“三公”经费支出共计23.88万元，较年初预算数减少50.60万元，下降67.94%，主要原因是严格控制公务接待支出。较上年支出数增加5.97万元，增长33.35%，主要原因是精简区级一级预算单位，</w:t>
      </w:r>
      <w:r>
        <w:rPr>
          <w:rFonts w:ascii="方正仿宋_GBK" w:eastAsia="方正仿宋_GBK" w:cs="宋体"/>
          <w:color w:val="333333"/>
          <w:sz w:val="32"/>
          <w:szCs w:val="32"/>
        </w:rPr>
        <w:t>增加下属单位公务接待支出</w:t>
      </w:r>
      <w:r>
        <w:rPr>
          <w:rFonts w:hint="eastAsia" w:ascii="方正仿宋_GBK" w:eastAsia="方正仿宋_GBK" w:cs="宋体"/>
          <w:color w:val="333333"/>
          <w:sz w:val="32"/>
          <w:szCs w:val="32"/>
        </w:rPr>
        <w:t>，增加</w:t>
      </w:r>
      <w:r>
        <w:rPr>
          <w:rFonts w:ascii="方正仿宋_GBK" w:eastAsia="方正仿宋_GBK"/>
          <w:bCs/>
          <w:color w:val="333333"/>
          <w:sz w:val="32"/>
          <w:szCs w:val="32"/>
        </w:rPr>
        <w:t>下属单位2辆公务车公务用车运行维护费支出</w:t>
      </w:r>
      <w:r>
        <w:rPr>
          <w:rFonts w:hint="eastAsia" w:ascii="方正仿宋_GBK" w:eastAsia="方正仿宋_GBK"/>
          <w:bCs/>
          <w:color w:val="333333"/>
          <w:sz w:val="32"/>
          <w:szCs w:val="32"/>
        </w:rPr>
        <w:t>。</w:t>
      </w:r>
    </w:p>
    <w:p>
      <w:pPr>
        <w:spacing w:line="600" w:lineRule="exact"/>
        <w:ind w:firstLine="643" w:firstLineChars="200"/>
        <w:jc w:val="left"/>
        <w:rPr>
          <w:rFonts w:hint="eastAsia" w:ascii="方正仿宋_GBK" w:eastAsia="方正仿宋_GBK"/>
          <w:b/>
          <w:color w:val="333333"/>
          <w:sz w:val="32"/>
          <w:szCs w:val="32"/>
        </w:rPr>
      </w:pPr>
      <w:r>
        <w:rPr>
          <w:rFonts w:hint="eastAsia" w:ascii="方正仿宋_GBK" w:eastAsia="方正仿宋_GBK"/>
          <w:b/>
          <w:color w:val="333333"/>
          <w:sz w:val="32"/>
          <w:szCs w:val="32"/>
        </w:rPr>
        <w:t>（二）“三公”经费分项支出情况</w:t>
      </w:r>
    </w:p>
    <w:p>
      <w:pPr>
        <w:spacing w:line="600" w:lineRule="exact"/>
        <w:ind w:firstLine="640" w:firstLineChars="200"/>
        <w:jc w:val="left"/>
        <w:rPr>
          <w:rFonts w:hint="eastAsia" w:ascii="方正仿宋_GBK" w:eastAsia="方正仿宋_GBK"/>
          <w:bCs/>
          <w:color w:val="333333"/>
          <w:sz w:val="32"/>
          <w:szCs w:val="32"/>
        </w:rPr>
      </w:pPr>
      <w:r>
        <w:rPr>
          <w:rFonts w:hint="eastAsia" w:ascii="方正仿宋_GBK" w:eastAsia="方正仿宋_GBK"/>
          <w:bCs/>
          <w:color w:val="333333"/>
          <w:sz w:val="32"/>
          <w:szCs w:val="32"/>
        </w:rPr>
        <w:t>本单位2020年度未发生</w:t>
      </w:r>
      <w:r>
        <w:rPr>
          <w:rFonts w:hint="eastAsia" w:ascii="方正仿宋_GBK" w:eastAsia="方正仿宋_GBK"/>
          <w:color w:val="333333"/>
          <w:sz w:val="32"/>
          <w:szCs w:val="32"/>
        </w:rPr>
        <w:t>因公出国（境）费用</w:t>
      </w:r>
      <w:r>
        <w:rPr>
          <w:rFonts w:hint="eastAsia" w:ascii="方正仿宋_GBK" w:eastAsia="方正仿宋_GBK"/>
          <w:bCs/>
          <w:color w:val="333333"/>
          <w:sz w:val="32"/>
          <w:szCs w:val="32"/>
        </w:rPr>
        <w:t>支出。</w:t>
      </w:r>
      <w:r>
        <w:rPr>
          <w:rFonts w:hint="eastAsia" w:ascii="方正仿宋_GBK" w:eastAsia="方正仿宋_GBK"/>
          <w:color w:val="333333"/>
          <w:sz w:val="32"/>
          <w:szCs w:val="32"/>
        </w:rPr>
        <w:t>费用支出与年初预算、上年一致。</w:t>
      </w:r>
    </w:p>
    <w:p>
      <w:pPr>
        <w:spacing w:line="600" w:lineRule="exact"/>
        <w:ind w:firstLine="640" w:firstLineChars="200"/>
        <w:jc w:val="left"/>
        <w:rPr>
          <w:rFonts w:hint="eastAsia" w:ascii="方正仿宋_GBK" w:eastAsia="方正仿宋_GBK"/>
          <w:color w:val="333333"/>
          <w:sz w:val="32"/>
          <w:szCs w:val="32"/>
        </w:rPr>
      </w:pPr>
      <w:r>
        <w:rPr>
          <w:rFonts w:hint="eastAsia" w:ascii="方正仿宋_GBK" w:eastAsia="方正仿宋_GBK"/>
          <w:bCs/>
          <w:color w:val="333333"/>
          <w:sz w:val="32"/>
          <w:szCs w:val="32"/>
        </w:rPr>
        <w:t>本单位2020年度未发生</w:t>
      </w:r>
      <w:r>
        <w:rPr>
          <w:rFonts w:hint="eastAsia" w:ascii="方正仿宋_GBK" w:eastAsia="方正仿宋_GBK"/>
          <w:color w:val="333333"/>
          <w:sz w:val="32"/>
          <w:szCs w:val="32"/>
        </w:rPr>
        <w:t>公务车购置费用</w:t>
      </w:r>
      <w:r>
        <w:rPr>
          <w:rFonts w:hint="eastAsia" w:ascii="方正仿宋_GBK" w:eastAsia="方正仿宋_GBK"/>
          <w:bCs/>
          <w:color w:val="333333"/>
          <w:sz w:val="32"/>
          <w:szCs w:val="32"/>
        </w:rPr>
        <w:t>支出。</w:t>
      </w:r>
      <w:r>
        <w:rPr>
          <w:rFonts w:hint="eastAsia" w:ascii="方正仿宋_GBK" w:eastAsia="方正仿宋_GBK"/>
          <w:color w:val="333333"/>
          <w:sz w:val="32"/>
          <w:szCs w:val="32"/>
        </w:rPr>
        <w:t>费用支出与年初预算、上年一致。</w:t>
      </w:r>
    </w:p>
    <w:p>
      <w:pPr>
        <w:spacing w:line="600" w:lineRule="exact"/>
        <w:ind w:firstLine="640" w:firstLineChars="200"/>
        <w:jc w:val="left"/>
        <w:rPr>
          <w:rFonts w:hint="eastAsia" w:ascii="方正仿宋_GBK" w:eastAsia="方正仿宋_GBK"/>
          <w:bCs/>
          <w:color w:val="333333"/>
          <w:sz w:val="32"/>
          <w:szCs w:val="32"/>
        </w:rPr>
      </w:pPr>
      <w:r>
        <w:rPr>
          <w:rFonts w:hint="eastAsia" w:ascii="方正仿宋_GBK" w:eastAsia="方正仿宋_GBK"/>
          <w:bCs/>
          <w:color w:val="333333"/>
          <w:sz w:val="32"/>
          <w:szCs w:val="32"/>
        </w:rPr>
        <w:t>公务车运行维护费15.98万元，主要用于机要文件交换、市内因公出行、中小河流治理、农村饮水巩固提升和维修、病险水库除险加固整治、灌区及农田水利等项目检查等工作所需车辆的燃料费、维修费、过桥过路费、保险费等。费用支出较年初预算数减少24.02万元，下降60.05%，主要原因是严格控制公务用车审批。较上年支出数增加3.05万元，增长23.61%，主要原因是</w:t>
      </w:r>
      <w:r>
        <w:rPr>
          <w:rFonts w:hint="eastAsia" w:ascii="方正仿宋_GBK" w:eastAsia="方正仿宋_GBK" w:cs="宋体"/>
          <w:color w:val="333333"/>
          <w:sz w:val="32"/>
          <w:szCs w:val="32"/>
        </w:rPr>
        <w:t>精简区级一级预算单位，增加</w:t>
      </w:r>
      <w:r>
        <w:rPr>
          <w:rFonts w:ascii="方正仿宋_GBK" w:eastAsia="方正仿宋_GBK"/>
          <w:bCs/>
          <w:color w:val="333333"/>
          <w:sz w:val="32"/>
          <w:szCs w:val="32"/>
        </w:rPr>
        <w:t>下属单位2辆公务车公务用车运行维护费支出</w:t>
      </w:r>
      <w:r>
        <w:rPr>
          <w:rFonts w:hint="eastAsia" w:ascii="方正仿宋_GBK" w:eastAsia="方正仿宋_GBK"/>
          <w:bCs/>
          <w:color w:val="333333"/>
          <w:sz w:val="32"/>
          <w:szCs w:val="32"/>
        </w:rPr>
        <w:t>。</w:t>
      </w:r>
    </w:p>
    <w:p>
      <w:pPr>
        <w:spacing w:line="600" w:lineRule="exact"/>
        <w:ind w:firstLine="640" w:firstLineChars="200"/>
        <w:jc w:val="left"/>
        <w:rPr>
          <w:rFonts w:hint="eastAsia" w:ascii="方正仿宋_GBK" w:eastAsia="方正仿宋_GBK"/>
          <w:bCs/>
          <w:color w:val="333333"/>
          <w:sz w:val="32"/>
          <w:szCs w:val="32"/>
        </w:rPr>
      </w:pPr>
      <w:r>
        <w:rPr>
          <w:rFonts w:hint="eastAsia" w:ascii="方正仿宋_GBK" w:eastAsia="方正仿宋_GBK"/>
          <w:bCs/>
          <w:color w:val="333333"/>
          <w:sz w:val="32"/>
          <w:szCs w:val="32"/>
        </w:rPr>
        <w:t>公务接待费7.90万元，主要用于接受相关部门检查指导工作发生的接待支出。费用支出较年初预算数减少26.58万元，下降77.09%，主要原因是</w:t>
      </w:r>
      <w:r>
        <w:rPr>
          <w:rFonts w:hint="eastAsia" w:ascii="方正仿宋_GBK" w:eastAsia="方正仿宋_GBK"/>
          <w:color w:val="333333"/>
          <w:sz w:val="32"/>
          <w:szCs w:val="32"/>
        </w:rPr>
        <w:t>认真贯彻落实中央八项规定精神和厉行节约要求，严格控制公务接待支出</w:t>
      </w:r>
      <w:r>
        <w:rPr>
          <w:rFonts w:hint="eastAsia" w:ascii="方正仿宋_GBK" w:eastAsia="方正仿宋_GBK"/>
          <w:bCs/>
          <w:color w:val="333333"/>
          <w:sz w:val="32"/>
          <w:szCs w:val="32"/>
        </w:rPr>
        <w:t>。较上年支出数增加2.92万元，增长58.62%，主要原因是精简区级一级预算单位，</w:t>
      </w:r>
      <w:r>
        <w:rPr>
          <w:rFonts w:ascii="方正仿宋_GBK" w:eastAsia="方正仿宋_GBK"/>
          <w:bCs/>
          <w:color w:val="333333"/>
          <w:sz w:val="32"/>
          <w:szCs w:val="32"/>
        </w:rPr>
        <w:t>增加下属单位公务接待费支出</w:t>
      </w:r>
      <w:r>
        <w:rPr>
          <w:rFonts w:hint="eastAsia" w:ascii="方正仿宋_GBK" w:eastAsia="方正仿宋_GBK"/>
          <w:bCs/>
          <w:color w:val="333333"/>
          <w:sz w:val="32"/>
          <w:szCs w:val="32"/>
        </w:rPr>
        <w:t>。</w:t>
      </w:r>
    </w:p>
    <w:p>
      <w:pPr>
        <w:spacing w:line="600" w:lineRule="exact"/>
        <w:ind w:firstLine="643" w:firstLineChars="200"/>
        <w:jc w:val="left"/>
        <w:rPr>
          <w:rFonts w:hint="eastAsia" w:ascii="方正仿宋_GBK" w:eastAsia="方正仿宋_GBK"/>
          <w:color w:val="333333"/>
          <w:sz w:val="32"/>
          <w:szCs w:val="32"/>
        </w:rPr>
      </w:pPr>
      <w:r>
        <w:rPr>
          <w:rFonts w:hint="eastAsia" w:ascii="方正仿宋_GBK" w:eastAsia="方正仿宋_GBK"/>
          <w:b/>
          <w:color w:val="333333"/>
          <w:sz w:val="32"/>
          <w:szCs w:val="32"/>
        </w:rPr>
        <w:t xml:space="preserve"> （三）“三公”经费实物量情况</w:t>
      </w:r>
    </w:p>
    <w:p>
      <w:pPr>
        <w:spacing w:line="600" w:lineRule="exact"/>
        <w:ind w:firstLine="640" w:firstLineChars="200"/>
        <w:jc w:val="left"/>
        <w:rPr>
          <w:rFonts w:hint="eastAsia" w:ascii="方正仿宋_GBK" w:eastAsia="方正仿宋_GBK"/>
          <w:color w:val="333333"/>
          <w:sz w:val="32"/>
          <w:szCs w:val="32"/>
        </w:rPr>
      </w:pPr>
      <w:r>
        <w:rPr>
          <w:rFonts w:hint="eastAsia" w:ascii="方正仿宋_GBK" w:eastAsia="方正仿宋_GBK"/>
          <w:color w:val="333333"/>
          <w:sz w:val="32"/>
          <w:szCs w:val="32"/>
        </w:rPr>
        <w:t>  2020年度本部门因公出国（境）共计0个团组，0人；公务用车购置0辆，公务车保有量为4辆；国内公务接待140批次1,100人，其中：国内外事接待0批次，0人；国（境）外公务接待0批次，0人。2020年本部门人均接待费71.81元，车均购置费0.00万元，车均维护费3.99万元。</w:t>
      </w:r>
    </w:p>
    <w:p>
      <w:pPr>
        <w:pStyle w:val="9"/>
        <w:tabs>
          <w:tab w:val="center" w:pos="4153"/>
          <w:tab w:val="left" w:pos="7275"/>
        </w:tabs>
        <w:spacing w:line="600" w:lineRule="exact"/>
        <w:ind w:firstLine="640"/>
        <w:rPr>
          <w:rFonts w:hint="eastAsia" w:ascii="方正黑体_GBK" w:eastAsia="方正黑体_GBK"/>
          <w:sz w:val="32"/>
          <w:szCs w:val="32"/>
        </w:rPr>
      </w:pPr>
      <w:r>
        <w:rPr>
          <w:rFonts w:hint="eastAsia" w:ascii="方正黑体_GBK" w:eastAsia="方正黑体_GBK"/>
          <w:sz w:val="32"/>
          <w:szCs w:val="32"/>
        </w:rPr>
        <w:t>四、其他需要说明的事项</w:t>
      </w:r>
    </w:p>
    <w:p>
      <w:pPr>
        <w:spacing w:line="600" w:lineRule="exact"/>
        <w:ind w:firstLine="643" w:firstLineChars="200"/>
        <w:jc w:val="left"/>
        <w:rPr>
          <w:rFonts w:hint="eastAsia" w:ascii="方正仿宋_GBK" w:eastAsia="方正仿宋_GBK"/>
          <w:bCs/>
          <w:color w:val="333333"/>
          <w:sz w:val="32"/>
          <w:szCs w:val="32"/>
        </w:rPr>
      </w:pPr>
      <w:r>
        <w:rPr>
          <w:rFonts w:hint="eastAsia" w:ascii="方正仿宋_GBK" w:eastAsia="方正仿宋_GBK" w:cs="宋体"/>
          <w:b/>
          <w:sz w:val="32"/>
          <w:szCs w:val="32"/>
        </w:rPr>
        <w:t xml:space="preserve"> （一）机关运行经费情况说明。</w:t>
      </w:r>
      <w:r>
        <w:rPr>
          <w:rFonts w:hint="eastAsia" w:ascii="方正仿宋_GBK" w:eastAsia="方正仿宋_GBK" w:cs="宋体"/>
          <w:sz w:val="32"/>
          <w:szCs w:val="32"/>
        </w:rPr>
        <w:t>2020年度本部门机关运行经费支出608.85万元，机关运行经费主要用于开支办公费、邮电费、水费、电费、差旅费、物业管理费、公务接待费等。机关运行经费较上年决算数增加344.83万元，增长130.61%，主要原因是精简区级一级预算单位，</w:t>
      </w:r>
      <w:r>
        <w:rPr>
          <w:rFonts w:ascii="方正仿宋_GBK" w:eastAsia="方正仿宋_GBK" w:cs="宋体"/>
          <w:sz w:val="32"/>
          <w:szCs w:val="32"/>
        </w:rPr>
        <w:t>增加下属单位机关运行经费支出。</w:t>
      </w:r>
    </w:p>
    <w:p>
      <w:pPr>
        <w:spacing w:line="600" w:lineRule="exact"/>
        <w:ind w:firstLine="640" w:firstLineChars="200"/>
        <w:jc w:val="left"/>
        <w:rPr>
          <w:rFonts w:hint="eastAsia" w:ascii="方正仿宋_GBK" w:eastAsia="方正仿宋_GBK"/>
          <w:bCs/>
          <w:color w:val="333333"/>
          <w:sz w:val="32"/>
          <w:szCs w:val="32"/>
        </w:rPr>
      </w:pPr>
      <w:r>
        <w:rPr>
          <w:rFonts w:hint="eastAsia" w:ascii="方正仿宋_GBK" w:eastAsia="方正仿宋_GBK" w:cs="宋体"/>
          <w:sz w:val="32"/>
          <w:szCs w:val="32"/>
        </w:rPr>
        <w:t>  此外，本年度一般公共预算财政拨款会议费支出3.20万元，较上年决算数减少1.04万元，下降24.62%，主要原因是受疫情影响，本年度减少不必要会议。本年度一般公共预算财政拨款培训费支出16.36万元，较上年决算数增加9.72万元，增长146.53%，主要原因是精简区级一级预算单位，</w:t>
      </w:r>
      <w:r>
        <w:rPr>
          <w:rFonts w:ascii="方正仿宋_GBK" w:eastAsia="方正仿宋_GBK" w:cs="宋体"/>
          <w:sz w:val="32"/>
          <w:szCs w:val="32"/>
        </w:rPr>
        <w:t>增加下属单位费用支出。</w:t>
      </w:r>
    </w:p>
    <w:p>
      <w:pPr>
        <w:tabs>
          <w:tab w:val="left" w:pos="3674"/>
        </w:tabs>
        <w:spacing w:line="600" w:lineRule="exact"/>
        <w:ind w:firstLine="482" w:firstLineChars="150"/>
        <w:jc w:val="left"/>
        <w:rPr>
          <w:rFonts w:hint="eastAsia" w:ascii="方正仿宋_GBK" w:eastAsia="方正仿宋_GBK" w:cs="宋体"/>
          <w:sz w:val="32"/>
          <w:szCs w:val="32"/>
        </w:rPr>
      </w:pPr>
      <w:r>
        <w:rPr>
          <w:rFonts w:hint="eastAsia" w:ascii="方正仿宋_GBK" w:eastAsia="方正仿宋_GBK" w:cs="宋体"/>
          <w:b/>
          <w:kern w:val="0"/>
          <w:sz w:val="32"/>
          <w:szCs w:val="32"/>
        </w:rPr>
        <w:t>（二）国有资产占用情况说明。</w:t>
      </w:r>
      <w:r>
        <w:rPr>
          <w:rFonts w:hint="eastAsia" w:ascii="方正仿宋_GBK" w:eastAsia="方正仿宋_GBK" w:cs="宋体"/>
          <w:sz w:val="32"/>
          <w:szCs w:val="32"/>
        </w:rPr>
        <w:t>截至2020年12月31日，本部门共有车辆4辆，其中，机要通信用车4辆。单价50万元（含）以上通用设备0台（套），单价100万元（含）以上专用设备0台（套）。</w:t>
      </w:r>
    </w:p>
    <w:p>
      <w:pPr>
        <w:jc w:val="left"/>
        <w:rPr>
          <w:rFonts w:hint="eastAsia" w:ascii="方正仿宋_GBK" w:eastAsia="方正仿宋_GBK" w:cs="宋体"/>
          <w:sz w:val="32"/>
          <w:szCs w:val="32"/>
        </w:rPr>
      </w:pPr>
      <w:r>
        <w:rPr>
          <w:rFonts w:hint="eastAsia" w:ascii="方正仿宋_GBK" w:eastAsia="方正仿宋_GBK" w:cs="宋体"/>
          <w:b/>
          <w:kern w:val="0"/>
          <w:sz w:val="32"/>
          <w:szCs w:val="32"/>
        </w:rPr>
        <w:t>（三）政府采购支出情况说明。</w:t>
      </w:r>
      <w:r>
        <w:rPr>
          <w:rFonts w:hint="eastAsia" w:ascii="方正仿宋_GBK" w:eastAsia="方正仿宋_GBK" w:cs="宋体"/>
          <w:sz w:val="32"/>
          <w:szCs w:val="32"/>
        </w:rPr>
        <w:t>2020年度本部门政府采购支出总额</w:t>
      </w:r>
      <w:r>
        <w:rPr>
          <w:rFonts w:ascii="方正仿宋_GBK" w:eastAsia="方正仿宋_GBK" w:cs="宋体"/>
          <w:sz w:val="32"/>
          <w:szCs w:val="32"/>
        </w:rPr>
        <w:t>401.24</w:t>
      </w:r>
      <w:r>
        <w:rPr>
          <w:rFonts w:hint="eastAsia" w:ascii="方正仿宋_GBK" w:eastAsia="方正仿宋_GBK" w:cs="宋体"/>
          <w:sz w:val="32"/>
          <w:szCs w:val="32"/>
        </w:rPr>
        <w:t>万元，其中：政府采购货物支出</w:t>
      </w:r>
      <w:r>
        <w:rPr>
          <w:rFonts w:ascii="方正仿宋_GBK" w:eastAsia="方正仿宋_GBK" w:cs="宋体"/>
          <w:sz w:val="32"/>
          <w:szCs w:val="32"/>
        </w:rPr>
        <w:t>49.95</w:t>
      </w:r>
      <w:r>
        <w:rPr>
          <w:rFonts w:hint="eastAsia" w:ascii="方正仿宋_GBK" w:eastAsia="方正仿宋_GBK" w:cs="宋体"/>
          <w:sz w:val="32"/>
          <w:szCs w:val="32"/>
        </w:rPr>
        <w:t>万元、政府采购工程支出0.00万元、政府采购服务支出</w:t>
      </w:r>
      <w:r>
        <w:rPr>
          <w:rFonts w:ascii="方正仿宋_GBK" w:eastAsia="方正仿宋_GBK" w:cs="宋体"/>
          <w:sz w:val="32"/>
          <w:szCs w:val="32"/>
        </w:rPr>
        <w:t>351.29</w:t>
      </w:r>
      <w:r>
        <w:rPr>
          <w:rFonts w:hint="eastAsia" w:ascii="方正仿宋_GBK" w:eastAsia="方正仿宋_GBK" w:cs="宋体"/>
          <w:sz w:val="32"/>
          <w:szCs w:val="32"/>
        </w:rPr>
        <w:t>万元。授予中小企业合同金额</w:t>
      </w:r>
      <w:r>
        <w:rPr>
          <w:rFonts w:ascii="方正仿宋_GBK" w:eastAsia="方正仿宋_GBK" w:cs="宋体"/>
          <w:sz w:val="32"/>
          <w:szCs w:val="32"/>
        </w:rPr>
        <w:t>401.2</w:t>
      </w:r>
      <w:r>
        <w:rPr>
          <w:rFonts w:hint="eastAsia" w:ascii="方正仿宋_GBK" w:eastAsia="方正仿宋_GBK" w:cs="宋体"/>
          <w:sz w:val="32"/>
          <w:szCs w:val="32"/>
        </w:rPr>
        <w:t>4万元，占政府采购支出总额的100%，其中：授予小微企业合同金额</w:t>
      </w:r>
      <w:r>
        <w:rPr>
          <w:rFonts w:ascii="方正仿宋_GBK" w:eastAsia="方正仿宋_GBK" w:cs="宋体"/>
          <w:sz w:val="32"/>
          <w:szCs w:val="32"/>
        </w:rPr>
        <w:t>371.24</w:t>
      </w:r>
      <w:r>
        <w:rPr>
          <w:rFonts w:hint="eastAsia" w:ascii="方正仿宋_GBK" w:eastAsia="方正仿宋_GBK" w:cs="宋体"/>
          <w:sz w:val="32"/>
          <w:szCs w:val="32"/>
        </w:rPr>
        <w:t>万元，占政府采购支出总额的92.52%。主要用于采购办公设备和预案编制等。</w:t>
      </w:r>
    </w:p>
    <w:p>
      <w:pPr>
        <w:spacing w:line="600" w:lineRule="exact"/>
        <w:ind w:firstLine="640" w:firstLineChars="200"/>
        <w:rPr>
          <w:rFonts w:hint="eastAsia" w:ascii="方正仿宋_GBK" w:eastAsia="方正仿宋_GBK" w:cs="宋体"/>
          <w:b/>
          <w:kern w:val="0"/>
          <w:sz w:val="32"/>
          <w:szCs w:val="32"/>
        </w:rPr>
      </w:pPr>
      <w:r>
        <w:rPr>
          <w:rFonts w:hint="eastAsia" w:ascii="方正黑体_GBK" w:eastAsia="方正黑体_GBK" w:cs="宋体"/>
          <w:kern w:val="0"/>
          <w:sz w:val="32"/>
          <w:szCs w:val="32"/>
        </w:rPr>
        <w:t>五、预算绩效管理情况说明</w:t>
      </w:r>
    </w:p>
    <w:p>
      <w:pPr>
        <w:pStyle w:val="9"/>
        <w:tabs>
          <w:tab w:val="center" w:pos="4153"/>
          <w:tab w:val="left" w:pos="7275"/>
        </w:tabs>
        <w:spacing w:line="600" w:lineRule="exact"/>
        <w:ind w:firstLine="640"/>
        <w:rPr>
          <w:rFonts w:hint="eastAsia" w:ascii="方正仿宋_GBK" w:eastAsia="方正仿宋_GBK" w:cs="宋体"/>
          <w:kern w:val="0"/>
          <w:sz w:val="32"/>
          <w:szCs w:val="32"/>
        </w:rPr>
      </w:pPr>
      <w:r>
        <w:rPr>
          <w:rFonts w:hint="eastAsia" w:ascii="方正仿宋_GBK" w:eastAsia="方正仿宋_GBK" w:cs="宋体"/>
          <w:b/>
          <w:kern w:val="0"/>
          <w:sz w:val="32"/>
          <w:szCs w:val="32"/>
        </w:rPr>
        <w:t>（一）预算绩效管理工作开展情况</w:t>
      </w:r>
    </w:p>
    <w:p>
      <w:pPr>
        <w:pStyle w:val="9"/>
        <w:tabs>
          <w:tab w:val="center" w:pos="4153"/>
          <w:tab w:val="left" w:pos="7275"/>
        </w:tabs>
        <w:spacing w:line="600" w:lineRule="exact"/>
        <w:ind w:firstLine="640"/>
        <w:jc w:val="left"/>
        <w:rPr>
          <w:rFonts w:hint="eastAsia" w:ascii="方正仿宋_GBK" w:eastAsia="方正仿宋_GBK" w:cs="宋体"/>
          <w:sz w:val="32"/>
          <w:szCs w:val="32"/>
        </w:rPr>
      </w:pPr>
      <w:r>
        <w:rPr>
          <w:rFonts w:hint="eastAsia" w:ascii="方正仿宋_GBK" w:eastAsia="方正仿宋_GBK" w:cs="宋体"/>
          <w:kern w:val="0"/>
          <w:sz w:val="32"/>
          <w:szCs w:val="32"/>
        </w:rPr>
        <w:t>根据</w:t>
      </w:r>
      <w:r>
        <w:rPr>
          <w:rFonts w:hint="eastAsia" w:ascii="方正仿宋_GBK" w:eastAsia="方正仿宋_GBK" w:cs="宋体"/>
          <w:sz w:val="32"/>
          <w:szCs w:val="32"/>
        </w:rPr>
        <w:t>根据预算绩效管理要求，本部门对32个项目开展了绩效自评，</w:t>
      </w:r>
      <w:r>
        <w:rPr>
          <w:rFonts w:hint="eastAsia" w:ascii="Times New Roman" w:hAnsi="Times New Roman" w:eastAsia="方正仿宋_GBK" w:cs="宋体"/>
          <w:kern w:val="0"/>
          <w:sz w:val="32"/>
          <w:szCs w:val="32"/>
        </w:rPr>
        <w:t>其中，以委托第三方填报目标自评表形式开展自评32项，涉及资金</w:t>
      </w:r>
      <w:r>
        <w:rPr>
          <w:rFonts w:ascii="Times New Roman" w:hAnsi="Times New Roman" w:eastAsia="方正仿宋_GBK" w:cs="宋体"/>
          <w:kern w:val="0"/>
          <w:sz w:val="32"/>
          <w:szCs w:val="32"/>
        </w:rPr>
        <w:t>60</w:t>
      </w:r>
      <w:r>
        <w:rPr>
          <w:rFonts w:hint="eastAsia" w:ascii="Times New Roman" w:hAnsi="Times New Roman" w:eastAsia="方正仿宋_GBK" w:cs="宋体"/>
          <w:kern w:val="0"/>
          <w:sz w:val="32"/>
          <w:szCs w:val="32"/>
        </w:rPr>
        <w:t>,</w:t>
      </w:r>
      <w:r>
        <w:rPr>
          <w:rFonts w:ascii="Times New Roman" w:hAnsi="Times New Roman" w:eastAsia="方正仿宋_GBK" w:cs="宋体"/>
          <w:kern w:val="0"/>
          <w:sz w:val="32"/>
          <w:szCs w:val="32"/>
        </w:rPr>
        <w:t>949</w:t>
      </w:r>
      <w:r>
        <w:rPr>
          <w:rFonts w:hint="eastAsia" w:ascii="Times New Roman" w:hAnsi="Times New Roman" w:eastAsia="方正仿宋_GBK" w:cs="宋体"/>
          <w:kern w:val="0"/>
          <w:sz w:val="32"/>
          <w:szCs w:val="32"/>
        </w:rPr>
        <w:t>万元，</w:t>
      </w:r>
      <w:r>
        <w:rPr>
          <w:rFonts w:hint="eastAsia" w:ascii="方正仿宋_GBK" w:eastAsia="方正仿宋_GBK" w:cs="宋体"/>
          <w:sz w:val="32"/>
          <w:szCs w:val="32"/>
        </w:rPr>
        <w:t>从评价情况来看，指标设置合理。</w:t>
      </w:r>
    </w:p>
    <w:p>
      <w:pPr>
        <w:pStyle w:val="9"/>
        <w:tabs>
          <w:tab w:val="center" w:pos="4153"/>
          <w:tab w:val="left" w:pos="7275"/>
        </w:tabs>
        <w:spacing w:line="600" w:lineRule="exact"/>
        <w:ind w:firstLine="640"/>
        <w:jc w:val="left"/>
        <w:rPr>
          <w:rFonts w:hint="eastAsia" w:ascii="方正仿宋_GBK" w:eastAsia="方正仿宋_GBK" w:cs="宋体"/>
          <w:b/>
          <w:kern w:val="0"/>
          <w:sz w:val="32"/>
          <w:szCs w:val="32"/>
        </w:rPr>
      </w:pPr>
      <w:r>
        <w:rPr>
          <w:rFonts w:hint="eastAsia" w:ascii="方正仿宋_GBK" w:eastAsia="方正仿宋_GBK" w:cs="宋体"/>
          <w:b/>
          <w:kern w:val="0"/>
          <w:sz w:val="32"/>
          <w:szCs w:val="32"/>
        </w:rPr>
        <w:t>（二）绩效自评结果</w:t>
      </w:r>
    </w:p>
    <w:p>
      <w:pPr>
        <w:pStyle w:val="9"/>
        <w:tabs>
          <w:tab w:val="center" w:pos="4153"/>
          <w:tab w:val="left" w:pos="7275"/>
        </w:tabs>
        <w:spacing w:line="600" w:lineRule="exact"/>
        <w:ind w:firstLine="640"/>
        <w:rPr>
          <w:rFonts w:hint="eastAsia" w:ascii="方正仿宋_GBK" w:eastAsia="方正仿宋_GBK" w:cs="宋体"/>
          <w:kern w:val="0"/>
          <w:sz w:val="32"/>
          <w:szCs w:val="32"/>
        </w:rPr>
      </w:pPr>
      <w:r>
        <w:rPr>
          <w:rFonts w:hint="eastAsia" w:ascii="方正仿宋_GBK" w:eastAsia="方正仿宋_GBK" w:cs="宋体"/>
          <w:b/>
          <w:kern w:val="0"/>
          <w:sz w:val="32"/>
          <w:szCs w:val="32"/>
        </w:rPr>
        <w:t>1.绩效目标自评表</w:t>
      </w:r>
    </w:p>
    <w:p>
      <w:pPr>
        <w:pStyle w:val="9"/>
        <w:tabs>
          <w:tab w:val="center" w:pos="4153"/>
          <w:tab w:val="left" w:pos="7275"/>
        </w:tabs>
        <w:spacing w:line="600" w:lineRule="exact"/>
        <w:ind w:firstLine="640"/>
        <w:jc w:val="left"/>
        <w:rPr>
          <w:rFonts w:hint="eastAsia" w:ascii="方正仿宋_GBK" w:eastAsia="方正仿宋_GBK" w:cs="宋体"/>
          <w:sz w:val="32"/>
          <w:szCs w:val="32"/>
        </w:rPr>
      </w:pPr>
      <w:r>
        <w:rPr>
          <w:rFonts w:hint="eastAsia" w:ascii="方正仿宋_GBK" w:eastAsia="方正仿宋_GBK" w:cs="宋体"/>
          <w:sz w:val="32"/>
          <w:szCs w:val="32"/>
        </w:rPr>
        <w:t>农村供水工程运行管护项目绩效目标自评综述：根据年初设定的绩效目标，项目总体完成情况良好。项目全年预算数为1,000万元，执行数为</w:t>
      </w:r>
      <w:r>
        <w:rPr>
          <w:rFonts w:ascii="方正仿宋_GBK" w:eastAsia="方正仿宋_GBK" w:cs="宋体"/>
          <w:sz w:val="32"/>
          <w:szCs w:val="32"/>
        </w:rPr>
        <w:t>667.41</w:t>
      </w:r>
      <w:r>
        <w:rPr>
          <w:rFonts w:hint="eastAsia" w:ascii="方正仿宋_GBK" w:eastAsia="方正仿宋_GBK" w:cs="宋体"/>
          <w:sz w:val="32"/>
          <w:szCs w:val="32"/>
        </w:rPr>
        <w:t>万元，完成预算的66.74%。主要产出和效果：维修供水工程50处，保障供水工程良好运行，实现供水质量达标，覆盖服务人口15万人。</w:t>
      </w:r>
    </w:p>
    <w:p>
      <w:pPr>
        <w:pStyle w:val="9"/>
        <w:tabs>
          <w:tab w:val="center" w:pos="4153"/>
          <w:tab w:val="left" w:pos="7275"/>
        </w:tabs>
        <w:spacing w:line="600" w:lineRule="exact"/>
        <w:ind w:firstLine="640"/>
        <w:jc w:val="left"/>
        <w:rPr>
          <w:rFonts w:hint="eastAsia" w:ascii="方正仿宋_GBK" w:eastAsia="方正仿宋_GBK" w:cs="宋体"/>
          <w:color w:val="FF0000"/>
          <w:kern w:val="0"/>
          <w:sz w:val="32"/>
          <w:szCs w:val="32"/>
        </w:rPr>
      </w:pPr>
    </w:p>
    <w:tbl>
      <w:tblPr>
        <w:tblStyle w:val="6"/>
        <w:tblW w:w="5000" w:type="pct"/>
        <w:tblInd w:w="0" w:type="dxa"/>
        <w:tblLayout w:type="autofit"/>
        <w:tblCellMar>
          <w:top w:w="0" w:type="dxa"/>
          <w:left w:w="108" w:type="dxa"/>
          <w:bottom w:w="0" w:type="dxa"/>
          <w:right w:w="108" w:type="dxa"/>
        </w:tblCellMar>
      </w:tblPr>
      <w:tblGrid>
        <w:gridCol w:w="528"/>
        <w:gridCol w:w="528"/>
        <w:gridCol w:w="681"/>
        <w:gridCol w:w="990"/>
        <w:gridCol w:w="484"/>
        <w:gridCol w:w="1126"/>
        <w:gridCol w:w="1016"/>
        <w:gridCol w:w="783"/>
        <w:gridCol w:w="816"/>
        <w:gridCol w:w="1033"/>
        <w:gridCol w:w="1075"/>
      </w:tblGrid>
      <w:tr>
        <w:tblPrEx>
          <w:tblCellMar>
            <w:top w:w="0" w:type="dxa"/>
            <w:left w:w="108" w:type="dxa"/>
            <w:bottom w:w="0" w:type="dxa"/>
            <w:right w:w="108" w:type="dxa"/>
          </w:tblCellMar>
        </w:tblPrEx>
        <w:trPr>
          <w:trHeight w:val="525" w:hRule="atLeast"/>
        </w:trPr>
        <w:tc>
          <w:tcPr>
            <w:tcW w:w="5000" w:type="pct"/>
            <w:gridSpan w:val="11"/>
            <w:tcBorders>
              <w:top w:val="nil"/>
              <w:left w:val="nil"/>
              <w:bottom w:val="nil"/>
              <w:right w:val="nil"/>
            </w:tcBorders>
            <w:shd w:val="clear" w:color="auto" w:fill="auto"/>
            <w:vAlign w:val="center"/>
          </w:tcPr>
          <w:p>
            <w:pPr>
              <w:widowControl/>
              <w:jc w:val="center"/>
              <w:rPr>
                <w:rFonts w:ascii="Times New Roman" w:hAnsi="Times New Roman"/>
                <w:color w:val="000000"/>
                <w:kern w:val="0"/>
                <w:sz w:val="40"/>
                <w:szCs w:val="40"/>
              </w:rPr>
            </w:pPr>
            <w:r>
              <w:rPr>
                <w:rFonts w:hint="eastAsia" w:ascii="方正小标宋_GBK" w:hAnsi="Times New Roman" w:eastAsia="方正小标宋_GBK"/>
                <w:color w:val="000000"/>
                <w:kern w:val="0"/>
                <w:sz w:val="40"/>
                <w:szCs w:val="40"/>
              </w:rPr>
              <w:t>项目资金绩效目标自评表</w:t>
            </w:r>
          </w:p>
        </w:tc>
      </w:tr>
      <w:tr>
        <w:tblPrEx>
          <w:tblCellMar>
            <w:top w:w="0" w:type="dxa"/>
            <w:left w:w="108" w:type="dxa"/>
            <w:bottom w:w="0" w:type="dxa"/>
            <w:right w:w="108" w:type="dxa"/>
          </w:tblCellMar>
        </w:tblPrEx>
        <w:trPr>
          <w:trHeight w:val="300" w:hRule="atLeast"/>
        </w:trPr>
        <w:tc>
          <w:tcPr>
            <w:tcW w:w="5000" w:type="pct"/>
            <w:gridSpan w:val="11"/>
            <w:tcBorders>
              <w:top w:val="nil"/>
              <w:left w:val="nil"/>
              <w:bottom w:val="single" w:color="auto" w:sz="4" w:space="0"/>
              <w:right w:val="nil"/>
            </w:tcBorders>
            <w:shd w:val="clear" w:color="auto" w:fill="auto"/>
            <w:vAlign w:val="center"/>
          </w:tcPr>
          <w:p>
            <w:pPr>
              <w:widowControl/>
              <w:jc w:val="center"/>
              <w:rPr>
                <w:rFonts w:ascii="Times New Roman" w:hAnsi="Times New Roman"/>
                <w:color w:val="000000"/>
                <w:kern w:val="0"/>
                <w:sz w:val="20"/>
                <w:szCs w:val="20"/>
              </w:rPr>
            </w:pPr>
            <w:r>
              <w:rPr>
                <w:rFonts w:hint="eastAsia" w:ascii="方正仿宋_GBK" w:hAnsi="Times New Roman" w:eastAsia="方正仿宋_GBK"/>
                <w:color w:val="000000"/>
                <w:kern w:val="0"/>
                <w:sz w:val="20"/>
                <w:szCs w:val="20"/>
              </w:rPr>
              <w:t>（</w:t>
            </w:r>
            <w:r>
              <w:rPr>
                <w:rFonts w:ascii="Times New Roman" w:hAnsi="Times New Roman"/>
                <w:color w:val="000000"/>
                <w:kern w:val="0"/>
                <w:sz w:val="20"/>
                <w:szCs w:val="20"/>
              </w:rPr>
              <w:t>2020</w:t>
            </w:r>
            <w:r>
              <w:rPr>
                <w:rFonts w:hint="eastAsia" w:ascii="方正仿宋_GBK" w:hAnsi="Times New Roman" w:eastAsia="方正仿宋_GBK"/>
                <w:color w:val="000000"/>
                <w:kern w:val="0"/>
                <w:sz w:val="20"/>
                <w:szCs w:val="20"/>
              </w:rPr>
              <w:t>年度）</w:t>
            </w:r>
          </w:p>
        </w:tc>
      </w:tr>
      <w:tr>
        <w:tblPrEx>
          <w:tblCellMar>
            <w:top w:w="0" w:type="dxa"/>
            <w:left w:w="108" w:type="dxa"/>
            <w:bottom w:w="0" w:type="dxa"/>
            <w:right w:w="108" w:type="dxa"/>
          </w:tblCellMar>
        </w:tblPrEx>
        <w:trPr>
          <w:trHeight w:val="480" w:hRule="atLeast"/>
        </w:trPr>
        <w:tc>
          <w:tcPr>
            <w:tcW w:w="735"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Times New Roman" w:hAnsi="Times New Roman"/>
                <w:color w:val="000000"/>
                <w:kern w:val="0"/>
                <w:sz w:val="20"/>
                <w:szCs w:val="20"/>
              </w:rPr>
            </w:pPr>
            <w:r>
              <w:rPr>
                <w:rFonts w:hint="eastAsia" w:ascii="宋体" w:hAnsi="宋体"/>
                <w:color w:val="000000"/>
                <w:kern w:val="0"/>
                <w:sz w:val="20"/>
                <w:szCs w:val="20"/>
              </w:rPr>
              <w:t>专项（项目）名称</w:t>
            </w:r>
          </w:p>
        </w:tc>
        <w:tc>
          <w:tcPr>
            <w:tcW w:w="1993"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2020</w:t>
            </w:r>
            <w:r>
              <w:rPr>
                <w:rFonts w:hint="eastAsia" w:ascii="宋体" w:hAnsi="宋体"/>
                <w:color w:val="000000"/>
                <w:kern w:val="0"/>
                <w:sz w:val="20"/>
                <w:szCs w:val="20"/>
              </w:rPr>
              <w:t>年农村供水工程运行管护费</w:t>
            </w:r>
          </w:p>
        </w:tc>
        <w:tc>
          <w:tcPr>
            <w:tcW w:w="36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hint="eastAsia" w:ascii="宋体" w:hAnsi="宋体"/>
                <w:color w:val="000000"/>
                <w:kern w:val="0"/>
                <w:sz w:val="20"/>
                <w:szCs w:val="20"/>
              </w:rPr>
              <w:t>自评总分（分）</w:t>
            </w:r>
          </w:p>
        </w:tc>
        <w:tc>
          <w:tcPr>
            <w:tcW w:w="1905"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 xml:space="preserve">96.67 </w:t>
            </w:r>
          </w:p>
        </w:tc>
      </w:tr>
      <w:tr>
        <w:tblPrEx>
          <w:tblCellMar>
            <w:top w:w="0" w:type="dxa"/>
            <w:left w:w="108" w:type="dxa"/>
            <w:bottom w:w="0" w:type="dxa"/>
            <w:right w:w="108" w:type="dxa"/>
          </w:tblCellMar>
        </w:tblPrEx>
        <w:trPr>
          <w:trHeight w:val="480" w:hRule="atLeast"/>
        </w:trPr>
        <w:tc>
          <w:tcPr>
            <w:tcW w:w="735" w:type="pct"/>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Times New Roman" w:hAnsi="Times New Roman"/>
                <w:color w:val="000000"/>
                <w:kern w:val="0"/>
                <w:sz w:val="20"/>
                <w:szCs w:val="20"/>
              </w:rPr>
            </w:pPr>
            <w:r>
              <w:rPr>
                <w:rFonts w:hint="eastAsia" w:ascii="宋体" w:hAnsi="宋体"/>
                <w:color w:val="000000"/>
                <w:kern w:val="0"/>
                <w:sz w:val="20"/>
                <w:szCs w:val="20"/>
              </w:rPr>
              <w:t>主管部门</w:t>
            </w:r>
          </w:p>
        </w:tc>
        <w:tc>
          <w:tcPr>
            <w:tcW w:w="1993" w:type="pct"/>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Times New Roman" w:hAnsi="Times New Roman"/>
                <w:color w:val="000000"/>
                <w:kern w:val="0"/>
                <w:sz w:val="20"/>
                <w:szCs w:val="20"/>
              </w:rPr>
            </w:pPr>
            <w:r>
              <w:rPr>
                <w:rFonts w:hint="eastAsia" w:ascii="宋体" w:hAnsi="宋体"/>
                <w:color w:val="000000"/>
                <w:kern w:val="0"/>
                <w:sz w:val="20"/>
                <w:szCs w:val="20"/>
              </w:rPr>
              <w:t>重庆市江津区水利局</w:t>
            </w:r>
          </w:p>
        </w:tc>
        <w:tc>
          <w:tcPr>
            <w:tcW w:w="36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hint="eastAsia" w:ascii="宋体" w:hAnsi="宋体"/>
                <w:color w:val="000000"/>
                <w:kern w:val="0"/>
                <w:sz w:val="20"/>
                <w:szCs w:val="20"/>
              </w:rPr>
              <w:t>实施单位</w:t>
            </w:r>
          </w:p>
        </w:tc>
        <w:tc>
          <w:tcPr>
            <w:tcW w:w="1905"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color w:val="000000"/>
                <w:kern w:val="0"/>
                <w:sz w:val="20"/>
                <w:szCs w:val="20"/>
              </w:rPr>
            </w:pPr>
            <w:r>
              <w:rPr>
                <w:rFonts w:hint="eastAsia" w:ascii="宋体" w:hAnsi="宋体"/>
                <w:color w:val="000000"/>
                <w:kern w:val="0"/>
                <w:sz w:val="20"/>
                <w:szCs w:val="20"/>
              </w:rPr>
              <w:t>重庆市江津区水利局</w:t>
            </w:r>
          </w:p>
        </w:tc>
      </w:tr>
      <w:tr>
        <w:tblPrEx>
          <w:tblCellMar>
            <w:top w:w="0" w:type="dxa"/>
            <w:left w:w="108" w:type="dxa"/>
            <w:bottom w:w="0" w:type="dxa"/>
            <w:right w:w="108" w:type="dxa"/>
          </w:tblCellMar>
        </w:tblPrEx>
        <w:trPr>
          <w:trHeight w:val="495" w:hRule="atLeast"/>
        </w:trPr>
        <w:tc>
          <w:tcPr>
            <w:tcW w:w="735"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Times New Roman" w:hAnsi="Times New Roman"/>
                <w:color w:val="000000"/>
                <w:kern w:val="0"/>
                <w:sz w:val="20"/>
                <w:szCs w:val="20"/>
              </w:rPr>
            </w:pPr>
            <w:r>
              <w:rPr>
                <w:rFonts w:hint="eastAsia" w:ascii="宋体" w:hAnsi="宋体"/>
                <w:color w:val="000000"/>
                <w:kern w:val="0"/>
                <w:sz w:val="20"/>
                <w:szCs w:val="20"/>
              </w:rPr>
              <w:t>联系人</w:t>
            </w:r>
          </w:p>
        </w:tc>
        <w:tc>
          <w:tcPr>
            <w:tcW w:w="1993"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刘春</w:t>
            </w:r>
          </w:p>
        </w:tc>
        <w:tc>
          <w:tcPr>
            <w:tcW w:w="36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hint="eastAsia" w:ascii="宋体" w:hAnsi="宋体"/>
                <w:kern w:val="0"/>
                <w:sz w:val="20"/>
                <w:szCs w:val="20"/>
              </w:rPr>
              <w:t>联系电话</w:t>
            </w:r>
          </w:p>
        </w:tc>
        <w:tc>
          <w:tcPr>
            <w:tcW w:w="1905"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0"/>
                <w:szCs w:val="20"/>
              </w:rPr>
            </w:pPr>
            <w:r>
              <w:rPr>
                <w:rFonts w:ascii="Times New Roman" w:hAnsi="Times New Roman"/>
                <w:kern w:val="0"/>
                <w:sz w:val="20"/>
                <w:szCs w:val="20"/>
              </w:rPr>
              <w:t>13708309175</w:t>
            </w:r>
          </w:p>
        </w:tc>
      </w:tr>
      <w:tr>
        <w:tblPrEx>
          <w:tblCellMar>
            <w:top w:w="0" w:type="dxa"/>
            <w:left w:w="108" w:type="dxa"/>
            <w:bottom w:w="0" w:type="dxa"/>
            <w:right w:w="108" w:type="dxa"/>
          </w:tblCellMar>
        </w:tblPrEx>
        <w:trPr>
          <w:trHeight w:val="720" w:hRule="atLeast"/>
        </w:trPr>
        <w:tc>
          <w:tcPr>
            <w:tcW w:w="735"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hint="eastAsia" w:ascii="宋体" w:hAnsi="宋体"/>
                <w:color w:val="000000"/>
                <w:kern w:val="0"/>
                <w:sz w:val="20"/>
                <w:szCs w:val="20"/>
              </w:rPr>
              <w:t>项目资金（万元）</w:t>
            </w:r>
          </w:p>
        </w:tc>
        <w:tc>
          <w:tcPr>
            <w:tcW w:w="1993"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color w:val="000000"/>
                <w:kern w:val="0"/>
                <w:sz w:val="20"/>
                <w:szCs w:val="20"/>
              </w:rPr>
            </w:pPr>
            <w:r>
              <w:rPr>
                <w:rFonts w:hint="eastAsia" w:ascii="宋体" w:hAnsi="宋体"/>
                <w:color w:val="000000"/>
                <w:kern w:val="0"/>
                <w:sz w:val="20"/>
                <w:szCs w:val="20"/>
              </w:rPr>
              <w:t>全年预算数（</w:t>
            </w:r>
            <w:r>
              <w:rPr>
                <w:rFonts w:ascii="Times New Roman" w:hAnsi="Times New Roman"/>
                <w:color w:val="000000"/>
                <w:kern w:val="0"/>
                <w:sz w:val="20"/>
                <w:szCs w:val="20"/>
              </w:rPr>
              <w:t>A</w:t>
            </w:r>
            <w:r>
              <w:rPr>
                <w:rFonts w:hint="eastAsia" w:ascii="宋体" w:hAnsi="宋体"/>
                <w:color w:val="000000"/>
                <w:kern w:val="0"/>
                <w:sz w:val="20"/>
                <w:szCs w:val="20"/>
              </w:rPr>
              <w:t>）</w:t>
            </w:r>
          </w:p>
        </w:tc>
        <w:tc>
          <w:tcPr>
            <w:tcW w:w="1102"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color w:val="000000"/>
                <w:kern w:val="0"/>
                <w:sz w:val="20"/>
                <w:szCs w:val="20"/>
              </w:rPr>
            </w:pPr>
            <w:r>
              <w:rPr>
                <w:rFonts w:hint="eastAsia" w:ascii="宋体" w:hAnsi="宋体"/>
                <w:color w:val="000000"/>
                <w:kern w:val="0"/>
                <w:sz w:val="20"/>
                <w:szCs w:val="20"/>
              </w:rPr>
              <w:t>全年执行数（</w:t>
            </w:r>
            <w:r>
              <w:rPr>
                <w:rFonts w:ascii="Times New Roman" w:hAnsi="Times New Roman"/>
                <w:color w:val="000000"/>
                <w:kern w:val="0"/>
                <w:sz w:val="20"/>
                <w:szCs w:val="20"/>
              </w:rPr>
              <w:t>B</w:t>
            </w:r>
            <w:r>
              <w:rPr>
                <w:rFonts w:hint="eastAsia" w:ascii="宋体" w:hAnsi="宋体"/>
                <w:color w:val="000000"/>
                <w:kern w:val="0"/>
                <w:sz w:val="20"/>
                <w:szCs w:val="20"/>
              </w:rPr>
              <w:t>）</w:t>
            </w:r>
          </w:p>
        </w:tc>
        <w:tc>
          <w:tcPr>
            <w:tcW w:w="47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hint="eastAsia" w:ascii="宋体" w:hAnsi="宋体"/>
                <w:color w:val="000000"/>
                <w:kern w:val="0"/>
                <w:sz w:val="20"/>
                <w:szCs w:val="20"/>
              </w:rPr>
              <w:t>执行率（</w:t>
            </w:r>
            <w:r>
              <w:rPr>
                <w:rFonts w:ascii="Times New Roman" w:hAnsi="Times New Roman"/>
                <w:color w:val="000000"/>
                <w:kern w:val="0"/>
                <w:sz w:val="20"/>
                <w:szCs w:val="20"/>
              </w:rPr>
              <w:t>B/A,%)</w:t>
            </w:r>
          </w:p>
        </w:tc>
        <w:tc>
          <w:tcPr>
            <w:tcW w:w="69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hint="eastAsia" w:ascii="宋体" w:hAnsi="宋体"/>
                <w:color w:val="000000"/>
                <w:kern w:val="0"/>
                <w:sz w:val="20"/>
                <w:szCs w:val="20"/>
              </w:rPr>
              <w:t>执行率得分（分）</w:t>
            </w:r>
          </w:p>
        </w:tc>
      </w:tr>
      <w:tr>
        <w:tblPrEx>
          <w:tblCellMar>
            <w:top w:w="0" w:type="dxa"/>
            <w:left w:w="108" w:type="dxa"/>
            <w:bottom w:w="0" w:type="dxa"/>
            <w:right w:w="108" w:type="dxa"/>
          </w:tblCellMar>
        </w:tblPrEx>
        <w:trPr>
          <w:trHeight w:val="672" w:hRule="atLeast"/>
        </w:trPr>
        <w:tc>
          <w:tcPr>
            <w:tcW w:w="735"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0"/>
                <w:szCs w:val="20"/>
              </w:rPr>
            </w:pPr>
          </w:p>
        </w:tc>
        <w:tc>
          <w:tcPr>
            <w:tcW w:w="52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hint="eastAsia" w:ascii="宋体" w:hAnsi="宋体"/>
                <w:color w:val="000000"/>
                <w:kern w:val="0"/>
                <w:sz w:val="20"/>
                <w:szCs w:val="20"/>
              </w:rPr>
              <w:t>总量</w:t>
            </w:r>
          </w:p>
        </w:tc>
        <w:tc>
          <w:tcPr>
            <w:tcW w:w="1469"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1000</w:t>
            </w:r>
          </w:p>
        </w:tc>
        <w:tc>
          <w:tcPr>
            <w:tcW w:w="36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hint="eastAsia" w:ascii="宋体" w:hAnsi="宋体"/>
                <w:color w:val="000000"/>
                <w:kern w:val="0"/>
                <w:sz w:val="20"/>
                <w:szCs w:val="20"/>
              </w:rPr>
              <w:t>总量</w:t>
            </w:r>
          </w:p>
        </w:tc>
        <w:tc>
          <w:tcPr>
            <w:tcW w:w="735"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667.41</w:t>
            </w:r>
          </w:p>
        </w:tc>
        <w:tc>
          <w:tcPr>
            <w:tcW w:w="47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66.74%</w:t>
            </w:r>
          </w:p>
        </w:tc>
        <w:tc>
          <w:tcPr>
            <w:tcW w:w="69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 xml:space="preserve">6.67 </w:t>
            </w:r>
          </w:p>
        </w:tc>
      </w:tr>
      <w:tr>
        <w:tblPrEx>
          <w:tblCellMar>
            <w:top w:w="0" w:type="dxa"/>
            <w:left w:w="108" w:type="dxa"/>
            <w:bottom w:w="0" w:type="dxa"/>
            <w:right w:w="108" w:type="dxa"/>
          </w:tblCellMar>
        </w:tblPrEx>
        <w:trPr>
          <w:trHeight w:val="758" w:hRule="atLeast"/>
        </w:trPr>
        <w:tc>
          <w:tcPr>
            <w:tcW w:w="735"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0"/>
                <w:szCs w:val="20"/>
              </w:rPr>
            </w:pPr>
          </w:p>
        </w:tc>
        <w:tc>
          <w:tcPr>
            <w:tcW w:w="524"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hint="eastAsia" w:ascii="宋体" w:hAnsi="宋体"/>
                <w:color w:val="000000"/>
                <w:kern w:val="0"/>
                <w:sz w:val="20"/>
                <w:szCs w:val="20"/>
              </w:rPr>
              <w:t>其中：财政资金</w:t>
            </w:r>
          </w:p>
        </w:tc>
        <w:tc>
          <w:tcPr>
            <w:tcW w:w="1469"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1000</w:t>
            </w:r>
          </w:p>
        </w:tc>
        <w:tc>
          <w:tcPr>
            <w:tcW w:w="367"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hint="eastAsia" w:ascii="宋体" w:hAnsi="宋体"/>
                <w:color w:val="000000"/>
                <w:kern w:val="0"/>
                <w:sz w:val="20"/>
                <w:szCs w:val="20"/>
              </w:rPr>
              <w:t>其中：财政资金</w:t>
            </w:r>
          </w:p>
        </w:tc>
        <w:tc>
          <w:tcPr>
            <w:tcW w:w="735"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667.41</w:t>
            </w:r>
          </w:p>
        </w:tc>
        <w:tc>
          <w:tcPr>
            <w:tcW w:w="476"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　</w:t>
            </w:r>
          </w:p>
        </w:tc>
        <w:tc>
          <w:tcPr>
            <w:tcW w:w="694"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0"/>
                <w:szCs w:val="20"/>
              </w:rPr>
            </w:pPr>
            <w:r>
              <w:rPr>
                <w:rFonts w:ascii="Times New Roman" w:hAnsi="Times New Roman"/>
                <w:color w:val="000000"/>
                <w:kern w:val="0"/>
                <w:sz w:val="20"/>
                <w:szCs w:val="20"/>
              </w:rPr>
              <w:t>　</w:t>
            </w:r>
          </w:p>
        </w:tc>
      </w:tr>
      <w:tr>
        <w:tblPrEx>
          <w:tblCellMar>
            <w:top w:w="0" w:type="dxa"/>
            <w:left w:w="108" w:type="dxa"/>
            <w:bottom w:w="0" w:type="dxa"/>
            <w:right w:w="108" w:type="dxa"/>
          </w:tblCellMar>
        </w:tblPrEx>
        <w:trPr>
          <w:trHeight w:val="822" w:hRule="atLeast"/>
        </w:trPr>
        <w:tc>
          <w:tcPr>
            <w:tcW w:w="735" w:type="pct"/>
            <w:gridSpan w:val="2"/>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Times New Roman" w:hAnsi="Times New Roman"/>
                <w:color w:val="000000"/>
                <w:kern w:val="0"/>
                <w:sz w:val="20"/>
                <w:szCs w:val="20"/>
              </w:rPr>
            </w:pPr>
            <w:r>
              <w:rPr>
                <w:rFonts w:hint="eastAsia" w:ascii="宋体" w:hAnsi="宋体"/>
                <w:color w:val="000000"/>
                <w:kern w:val="0"/>
                <w:sz w:val="20"/>
                <w:szCs w:val="20"/>
              </w:rPr>
              <w:t>年度总体目标</w:t>
            </w:r>
          </w:p>
        </w:tc>
        <w:tc>
          <w:tcPr>
            <w:tcW w:w="236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hint="eastAsia" w:ascii="宋体" w:hAnsi="宋体"/>
                <w:color w:val="000000"/>
                <w:kern w:val="0"/>
                <w:sz w:val="20"/>
                <w:szCs w:val="20"/>
              </w:rPr>
              <w:t>年初设定目标</w:t>
            </w:r>
          </w:p>
        </w:tc>
        <w:tc>
          <w:tcPr>
            <w:tcW w:w="1905"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hint="eastAsia" w:ascii="宋体" w:hAnsi="宋体"/>
                <w:color w:val="000000"/>
                <w:kern w:val="0"/>
                <w:sz w:val="20"/>
                <w:szCs w:val="20"/>
              </w:rPr>
              <w:t>全年目标实际完成情况</w:t>
            </w:r>
          </w:p>
        </w:tc>
      </w:tr>
      <w:tr>
        <w:tblPrEx>
          <w:tblCellMar>
            <w:top w:w="0" w:type="dxa"/>
            <w:left w:w="108" w:type="dxa"/>
            <w:bottom w:w="0" w:type="dxa"/>
            <w:right w:w="108" w:type="dxa"/>
          </w:tblCellMar>
        </w:tblPrEx>
        <w:trPr>
          <w:trHeight w:val="1440" w:hRule="atLeast"/>
        </w:trPr>
        <w:tc>
          <w:tcPr>
            <w:tcW w:w="735" w:type="pct"/>
            <w:gridSpan w:val="2"/>
            <w:vMerge w:val="continue"/>
            <w:tcBorders>
              <w:top w:val="single" w:color="auto" w:sz="4" w:space="0"/>
              <w:left w:val="single" w:color="auto" w:sz="4" w:space="0"/>
              <w:bottom w:val="single" w:color="000000" w:sz="4" w:space="0"/>
              <w:right w:val="nil"/>
            </w:tcBorders>
            <w:vAlign w:val="center"/>
          </w:tcPr>
          <w:p>
            <w:pPr>
              <w:widowControl/>
              <w:jc w:val="left"/>
              <w:rPr>
                <w:rFonts w:ascii="Times New Roman" w:hAnsi="Times New Roman"/>
                <w:color w:val="000000"/>
                <w:kern w:val="0"/>
                <w:sz w:val="20"/>
                <w:szCs w:val="20"/>
              </w:rPr>
            </w:pPr>
          </w:p>
        </w:tc>
        <w:tc>
          <w:tcPr>
            <w:tcW w:w="236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hint="eastAsia" w:ascii="宋体" w:hAnsi="宋体"/>
                <w:color w:val="000000"/>
                <w:kern w:val="0"/>
                <w:sz w:val="20"/>
                <w:szCs w:val="20"/>
              </w:rPr>
              <w:t>全区</w:t>
            </w:r>
            <w:r>
              <w:rPr>
                <w:rFonts w:ascii="Times New Roman" w:hAnsi="Times New Roman"/>
                <w:color w:val="000000"/>
                <w:kern w:val="0"/>
                <w:sz w:val="20"/>
                <w:szCs w:val="20"/>
              </w:rPr>
              <w:t>129</w:t>
            </w:r>
            <w:r>
              <w:rPr>
                <w:rFonts w:hint="eastAsia" w:ascii="宋体" w:hAnsi="宋体"/>
                <w:color w:val="000000"/>
                <w:kern w:val="0"/>
                <w:sz w:val="20"/>
                <w:szCs w:val="20"/>
              </w:rPr>
              <w:t>处农村供水工程运行管护。</w:t>
            </w:r>
          </w:p>
        </w:tc>
        <w:tc>
          <w:tcPr>
            <w:tcW w:w="1905"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完成全区</w:t>
            </w:r>
            <w:r>
              <w:rPr>
                <w:rFonts w:ascii="Times New Roman" w:hAnsi="Times New Roman"/>
                <w:color w:val="000000"/>
                <w:kern w:val="0"/>
                <w:sz w:val="20"/>
                <w:szCs w:val="20"/>
              </w:rPr>
              <w:t>129</w:t>
            </w:r>
            <w:r>
              <w:rPr>
                <w:rFonts w:hint="eastAsia" w:ascii="宋体" w:hAnsi="宋体" w:cs="宋体"/>
                <w:color w:val="000000"/>
                <w:kern w:val="0"/>
                <w:sz w:val="20"/>
                <w:szCs w:val="20"/>
              </w:rPr>
              <w:t>处农村供水工程运行管护，供水工程完好率达</w:t>
            </w:r>
            <w:r>
              <w:rPr>
                <w:rFonts w:ascii="Times New Roman" w:hAnsi="Times New Roman"/>
                <w:color w:val="000000"/>
                <w:kern w:val="0"/>
                <w:sz w:val="20"/>
                <w:szCs w:val="20"/>
              </w:rPr>
              <w:t>90</w:t>
            </w: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495" w:hRule="atLeast"/>
        </w:trPr>
        <w:tc>
          <w:tcPr>
            <w:tcW w:w="367" w:type="pct"/>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Times New Roman" w:hAnsi="Times New Roman"/>
                <w:color w:val="000000"/>
                <w:kern w:val="0"/>
                <w:sz w:val="20"/>
                <w:szCs w:val="20"/>
              </w:rPr>
            </w:pPr>
            <w:r>
              <w:rPr>
                <w:rFonts w:hint="eastAsia" w:ascii="宋体" w:hAnsi="宋体"/>
                <w:color w:val="000000"/>
                <w:kern w:val="0"/>
                <w:sz w:val="20"/>
                <w:szCs w:val="20"/>
              </w:rPr>
              <w:t>绩效指标</w:t>
            </w:r>
          </w:p>
        </w:tc>
        <w:tc>
          <w:tcPr>
            <w:tcW w:w="36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hint="eastAsia" w:ascii="宋体" w:hAnsi="宋体"/>
                <w:color w:val="000000"/>
                <w:kern w:val="0"/>
                <w:sz w:val="20"/>
                <w:szCs w:val="20"/>
              </w:rPr>
              <w:t>一级指标</w:t>
            </w:r>
          </w:p>
        </w:tc>
        <w:tc>
          <w:tcPr>
            <w:tcW w:w="52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hint="eastAsia" w:ascii="宋体" w:hAnsi="宋体"/>
                <w:color w:val="000000"/>
                <w:kern w:val="0"/>
                <w:sz w:val="20"/>
                <w:szCs w:val="20"/>
              </w:rPr>
              <w:t>二级指标</w:t>
            </w:r>
          </w:p>
        </w:tc>
        <w:tc>
          <w:tcPr>
            <w:tcW w:w="64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hint="eastAsia" w:ascii="宋体" w:hAnsi="宋体"/>
                <w:color w:val="000000"/>
                <w:kern w:val="0"/>
                <w:sz w:val="20"/>
                <w:szCs w:val="20"/>
              </w:rPr>
              <w:t>三级指标</w:t>
            </w:r>
          </w:p>
        </w:tc>
        <w:tc>
          <w:tcPr>
            <w:tcW w:w="36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hint="eastAsia" w:ascii="宋体" w:hAnsi="宋体"/>
                <w:color w:val="000000"/>
                <w:kern w:val="0"/>
                <w:sz w:val="20"/>
                <w:szCs w:val="20"/>
              </w:rPr>
              <w:t>计量单位</w:t>
            </w:r>
          </w:p>
        </w:tc>
        <w:tc>
          <w:tcPr>
            <w:tcW w:w="45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hint="eastAsia" w:ascii="宋体" w:hAnsi="宋体"/>
                <w:color w:val="000000"/>
                <w:kern w:val="0"/>
                <w:sz w:val="20"/>
                <w:szCs w:val="20"/>
              </w:rPr>
              <w:t>年度指标值</w:t>
            </w:r>
          </w:p>
        </w:tc>
        <w:tc>
          <w:tcPr>
            <w:tcW w:w="36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hint="eastAsia" w:ascii="宋体" w:hAnsi="宋体"/>
                <w:color w:val="000000"/>
                <w:kern w:val="0"/>
                <w:sz w:val="20"/>
                <w:szCs w:val="20"/>
              </w:rPr>
              <w:t>全年完成值</w:t>
            </w:r>
          </w:p>
        </w:tc>
        <w:tc>
          <w:tcPr>
            <w:tcW w:w="36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hint="eastAsia" w:ascii="宋体" w:hAnsi="宋体"/>
                <w:color w:val="000000"/>
                <w:kern w:val="0"/>
                <w:sz w:val="20"/>
                <w:szCs w:val="20"/>
              </w:rPr>
              <w:t>得分系数（</w:t>
            </w:r>
            <w:r>
              <w:rPr>
                <w:rFonts w:ascii="Times New Roman" w:hAnsi="Times New Roman"/>
                <w:color w:val="000000"/>
                <w:kern w:val="0"/>
                <w:sz w:val="20"/>
                <w:szCs w:val="20"/>
              </w:rPr>
              <w:t>%</w:t>
            </w:r>
            <w:r>
              <w:rPr>
                <w:rFonts w:hint="eastAsia" w:ascii="宋体" w:hAnsi="宋体"/>
                <w:color w:val="000000"/>
                <w:kern w:val="0"/>
                <w:sz w:val="20"/>
                <w:szCs w:val="20"/>
              </w:rPr>
              <w:t>）</w:t>
            </w:r>
          </w:p>
        </w:tc>
        <w:tc>
          <w:tcPr>
            <w:tcW w:w="36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hint="eastAsia" w:ascii="宋体" w:hAnsi="宋体"/>
                <w:color w:val="000000"/>
                <w:kern w:val="0"/>
                <w:sz w:val="20"/>
                <w:szCs w:val="20"/>
              </w:rPr>
              <w:t>权重（分）</w:t>
            </w:r>
          </w:p>
        </w:tc>
        <w:tc>
          <w:tcPr>
            <w:tcW w:w="47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hint="eastAsia" w:ascii="宋体" w:hAnsi="宋体"/>
                <w:color w:val="000000"/>
                <w:kern w:val="0"/>
                <w:sz w:val="20"/>
                <w:szCs w:val="20"/>
              </w:rPr>
              <w:t>指标得分（分）</w:t>
            </w:r>
          </w:p>
        </w:tc>
        <w:tc>
          <w:tcPr>
            <w:tcW w:w="69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hint="eastAsia" w:ascii="宋体" w:hAnsi="宋体"/>
                <w:color w:val="000000"/>
                <w:kern w:val="0"/>
                <w:sz w:val="20"/>
                <w:szCs w:val="20"/>
              </w:rPr>
              <w:t>未完成原因和改进措施</w:t>
            </w:r>
            <w:r>
              <w:rPr>
                <w:rFonts w:ascii="Times New Roman" w:hAnsi="Times New Roman"/>
                <w:color w:val="000000"/>
                <w:kern w:val="0"/>
                <w:sz w:val="20"/>
                <w:szCs w:val="20"/>
              </w:rPr>
              <w:br w:type="textWrapping"/>
            </w:r>
            <w:r>
              <w:rPr>
                <w:rFonts w:hint="eastAsia" w:ascii="宋体" w:hAnsi="宋体"/>
                <w:color w:val="000000"/>
                <w:kern w:val="0"/>
                <w:sz w:val="20"/>
                <w:szCs w:val="20"/>
              </w:rPr>
              <w:t>及相关说明</w:t>
            </w:r>
          </w:p>
        </w:tc>
      </w:tr>
      <w:tr>
        <w:tblPrEx>
          <w:tblCellMar>
            <w:top w:w="0" w:type="dxa"/>
            <w:left w:w="108" w:type="dxa"/>
            <w:bottom w:w="0" w:type="dxa"/>
            <w:right w:w="108" w:type="dxa"/>
          </w:tblCellMar>
        </w:tblPrEx>
        <w:trPr>
          <w:trHeight w:val="480" w:hRule="atLeast"/>
        </w:trPr>
        <w:tc>
          <w:tcPr>
            <w:tcW w:w="36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0"/>
                <w:szCs w:val="20"/>
              </w:rPr>
            </w:pPr>
          </w:p>
        </w:tc>
        <w:tc>
          <w:tcPr>
            <w:tcW w:w="367" w:type="pct"/>
            <w:vMerge w:val="restart"/>
            <w:tcBorders>
              <w:top w:val="nil"/>
              <w:left w:val="single" w:color="auto" w:sz="4" w:space="0"/>
              <w:bottom w:val="nil"/>
              <w:right w:val="single" w:color="auto" w:sz="4" w:space="0"/>
            </w:tcBorders>
            <w:shd w:val="clear" w:color="auto" w:fill="auto"/>
            <w:textDirection w:val="tbRlV"/>
            <w:vAlign w:val="center"/>
          </w:tcPr>
          <w:p>
            <w:pPr>
              <w:widowControl/>
              <w:jc w:val="center"/>
              <w:rPr>
                <w:rFonts w:ascii="Times New Roman" w:hAnsi="Times New Roman"/>
                <w:color w:val="000000"/>
                <w:kern w:val="0"/>
                <w:sz w:val="20"/>
                <w:szCs w:val="20"/>
              </w:rPr>
            </w:pPr>
            <w:r>
              <w:rPr>
                <w:rFonts w:hint="eastAsia" w:ascii="宋体" w:hAnsi="宋体"/>
                <w:color w:val="000000"/>
                <w:kern w:val="0"/>
                <w:sz w:val="20"/>
                <w:szCs w:val="20"/>
              </w:rPr>
              <w:t>产出指标（</w:t>
            </w:r>
            <w:r>
              <w:rPr>
                <w:rFonts w:ascii="Times New Roman" w:hAnsi="Times New Roman"/>
                <w:color w:val="000000"/>
                <w:kern w:val="0"/>
                <w:sz w:val="20"/>
                <w:szCs w:val="20"/>
              </w:rPr>
              <w:t>50</w:t>
            </w:r>
            <w:r>
              <w:rPr>
                <w:rFonts w:hint="eastAsia" w:ascii="宋体" w:hAnsi="宋体"/>
                <w:color w:val="000000"/>
                <w:kern w:val="0"/>
                <w:sz w:val="20"/>
                <w:szCs w:val="20"/>
              </w:rPr>
              <w:t>分）</w:t>
            </w:r>
          </w:p>
        </w:tc>
        <w:tc>
          <w:tcPr>
            <w:tcW w:w="524" w:type="pct"/>
            <w:tcBorders>
              <w:top w:val="nil"/>
              <w:left w:val="nil"/>
              <w:bottom w:val="nil"/>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hint="eastAsia" w:ascii="宋体" w:hAnsi="宋体"/>
                <w:color w:val="000000"/>
                <w:kern w:val="0"/>
                <w:sz w:val="20"/>
                <w:szCs w:val="20"/>
              </w:rPr>
              <w:t>数量指标</w:t>
            </w:r>
          </w:p>
        </w:tc>
        <w:tc>
          <w:tcPr>
            <w:tcW w:w="64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供水数量</w:t>
            </w:r>
          </w:p>
        </w:tc>
        <w:tc>
          <w:tcPr>
            <w:tcW w:w="36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hint="eastAsia" w:ascii="宋体" w:hAnsi="宋体"/>
                <w:color w:val="000000"/>
                <w:kern w:val="0"/>
                <w:sz w:val="20"/>
                <w:szCs w:val="20"/>
              </w:rPr>
              <w:t>立方米</w:t>
            </w:r>
          </w:p>
        </w:tc>
        <w:tc>
          <w:tcPr>
            <w:tcW w:w="45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≥18000000</w:t>
            </w:r>
          </w:p>
        </w:tc>
        <w:tc>
          <w:tcPr>
            <w:tcW w:w="36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18000000</w:t>
            </w:r>
          </w:p>
        </w:tc>
        <w:tc>
          <w:tcPr>
            <w:tcW w:w="36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36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5</w:t>
            </w:r>
          </w:p>
        </w:tc>
        <w:tc>
          <w:tcPr>
            <w:tcW w:w="47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5</w:t>
            </w:r>
          </w:p>
        </w:tc>
        <w:tc>
          <w:tcPr>
            <w:tcW w:w="69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r>
      <w:tr>
        <w:tblPrEx>
          <w:tblCellMar>
            <w:top w:w="0" w:type="dxa"/>
            <w:left w:w="108" w:type="dxa"/>
            <w:bottom w:w="0" w:type="dxa"/>
            <w:right w:w="108" w:type="dxa"/>
          </w:tblCellMar>
        </w:tblPrEx>
        <w:trPr>
          <w:trHeight w:val="582" w:hRule="atLeast"/>
        </w:trPr>
        <w:tc>
          <w:tcPr>
            <w:tcW w:w="36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0"/>
                <w:szCs w:val="20"/>
              </w:rPr>
            </w:pPr>
          </w:p>
        </w:tc>
        <w:tc>
          <w:tcPr>
            <w:tcW w:w="367" w:type="pct"/>
            <w:vMerge w:val="continue"/>
            <w:tcBorders>
              <w:top w:val="nil"/>
              <w:left w:val="single" w:color="auto" w:sz="4" w:space="0"/>
              <w:bottom w:val="nil"/>
              <w:right w:val="single" w:color="auto" w:sz="4" w:space="0"/>
            </w:tcBorders>
            <w:vAlign w:val="center"/>
          </w:tcPr>
          <w:p>
            <w:pPr>
              <w:widowControl/>
              <w:jc w:val="left"/>
              <w:rPr>
                <w:rFonts w:ascii="Times New Roman" w:hAnsi="Times New Roman"/>
                <w:color w:val="000000"/>
                <w:kern w:val="0"/>
                <w:sz w:val="20"/>
                <w:szCs w:val="20"/>
              </w:rPr>
            </w:pPr>
          </w:p>
        </w:tc>
        <w:tc>
          <w:tcPr>
            <w:tcW w:w="524" w:type="pct"/>
            <w:tcBorders>
              <w:top w:val="single" w:color="auto" w:sz="4" w:space="0"/>
              <w:left w:val="nil"/>
              <w:bottom w:val="nil"/>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hint="eastAsia" w:ascii="宋体" w:hAnsi="宋体"/>
                <w:color w:val="000000"/>
                <w:kern w:val="0"/>
                <w:sz w:val="20"/>
                <w:szCs w:val="20"/>
              </w:rPr>
              <w:t>质量指标</w:t>
            </w:r>
          </w:p>
        </w:tc>
        <w:tc>
          <w:tcPr>
            <w:tcW w:w="6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供水工程完好率</w:t>
            </w:r>
          </w:p>
        </w:tc>
        <w:tc>
          <w:tcPr>
            <w:tcW w:w="36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w:t>
            </w:r>
          </w:p>
        </w:tc>
        <w:tc>
          <w:tcPr>
            <w:tcW w:w="45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≥90</w:t>
            </w:r>
          </w:p>
        </w:tc>
        <w:tc>
          <w:tcPr>
            <w:tcW w:w="36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90</w:t>
            </w:r>
          </w:p>
        </w:tc>
        <w:tc>
          <w:tcPr>
            <w:tcW w:w="36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36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15</w:t>
            </w:r>
          </w:p>
        </w:tc>
        <w:tc>
          <w:tcPr>
            <w:tcW w:w="47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15</w:t>
            </w:r>
          </w:p>
        </w:tc>
        <w:tc>
          <w:tcPr>
            <w:tcW w:w="69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r>
      <w:tr>
        <w:tblPrEx>
          <w:tblCellMar>
            <w:top w:w="0" w:type="dxa"/>
            <w:left w:w="108" w:type="dxa"/>
            <w:bottom w:w="0" w:type="dxa"/>
            <w:right w:w="108" w:type="dxa"/>
          </w:tblCellMar>
        </w:tblPrEx>
        <w:trPr>
          <w:trHeight w:val="540" w:hRule="atLeast"/>
        </w:trPr>
        <w:tc>
          <w:tcPr>
            <w:tcW w:w="36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0"/>
                <w:szCs w:val="20"/>
              </w:rPr>
            </w:pPr>
          </w:p>
        </w:tc>
        <w:tc>
          <w:tcPr>
            <w:tcW w:w="367" w:type="pct"/>
            <w:vMerge w:val="continue"/>
            <w:tcBorders>
              <w:top w:val="nil"/>
              <w:left w:val="single" w:color="auto" w:sz="4" w:space="0"/>
              <w:bottom w:val="nil"/>
              <w:right w:val="single" w:color="auto" w:sz="4" w:space="0"/>
            </w:tcBorders>
            <w:vAlign w:val="center"/>
          </w:tcPr>
          <w:p>
            <w:pPr>
              <w:widowControl/>
              <w:jc w:val="left"/>
              <w:rPr>
                <w:rFonts w:ascii="Times New Roman" w:hAnsi="Times New Roman"/>
                <w:color w:val="000000"/>
                <w:kern w:val="0"/>
                <w:sz w:val="20"/>
                <w:szCs w:val="20"/>
              </w:rPr>
            </w:pPr>
          </w:p>
        </w:tc>
        <w:tc>
          <w:tcPr>
            <w:tcW w:w="524" w:type="pct"/>
            <w:tcBorders>
              <w:top w:val="single" w:color="auto" w:sz="4" w:space="0"/>
              <w:left w:val="nil"/>
              <w:bottom w:val="nil"/>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hint="eastAsia" w:ascii="宋体" w:hAnsi="宋体"/>
                <w:color w:val="000000"/>
                <w:kern w:val="0"/>
                <w:sz w:val="20"/>
                <w:szCs w:val="20"/>
              </w:rPr>
              <w:t>时效指标</w:t>
            </w:r>
          </w:p>
        </w:tc>
        <w:tc>
          <w:tcPr>
            <w:tcW w:w="64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供水施救率</w:t>
            </w:r>
          </w:p>
        </w:tc>
        <w:tc>
          <w:tcPr>
            <w:tcW w:w="36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w:t>
            </w:r>
          </w:p>
        </w:tc>
        <w:tc>
          <w:tcPr>
            <w:tcW w:w="45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36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36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36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20</w:t>
            </w:r>
          </w:p>
        </w:tc>
        <w:tc>
          <w:tcPr>
            <w:tcW w:w="47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20</w:t>
            </w:r>
          </w:p>
        </w:tc>
        <w:tc>
          <w:tcPr>
            <w:tcW w:w="69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r>
      <w:tr>
        <w:tblPrEx>
          <w:tblCellMar>
            <w:top w:w="0" w:type="dxa"/>
            <w:left w:w="108" w:type="dxa"/>
            <w:bottom w:w="0" w:type="dxa"/>
            <w:right w:w="108" w:type="dxa"/>
          </w:tblCellMar>
        </w:tblPrEx>
        <w:trPr>
          <w:trHeight w:val="660" w:hRule="atLeast"/>
        </w:trPr>
        <w:tc>
          <w:tcPr>
            <w:tcW w:w="36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0"/>
                <w:szCs w:val="20"/>
              </w:rPr>
            </w:pPr>
          </w:p>
        </w:tc>
        <w:tc>
          <w:tcPr>
            <w:tcW w:w="367" w:type="pct"/>
            <w:vMerge w:val="continue"/>
            <w:tcBorders>
              <w:top w:val="nil"/>
              <w:left w:val="single" w:color="auto" w:sz="4" w:space="0"/>
              <w:bottom w:val="nil"/>
              <w:right w:val="single" w:color="auto" w:sz="4" w:space="0"/>
            </w:tcBorders>
            <w:vAlign w:val="center"/>
          </w:tcPr>
          <w:p>
            <w:pPr>
              <w:widowControl/>
              <w:jc w:val="left"/>
              <w:rPr>
                <w:rFonts w:ascii="Times New Roman" w:hAnsi="Times New Roman"/>
                <w:color w:val="000000"/>
                <w:kern w:val="0"/>
                <w:sz w:val="20"/>
                <w:szCs w:val="20"/>
              </w:rPr>
            </w:pPr>
          </w:p>
        </w:tc>
        <w:tc>
          <w:tcPr>
            <w:tcW w:w="524" w:type="pct"/>
            <w:tcBorders>
              <w:top w:val="single" w:color="auto" w:sz="4" w:space="0"/>
              <w:left w:val="nil"/>
              <w:bottom w:val="nil"/>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hint="eastAsia" w:ascii="宋体" w:hAnsi="宋体"/>
                <w:color w:val="000000"/>
                <w:kern w:val="0"/>
                <w:sz w:val="20"/>
                <w:szCs w:val="20"/>
              </w:rPr>
              <w:t>成本指标</w:t>
            </w:r>
          </w:p>
        </w:tc>
        <w:tc>
          <w:tcPr>
            <w:tcW w:w="64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维护成本</w:t>
            </w:r>
          </w:p>
        </w:tc>
        <w:tc>
          <w:tcPr>
            <w:tcW w:w="36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hint="eastAsia" w:ascii="宋体" w:hAnsi="宋体"/>
                <w:color w:val="000000"/>
                <w:kern w:val="0"/>
                <w:sz w:val="20"/>
                <w:szCs w:val="20"/>
              </w:rPr>
              <w:t>万元</w:t>
            </w:r>
          </w:p>
        </w:tc>
        <w:tc>
          <w:tcPr>
            <w:tcW w:w="45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=15</w:t>
            </w:r>
          </w:p>
        </w:tc>
        <w:tc>
          <w:tcPr>
            <w:tcW w:w="36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15</w:t>
            </w:r>
          </w:p>
        </w:tc>
        <w:tc>
          <w:tcPr>
            <w:tcW w:w="36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36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10</w:t>
            </w:r>
          </w:p>
        </w:tc>
        <w:tc>
          <w:tcPr>
            <w:tcW w:w="47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10</w:t>
            </w:r>
          </w:p>
        </w:tc>
        <w:tc>
          <w:tcPr>
            <w:tcW w:w="69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r>
      <w:tr>
        <w:tblPrEx>
          <w:tblCellMar>
            <w:top w:w="0" w:type="dxa"/>
            <w:left w:w="108" w:type="dxa"/>
            <w:bottom w:w="0" w:type="dxa"/>
            <w:right w:w="108" w:type="dxa"/>
          </w:tblCellMar>
        </w:tblPrEx>
        <w:trPr>
          <w:trHeight w:val="619" w:hRule="atLeast"/>
        </w:trPr>
        <w:tc>
          <w:tcPr>
            <w:tcW w:w="36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0"/>
                <w:szCs w:val="20"/>
              </w:rPr>
            </w:pPr>
          </w:p>
        </w:tc>
        <w:tc>
          <w:tcPr>
            <w:tcW w:w="367" w:type="pct"/>
            <w:vMerge w:val="restart"/>
            <w:tcBorders>
              <w:top w:val="single" w:color="auto" w:sz="4" w:space="0"/>
              <w:left w:val="single" w:color="auto" w:sz="4" w:space="0"/>
              <w:bottom w:val="nil"/>
              <w:right w:val="single" w:color="auto" w:sz="4" w:space="0"/>
            </w:tcBorders>
            <w:shd w:val="clear" w:color="auto" w:fill="auto"/>
            <w:textDirection w:val="tbRlV"/>
            <w:vAlign w:val="center"/>
          </w:tcPr>
          <w:p>
            <w:pPr>
              <w:widowControl/>
              <w:jc w:val="center"/>
              <w:rPr>
                <w:rFonts w:ascii="Times New Roman" w:hAnsi="Times New Roman"/>
                <w:color w:val="000000"/>
                <w:kern w:val="0"/>
                <w:sz w:val="20"/>
                <w:szCs w:val="20"/>
              </w:rPr>
            </w:pPr>
            <w:r>
              <w:rPr>
                <w:rFonts w:hint="eastAsia" w:ascii="宋体" w:hAnsi="宋体"/>
                <w:color w:val="000000"/>
                <w:kern w:val="0"/>
                <w:sz w:val="20"/>
                <w:szCs w:val="20"/>
              </w:rPr>
              <w:t>效益指标（</w:t>
            </w:r>
            <w:r>
              <w:rPr>
                <w:rFonts w:ascii="Times New Roman" w:hAnsi="Times New Roman"/>
                <w:color w:val="000000"/>
                <w:kern w:val="0"/>
                <w:sz w:val="20"/>
                <w:szCs w:val="20"/>
              </w:rPr>
              <w:t>30</w:t>
            </w:r>
            <w:r>
              <w:rPr>
                <w:rFonts w:hint="eastAsia" w:ascii="宋体" w:hAnsi="宋体"/>
                <w:color w:val="000000"/>
                <w:kern w:val="0"/>
                <w:sz w:val="20"/>
                <w:szCs w:val="20"/>
              </w:rPr>
              <w:t>分）</w:t>
            </w:r>
          </w:p>
        </w:tc>
        <w:tc>
          <w:tcPr>
            <w:tcW w:w="524" w:type="pct"/>
            <w:tcBorders>
              <w:top w:val="single" w:color="auto" w:sz="4" w:space="0"/>
              <w:left w:val="nil"/>
              <w:bottom w:val="nil"/>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hint="eastAsia" w:ascii="宋体" w:hAnsi="宋体"/>
                <w:color w:val="000000"/>
                <w:kern w:val="0"/>
                <w:sz w:val="20"/>
                <w:szCs w:val="20"/>
              </w:rPr>
              <w:t>经济效益指标</w:t>
            </w:r>
          </w:p>
        </w:tc>
        <w:tc>
          <w:tcPr>
            <w:tcW w:w="64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收取水费</w:t>
            </w:r>
          </w:p>
        </w:tc>
        <w:tc>
          <w:tcPr>
            <w:tcW w:w="36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hint="eastAsia" w:ascii="宋体" w:hAnsi="宋体"/>
                <w:color w:val="000000"/>
                <w:kern w:val="0"/>
                <w:sz w:val="20"/>
                <w:szCs w:val="20"/>
              </w:rPr>
              <w:t>万元</w:t>
            </w:r>
          </w:p>
        </w:tc>
        <w:tc>
          <w:tcPr>
            <w:tcW w:w="45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≥6000</w:t>
            </w:r>
          </w:p>
        </w:tc>
        <w:tc>
          <w:tcPr>
            <w:tcW w:w="36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6000</w:t>
            </w:r>
          </w:p>
        </w:tc>
        <w:tc>
          <w:tcPr>
            <w:tcW w:w="36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36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10</w:t>
            </w:r>
          </w:p>
        </w:tc>
        <w:tc>
          <w:tcPr>
            <w:tcW w:w="47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10</w:t>
            </w:r>
          </w:p>
        </w:tc>
        <w:tc>
          <w:tcPr>
            <w:tcW w:w="69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r>
      <w:tr>
        <w:tblPrEx>
          <w:tblCellMar>
            <w:top w:w="0" w:type="dxa"/>
            <w:left w:w="108" w:type="dxa"/>
            <w:bottom w:w="0" w:type="dxa"/>
            <w:right w:w="108" w:type="dxa"/>
          </w:tblCellMar>
        </w:tblPrEx>
        <w:trPr>
          <w:trHeight w:val="660" w:hRule="atLeast"/>
        </w:trPr>
        <w:tc>
          <w:tcPr>
            <w:tcW w:w="36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0"/>
                <w:szCs w:val="20"/>
              </w:rPr>
            </w:pPr>
          </w:p>
        </w:tc>
        <w:tc>
          <w:tcPr>
            <w:tcW w:w="367" w:type="pct"/>
            <w:vMerge w:val="continue"/>
            <w:tcBorders>
              <w:top w:val="single" w:color="auto" w:sz="4" w:space="0"/>
              <w:left w:val="single" w:color="auto" w:sz="4" w:space="0"/>
              <w:bottom w:val="nil"/>
              <w:right w:val="single" w:color="auto" w:sz="4" w:space="0"/>
            </w:tcBorders>
            <w:vAlign w:val="center"/>
          </w:tcPr>
          <w:p>
            <w:pPr>
              <w:widowControl/>
              <w:jc w:val="left"/>
              <w:rPr>
                <w:rFonts w:ascii="Times New Roman" w:hAnsi="Times New Roman"/>
                <w:color w:val="000000"/>
                <w:kern w:val="0"/>
                <w:sz w:val="20"/>
                <w:szCs w:val="20"/>
              </w:rPr>
            </w:pPr>
          </w:p>
        </w:tc>
        <w:tc>
          <w:tcPr>
            <w:tcW w:w="524" w:type="pct"/>
            <w:tcBorders>
              <w:top w:val="single" w:color="auto" w:sz="4" w:space="0"/>
              <w:left w:val="nil"/>
              <w:bottom w:val="nil"/>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hint="eastAsia" w:ascii="宋体" w:hAnsi="宋体"/>
                <w:color w:val="000000"/>
                <w:kern w:val="0"/>
                <w:sz w:val="20"/>
                <w:szCs w:val="20"/>
              </w:rPr>
              <w:t>社会效益指标</w:t>
            </w:r>
          </w:p>
        </w:tc>
        <w:tc>
          <w:tcPr>
            <w:tcW w:w="64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供水受益人口</w:t>
            </w:r>
          </w:p>
        </w:tc>
        <w:tc>
          <w:tcPr>
            <w:tcW w:w="36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hint="eastAsia" w:ascii="宋体" w:hAnsi="宋体"/>
                <w:color w:val="000000"/>
                <w:kern w:val="0"/>
                <w:sz w:val="20"/>
                <w:szCs w:val="20"/>
              </w:rPr>
              <w:t>万人</w:t>
            </w:r>
          </w:p>
        </w:tc>
        <w:tc>
          <w:tcPr>
            <w:tcW w:w="45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≥132</w:t>
            </w:r>
          </w:p>
        </w:tc>
        <w:tc>
          <w:tcPr>
            <w:tcW w:w="36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132</w:t>
            </w:r>
          </w:p>
        </w:tc>
        <w:tc>
          <w:tcPr>
            <w:tcW w:w="36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36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10</w:t>
            </w:r>
          </w:p>
        </w:tc>
        <w:tc>
          <w:tcPr>
            <w:tcW w:w="47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10</w:t>
            </w:r>
          </w:p>
        </w:tc>
        <w:tc>
          <w:tcPr>
            <w:tcW w:w="69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r>
      <w:tr>
        <w:tblPrEx>
          <w:tblCellMar>
            <w:top w:w="0" w:type="dxa"/>
            <w:left w:w="108" w:type="dxa"/>
            <w:bottom w:w="0" w:type="dxa"/>
            <w:right w:w="108" w:type="dxa"/>
          </w:tblCellMar>
        </w:tblPrEx>
        <w:trPr>
          <w:trHeight w:val="702" w:hRule="atLeast"/>
        </w:trPr>
        <w:tc>
          <w:tcPr>
            <w:tcW w:w="36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0"/>
                <w:szCs w:val="20"/>
              </w:rPr>
            </w:pPr>
          </w:p>
        </w:tc>
        <w:tc>
          <w:tcPr>
            <w:tcW w:w="367" w:type="pct"/>
            <w:vMerge w:val="continue"/>
            <w:tcBorders>
              <w:top w:val="single" w:color="auto" w:sz="4" w:space="0"/>
              <w:left w:val="single" w:color="auto" w:sz="4" w:space="0"/>
              <w:bottom w:val="nil"/>
              <w:right w:val="single" w:color="auto" w:sz="4" w:space="0"/>
            </w:tcBorders>
            <w:vAlign w:val="center"/>
          </w:tcPr>
          <w:p>
            <w:pPr>
              <w:widowControl/>
              <w:jc w:val="left"/>
              <w:rPr>
                <w:rFonts w:ascii="Times New Roman" w:hAnsi="Times New Roman"/>
                <w:color w:val="000000"/>
                <w:kern w:val="0"/>
                <w:sz w:val="20"/>
                <w:szCs w:val="20"/>
              </w:rPr>
            </w:pPr>
          </w:p>
        </w:tc>
        <w:tc>
          <w:tcPr>
            <w:tcW w:w="524" w:type="pct"/>
            <w:tcBorders>
              <w:top w:val="single" w:color="auto" w:sz="4" w:space="0"/>
              <w:left w:val="nil"/>
              <w:bottom w:val="nil"/>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hint="eastAsia" w:ascii="宋体" w:hAnsi="宋体"/>
                <w:color w:val="000000"/>
                <w:kern w:val="0"/>
                <w:sz w:val="20"/>
                <w:szCs w:val="20"/>
              </w:rPr>
              <w:t>生态效益指标</w:t>
            </w:r>
          </w:p>
        </w:tc>
        <w:tc>
          <w:tcPr>
            <w:tcW w:w="64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保护供水水源地</w:t>
            </w:r>
          </w:p>
        </w:tc>
        <w:tc>
          <w:tcPr>
            <w:tcW w:w="36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hint="eastAsia" w:ascii="宋体" w:hAnsi="宋体"/>
                <w:color w:val="000000"/>
                <w:kern w:val="0"/>
                <w:sz w:val="20"/>
                <w:szCs w:val="20"/>
              </w:rPr>
              <w:t>处</w:t>
            </w:r>
          </w:p>
        </w:tc>
        <w:tc>
          <w:tcPr>
            <w:tcW w:w="45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=129</w:t>
            </w:r>
          </w:p>
        </w:tc>
        <w:tc>
          <w:tcPr>
            <w:tcW w:w="36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129</w:t>
            </w:r>
          </w:p>
        </w:tc>
        <w:tc>
          <w:tcPr>
            <w:tcW w:w="36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36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5</w:t>
            </w:r>
          </w:p>
        </w:tc>
        <w:tc>
          <w:tcPr>
            <w:tcW w:w="47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5</w:t>
            </w:r>
          </w:p>
        </w:tc>
        <w:tc>
          <w:tcPr>
            <w:tcW w:w="69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r>
      <w:tr>
        <w:tblPrEx>
          <w:tblCellMar>
            <w:top w:w="0" w:type="dxa"/>
            <w:left w:w="108" w:type="dxa"/>
            <w:bottom w:w="0" w:type="dxa"/>
            <w:right w:w="108" w:type="dxa"/>
          </w:tblCellMar>
        </w:tblPrEx>
        <w:trPr>
          <w:trHeight w:val="885" w:hRule="atLeast"/>
        </w:trPr>
        <w:tc>
          <w:tcPr>
            <w:tcW w:w="36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0"/>
                <w:szCs w:val="20"/>
              </w:rPr>
            </w:pPr>
          </w:p>
        </w:tc>
        <w:tc>
          <w:tcPr>
            <w:tcW w:w="367" w:type="pct"/>
            <w:vMerge w:val="continue"/>
            <w:tcBorders>
              <w:top w:val="single" w:color="auto" w:sz="4" w:space="0"/>
              <w:left w:val="single" w:color="auto" w:sz="4" w:space="0"/>
              <w:bottom w:val="nil"/>
              <w:right w:val="single" w:color="auto" w:sz="4" w:space="0"/>
            </w:tcBorders>
            <w:vAlign w:val="center"/>
          </w:tcPr>
          <w:p>
            <w:pPr>
              <w:widowControl/>
              <w:jc w:val="left"/>
              <w:rPr>
                <w:rFonts w:ascii="Times New Roman" w:hAnsi="Times New Roman"/>
                <w:color w:val="000000"/>
                <w:kern w:val="0"/>
                <w:sz w:val="20"/>
                <w:szCs w:val="20"/>
              </w:rPr>
            </w:pPr>
          </w:p>
        </w:tc>
        <w:tc>
          <w:tcPr>
            <w:tcW w:w="524" w:type="pct"/>
            <w:tcBorders>
              <w:top w:val="single" w:color="auto" w:sz="4" w:space="0"/>
              <w:left w:val="nil"/>
              <w:bottom w:val="nil"/>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hint="eastAsia" w:ascii="宋体" w:hAnsi="宋体"/>
                <w:color w:val="000000"/>
                <w:kern w:val="0"/>
                <w:sz w:val="20"/>
                <w:szCs w:val="20"/>
              </w:rPr>
              <w:t>可持续影响指标</w:t>
            </w:r>
          </w:p>
        </w:tc>
        <w:tc>
          <w:tcPr>
            <w:tcW w:w="64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供水工程良好运行</w:t>
            </w:r>
          </w:p>
        </w:tc>
        <w:tc>
          <w:tcPr>
            <w:tcW w:w="36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hint="eastAsia" w:ascii="宋体" w:hAnsi="宋体"/>
                <w:color w:val="000000"/>
                <w:kern w:val="0"/>
                <w:sz w:val="20"/>
                <w:szCs w:val="20"/>
              </w:rPr>
              <w:t>处</w:t>
            </w:r>
          </w:p>
        </w:tc>
        <w:tc>
          <w:tcPr>
            <w:tcW w:w="45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=129</w:t>
            </w:r>
          </w:p>
        </w:tc>
        <w:tc>
          <w:tcPr>
            <w:tcW w:w="36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129</w:t>
            </w:r>
          </w:p>
        </w:tc>
        <w:tc>
          <w:tcPr>
            <w:tcW w:w="36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36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5</w:t>
            </w:r>
          </w:p>
        </w:tc>
        <w:tc>
          <w:tcPr>
            <w:tcW w:w="47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5</w:t>
            </w:r>
          </w:p>
        </w:tc>
        <w:tc>
          <w:tcPr>
            <w:tcW w:w="69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r>
      <w:tr>
        <w:tblPrEx>
          <w:tblCellMar>
            <w:top w:w="0" w:type="dxa"/>
            <w:left w:w="108" w:type="dxa"/>
            <w:bottom w:w="0" w:type="dxa"/>
            <w:right w:w="108" w:type="dxa"/>
          </w:tblCellMar>
        </w:tblPrEx>
        <w:trPr>
          <w:trHeight w:val="1542" w:hRule="atLeast"/>
        </w:trPr>
        <w:tc>
          <w:tcPr>
            <w:tcW w:w="367"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0"/>
                <w:szCs w:val="20"/>
              </w:rPr>
            </w:pPr>
          </w:p>
        </w:tc>
        <w:tc>
          <w:tcPr>
            <w:tcW w:w="367" w:type="pct"/>
            <w:tcBorders>
              <w:top w:val="single" w:color="auto" w:sz="4" w:space="0"/>
              <w:left w:val="nil"/>
              <w:bottom w:val="nil"/>
              <w:right w:val="single" w:color="auto" w:sz="4" w:space="0"/>
            </w:tcBorders>
            <w:shd w:val="clear" w:color="auto" w:fill="auto"/>
            <w:textDirection w:val="tbRlV"/>
            <w:vAlign w:val="center"/>
          </w:tcPr>
          <w:p>
            <w:pPr>
              <w:widowControl/>
              <w:jc w:val="center"/>
              <w:rPr>
                <w:rFonts w:ascii="Times New Roman" w:hAnsi="Times New Roman"/>
                <w:color w:val="000000"/>
                <w:kern w:val="0"/>
                <w:sz w:val="20"/>
                <w:szCs w:val="20"/>
              </w:rPr>
            </w:pPr>
            <w:r>
              <w:rPr>
                <w:rFonts w:hint="eastAsia" w:ascii="宋体" w:hAnsi="宋体"/>
                <w:color w:val="000000"/>
                <w:kern w:val="0"/>
                <w:sz w:val="20"/>
                <w:szCs w:val="20"/>
              </w:rPr>
              <w:t>满意度指标（</w:t>
            </w:r>
            <w:r>
              <w:rPr>
                <w:rFonts w:ascii="Times New Roman" w:hAnsi="Times New Roman"/>
                <w:color w:val="000000"/>
                <w:kern w:val="0"/>
                <w:sz w:val="20"/>
                <w:szCs w:val="20"/>
              </w:rPr>
              <w:t>10</w:t>
            </w:r>
            <w:r>
              <w:rPr>
                <w:rFonts w:hint="eastAsia" w:ascii="宋体" w:hAnsi="宋体"/>
                <w:color w:val="000000"/>
                <w:kern w:val="0"/>
                <w:sz w:val="20"/>
                <w:szCs w:val="20"/>
              </w:rPr>
              <w:t>分）</w:t>
            </w:r>
          </w:p>
        </w:tc>
        <w:tc>
          <w:tcPr>
            <w:tcW w:w="524" w:type="pct"/>
            <w:tcBorders>
              <w:top w:val="single" w:color="auto" w:sz="4" w:space="0"/>
              <w:left w:val="nil"/>
              <w:bottom w:val="nil"/>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hint="eastAsia" w:ascii="宋体" w:hAnsi="宋体"/>
                <w:color w:val="000000"/>
                <w:kern w:val="0"/>
                <w:sz w:val="20"/>
                <w:szCs w:val="20"/>
              </w:rPr>
              <w:t>服务对象满意度指标</w:t>
            </w:r>
          </w:p>
        </w:tc>
        <w:tc>
          <w:tcPr>
            <w:tcW w:w="6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供水用户满意度</w:t>
            </w:r>
          </w:p>
        </w:tc>
        <w:tc>
          <w:tcPr>
            <w:tcW w:w="36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w:t>
            </w:r>
          </w:p>
        </w:tc>
        <w:tc>
          <w:tcPr>
            <w:tcW w:w="45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≥95</w:t>
            </w:r>
          </w:p>
        </w:tc>
        <w:tc>
          <w:tcPr>
            <w:tcW w:w="36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96</w:t>
            </w:r>
          </w:p>
        </w:tc>
        <w:tc>
          <w:tcPr>
            <w:tcW w:w="36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100</w:t>
            </w:r>
          </w:p>
        </w:tc>
        <w:tc>
          <w:tcPr>
            <w:tcW w:w="367"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10</w:t>
            </w:r>
          </w:p>
        </w:tc>
        <w:tc>
          <w:tcPr>
            <w:tcW w:w="47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10</w:t>
            </w:r>
          </w:p>
        </w:tc>
        <w:tc>
          <w:tcPr>
            <w:tcW w:w="69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　</w:t>
            </w:r>
          </w:p>
        </w:tc>
      </w:tr>
      <w:tr>
        <w:tblPrEx>
          <w:tblCellMar>
            <w:top w:w="0" w:type="dxa"/>
            <w:left w:w="108" w:type="dxa"/>
            <w:bottom w:w="0" w:type="dxa"/>
            <w:right w:w="108" w:type="dxa"/>
          </w:tblCellMar>
        </w:tblPrEx>
        <w:trPr>
          <w:trHeight w:val="735" w:hRule="atLeast"/>
        </w:trPr>
        <w:tc>
          <w:tcPr>
            <w:tcW w:w="735"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Times New Roman" w:hAnsi="Times New Roman"/>
                <w:color w:val="000000"/>
                <w:kern w:val="0"/>
                <w:sz w:val="20"/>
                <w:szCs w:val="20"/>
              </w:rPr>
            </w:pPr>
            <w:r>
              <w:rPr>
                <w:rFonts w:hint="eastAsia" w:ascii="宋体" w:hAnsi="宋体"/>
                <w:color w:val="000000"/>
                <w:kern w:val="0"/>
                <w:sz w:val="20"/>
                <w:szCs w:val="20"/>
              </w:rPr>
              <w:t>说明</w:t>
            </w:r>
          </w:p>
        </w:tc>
        <w:tc>
          <w:tcPr>
            <w:tcW w:w="4265" w:type="pct"/>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0"/>
                <w:szCs w:val="20"/>
              </w:rPr>
            </w:pPr>
            <w:r>
              <w:rPr>
                <w:rFonts w:hint="eastAsia" w:ascii="宋体" w:hAnsi="宋体"/>
                <w:kern w:val="0"/>
                <w:sz w:val="20"/>
                <w:szCs w:val="20"/>
              </w:rPr>
              <w:t>无</w:t>
            </w:r>
          </w:p>
        </w:tc>
      </w:tr>
    </w:tbl>
    <w:p>
      <w:pPr>
        <w:pStyle w:val="9"/>
        <w:tabs>
          <w:tab w:val="center" w:pos="4153"/>
          <w:tab w:val="left" w:pos="7275"/>
        </w:tabs>
        <w:spacing w:line="600" w:lineRule="exact"/>
        <w:ind w:firstLine="640"/>
        <w:jc w:val="left"/>
        <w:rPr>
          <w:rFonts w:hint="eastAsia" w:ascii="方正仿宋_GBK" w:eastAsia="方正仿宋_GBK" w:cs="宋体"/>
          <w:color w:val="FF0000"/>
          <w:kern w:val="0"/>
          <w:sz w:val="32"/>
          <w:szCs w:val="32"/>
        </w:rPr>
      </w:pPr>
    </w:p>
    <w:p>
      <w:pPr>
        <w:pStyle w:val="9"/>
        <w:tabs>
          <w:tab w:val="center" w:pos="4153"/>
          <w:tab w:val="left" w:pos="7275"/>
        </w:tabs>
        <w:spacing w:line="600" w:lineRule="exact"/>
        <w:ind w:firstLine="640"/>
        <w:rPr>
          <w:rFonts w:hint="eastAsia" w:ascii="方正黑体_GBK" w:eastAsia="方正黑体_GBK"/>
          <w:sz w:val="32"/>
          <w:szCs w:val="32"/>
        </w:rPr>
      </w:pPr>
      <w:r>
        <w:rPr>
          <w:rFonts w:hint="eastAsia" w:ascii="方正黑体_GBK" w:eastAsia="方正黑体_GBK"/>
          <w:sz w:val="32"/>
          <w:szCs w:val="32"/>
        </w:rPr>
        <w:t>六、专业名词解释</w:t>
      </w:r>
    </w:p>
    <w:p>
      <w:pPr>
        <w:pStyle w:val="9"/>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b/>
          <w:sz w:val="32"/>
          <w:szCs w:val="32"/>
        </w:rPr>
        <w:t>（一）财政拨款收入</w:t>
      </w:r>
      <w:r>
        <w:rPr>
          <w:rFonts w:hint="eastAsia" w:ascii="方正仿宋_GBK"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hint="eastAsia" w:ascii="方正仿宋_GBK" w:eastAsia="方正仿宋_GBK"/>
          <w:b/>
          <w:sz w:val="32"/>
          <w:szCs w:val="32"/>
        </w:rPr>
      </w:pPr>
      <w:r>
        <w:rPr>
          <w:rFonts w:hint="eastAsia" w:ascii="方正仿宋_GBK" w:eastAsia="方正仿宋_GBK"/>
          <w:b/>
          <w:sz w:val="32"/>
          <w:szCs w:val="32"/>
        </w:rPr>
        <w:t>（二）事业收入</w:t>
      </w:r>
      <w:r>
        <w:rPr>
          <w:rFonts w:hint="eastAsia" w:ascii="方正仿宋_GBK" w:eastAsia="方正仿宋_GBK"/>
          <w:sz w:val="32"/>
          <w:szCs w:val="32"/>
        </w:rPr>
        <w:t>：指事业单位开展专业业务活动及其辅助活动取得的现金流入；事业单位收到的财政专户实际核拨的教育收费等资金在此反映。</w:t>
      </w:r>
    </w:p>
    <w:p>
      <w:pPr>
        <w:pStyle w:val="9"/>
        <w:tabs>
          <w:tab w:val="center" w:pos="4153"/>
          <w:tab w:val="left" w:pos="7275"/>
        </w:tabs>
        <w:spacing w:line="600" w:lineRule="exact"/>
        <w:ind w:firstLine="640"/>
        <w:jc w:val="left"/>
        <w:rPr>
          <w:rFonts w:hint="eastAsia" w:ascii="方正仿宋_GBK" w:eastAsia="方正仿宋_GBK"/>
          <w:b/>
          <w:sz w:val="32"/>
          <w:szCs w:val="32"/>
        </w:rPr>
      </w:pPr>
      <w:r>
        <w:rPr>
          <w:rFonts w:hint="eastAsia" w:ascii="方正仿宋_GBK" w:eastAsia="方正仿宋_GBK"/>
          <w:b/>
          <w:sz w:val="32"/>
          <w:szCs w:val="32"/>
        </w:rPr>
        <w:t>（三）经营收入</w:t>
      </w:r>
      <w:r>
        <w:rPr>
          <w:rFonts w:hint="eastAsia" w:ascii="方正仿宋_GBK" w:eastAsia="方正仿宋_GBK"/>
          <w:sz w:val="32"/>
          <w:szCs w:val="32"/>
        </w:rPr>
        <w:t>：指事业单位在专业业务活动及其辅助活动之外开展非独立核算经营活动取得的现金流入。</w:t>
      </w:r>
    </w:p>
    <w:p>
      <w:pPr>
        <w:pStyle w:val="9"/>
        <w:tabs>
          <w:tab w:val="center" w:pos="4153"/>
          <w:tab w:val="left" w:pos="7275"/>
        </w:tabs>
        <w:spacing w:line="600" w:lineRule="exact"/>
        <w:ind w:firstLine="640"/>
        <w:jc w:val="left"/>
        <w:rPr>
          <w:rFonts w:hint="eastAsia" w:ascii="方正仿宋_GBK" w:eastAsia="方正仿宋_GBK"/>
          <w:b/>
          <w:sz w:val="32"/>
          <w:szCs w:val="32"/>
        </w:rPr>
      </w:pPr>
      <w:r>
        <w:rPr>
          <w:rFonts w:hint="eastAsia" w:ascii="方正仿宋_GBK" w:eastAsia="方正仿宋_GBK"/>
          <w:b/>
          <w:sz w:val="32"/>
          <w:szCs w:val="32"/>
        </w:rPr>
        <w:t>（四）其他收入</w:t>
      </w:r>
      <w:r>
        <w:rPr>
          <w:rFonts w:hint="eastAsia" w:ascii="方正仿宋_GBK" w:eastAsia="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9"/>
        <w:tabs>
          <w:tab w:val="center" w:pos="4153"/>
          <w:tab w:val="left" w:pos="7275"/>
        </w:tabs>
        <w:spacing w:line="600" w:lineRule="exact"/>
        <w:ind w:firstLine="640"/>
        <w:jc w:val="left"/>
        <w:rPr>
          <w:rFonts w:hint="eastAsia" w:ascii="方正仿宋_GBK" w:eastAsia="方正仿宋_GBK"/>
          <w:b/>
          <w:sz w:val="32"/>
          <w:szCs w:val="32"/>
        </w:rPr>
      </w:pPr>
      <w:r>
        <w:rPr>
          <w:rFonts w:hint="eastAsia" w:ascii="方正仿宋_GBK" w:eastAsia="方正仿宋_GBK"/>
          <w:b/>
          <w:sz w:val="32"/>
          <w:szCs w:val="32"/>
        </w:rPr>
        <w:t xml:space="preserve"> （五）用事业基金弥补收支差额</w:t>
      </w:r>
      <w:r>
        <w:rPr>
          <w:rFonts w:hint="eastAsia" w:ascii="方正仿宋_GBK" w:eastAsia="方正仿宋_GBK"/>
          <w:sz w:val="32"/>
          <w:szCs w:val="32"/>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9"/>
        <w:tabs>
          <w:tab w:val="center" w:pos="4153"/>
          <w:tab w:val="left" w:pos="7275"/>
        </w:tabs>
        <w:spacing w:line="600" w:lineRule="exact"/>
        <w:ind w:firstLine="640"/>
        <w:jc w:val="left"/>
        <w:rPr>
          <w:rFonts w:hint="eastAsia" w:ascii="方正仿宋_GBK" w:eastAsia="方正仿宋_GBK"/>
          <w:b/>
          <w:sz w:val="32"/>
          <w:szCs w:val="32"/>
        </w:rPr>
      </w:pPr>
      <w:r>
        <w:rPr>
          <w:rFonts w:hint="eastAsia" w:ascii="方正仿宋_GBK" w:eastAsia="方正仿宋_GBK"/>
          <w:b/>
          <w:sz w:val="32"/>
          <w:szCs w:val="32"/>
        </w:rPr>
        <w:t>（六）年初结转和结余</w:t>
      </w:r>
      <w:r>
        <w:rPr>
          <w:rFonts w:hint="eastAsia" w:ascii="方正仿宋_GBK" w:eastAsia="方正仿宋_GBK"/>
          <w:sz w:val="32"/>
          <w:szCs w:val="32"/>
        </w:rPr>
        <w:t>：指单位上年结转本年使用的基本支出结转、项目支出结转和结余、经营结余。</w:t>
      </w:r>
    </w:p>
    <w:p>
      <w:pPr>
        <w:pStyle w:val="9"/>
        <w:tabs>
          <w:tab w:val="center" w:pos="4153"/>
          <w:tab w:val="left" w:pos="7275"/>
        </w:tabs>
        <w:spacing w:line="600" w:lineRule="exact"/>
        <w:ind w:firstLine="640"/>
        <w:jc w:val="left"/>
        <w:rPr>
          <w:rFonts w:hint="eastAsia" w:ascii="方正仿宋_GBK" w:eastAsia="方正仿宋_GBK"/>
          <w:b/>
          <w:sz w:val="32"/>
          <w:szCs w:val="32"/>
        </w:rPr>
      </w:pPr>
      <w:r>
        <w:rPr>
          <w:rFonts w:hint="eastAsia" w:ascii="方正仿宋_GBK" w:eastAsia="方正仿宋_GBK"/>
          <w:b/>
          <w:sz w:val="32"/>
          <w:szCs w:val="32"/>
        </w:rPr>
        <w:t>（七）结余分配</w:t>
      </w:r>
      <w:r>
        <w:rPr>
          <w:rFonts w:hint="eastAsia" w:ascii="方正仿宋_GBK" w:eastAsia="方正仿宋_GBK"/>
          <w:sz w:val="32"/>
          <w:szCs w:val="32"/>
        </w:rPr>
        <w:t>：指单位按照国家有关规定，缴纳所得税、提取专用基金、转入事业基金等当年结余的分配情况。</w:t>
      </w:r>
    </w:p>
    <w:p>
      <w:pPr>
        <w:pStyle w:val="9"/>
        <w:tabs>
          <w:tab w:val="center" w:pos="4153"/>
          <w:tab w:val="left" w:pos="7275"/>
        </w:tabs>
        <w:spacing w:line="600" w:lineRule="exact"/>
        <w:ind w:firstLine="640"/>
        <w:jc w:val="left"/>
        <w:rPr>
          <w:rFonts w:hint="eastAsia" w:ascii="方正仿宋_GBK" w:eastAsia="方正仿宋_GBK"/>
          <w:b/>
          <w:sz w:val="32"/>
          <w:szCs w:val="32"/>
        </w:rPr>
      </w:pPr>
      <w:r>
        <w:rPr>
          <w:rFonts w:hint="eastAsia" w:ascii="方正仿宋_GBK" w:eastAsia="方正仿宋_GBK"/>
          <w:b/>
          <w:sz w:val="32"/>
          <w:szCs w:val="32"/>
        </w:rPr>
        <w:t>（八）年末结转和结余</w:t>
      </w:r>
      <w:r>
        <w:rPr>
          <w:rFonts w:hint="eastAsia" w:ascii="方正仿宋_GBK" w:eastAsia="方正仿宋_GBK"/>
          <w:sz w:val="32"/>
          <w:szCs w:val="32"/>
        </w:rPr>
        <w:t>：指单位结转下年的基本支出结转、项目支出结转和结余、经营结余。</w:t>
      </w:r>
    </w:p>
    <w:p>
      <w:pPr>
        <w:pStyle w:val="9"/>
        <w:tabs>
          <w:tab w:val="center" w:pos="4153"/>
          <w:tab w:val="left" w:pos="7275"/>
        </w:tabs>
        <w:spacing w:line="600" w:lineRule="exact"/>
        <w:ind w:firstLine="640"/>
        <w:jc w:val="left"/>
        <w:rPr>
          <w:rFonts w:hint="eastAsia" w:ascii="方正仿宋_GBK" w:eastAsia="方正仿宋_GBK"/>
          <w:b/>
          <w:sz w:val="32"/>
          <w:szCs w:val="32"/>
        </w:rPr>
      </w:pPr>
      <w:r>
        <w:rPr>
          <w:rFonts w:hint="eastAsia" w:ascii="方正仿宋_GBK" w:eastAsia="方正仿宋_GBK"/>
          <w:b/>
          <w:sz w:val="32"/>
          <w:szCs w:val="32"/>
        </w:rPr>
        <w:t>（九）基本支出</w:t>
      </w:r>
      <w:r>
        <w:rPr>
          <w:rFonts w:hint="eastAsia" w:ascii="方正仿宋_GBK"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9"/>
        <w:tabs>
          <w:tab w:val="center" w:pos="4153"/>
          <w:tab w:val="left" w:pos="7275"/>
        </w:tabs>
        <w:spacing w:line="600" w:lineRule="exact"/>
        <w:ind w:firstLine="640"/>
        <w:jc w:val="left"/>
        <w:rPr>
          <w:rFonts w:hint="eastAsia" w:ascii="方正仿宋_GBK" w:eastAsia="方正仿宋_GBK"/>
          <w:b/>
          <w:sz w:val="32"/>
          <w:szCs w:val="32"/>
        </w:rPr>
      </w:pPr>
      <w:r>
        <w:rPr>
          <w:rFonts w:hint="eastAsia" w:ascii="方正仿宋_GBK" w:eastAsia="方正仿宋_GBK"/>
          <w:b/>
          <w:sz w:val="32"/>
          <w:szCs w:val="32"/>
        </w:rPr>
        <w:t>（十）项目支出</w:t>
      </w:r>
      <w:r>
        <w:rPr>
          <w:rFonts w:hint="eastAsia" w:ascii="方正仿宋_GBK" w:eastAsia="方正仿宋_GBK"/>
          <w:sz w:val="32"/>
          <w:szCs w:val="32"/>
        </w:rPr>
        <w:t>：指在基本支出之外为完成特定行政任务和事业发展目标所发生的支出。</w:t>
      </w:r>
    </w:p>
    <w:p>
      <w:pPr>
        <w:pStyle w:val="9"/>
        <w:tabs>
          <w:tab w:val="center" w:pos="4153"/>
          <w:tab w:val="left" w:pos="7275"/>
        </w:tabs>
        <w:spacing w:line="600" w:lineRule="exact"/>
        <w:ind w:firstLine="640"/>
        <w:jc w:val="left"/>
        <w:rPr>
          <w:rFonts w:hint="eastAsia" w:ascii="方正仿宋_GBK" w:eastAsia="方正仿宋_GBK"/>
          <w:b/>
          <w:sz w:val="32"/>
          <w:szCs w:val="32"/>
        </w:rPr>
      </w:pPr>
      <w:r>
        <w:rPr>
          <w:rFonts w:hint="eastAsia" w:ascii="方正仿宋_GBK" w:eastAsia="方正仿宋_GBK"/>
          <w:b/>
          <w:sz w:val="32"/>
          <w:szCs w:val="32"/>
        </w:rPr>
        <w:t>（十一）经营支出</w:t>
      </w:r>
      <w:r>
        <w:rPr>
          <w:rFonts w:hint="eastAsia" w:ascii="方正仿宋_GBK" w:eastAsia="方正仿宋_GBK"/>
          <w:sz w:val="32"/>
          <w:szCs w:val="32"/>
        </w:rPr>
        <w:t>：指事业单位在专业业务活动及其辅助活动之外开展非独立核算经营活动发生的支出。</w:t>
      </w:r>
    </w:p>
    <w:p>
      <w:pPr>
        <w:pStyle w:val="9"/>
        <w:tabs>
          <w:tab w:val="center" w:pos="4153"/>
          <w:tab w:val="left" w:pos="7275"/>
        </w:tabs>
        <w:spacing w:line="600" w:lineRule="exact"/>
        <w:ind w:firstLine="640"/>
        <w:jc w:val="left"/>
        <w:rPr>
          <w:rFonts w:hint="eastAsia" w:ascii="方正仿宋_GBK" w:eastAsia="方正仿宋_GBK"/>
          <w:b/>
          <w:sz w:val="32"/>
          <w:szCs w:val="32"/>
        </w:rPr>
      </w:pPr>
      <w:r>
        <w:rPr>
          <w:rFonts w:hint="eastAsia" w:ascii="方正仿宋_GBK" w:eastAsia="方正仿宋_GBK"/>
          <w:b/>
          <w:sz w:val="32"/>
          <w:szCs w:val="32"/>
        </w:rPr>
        <w:t>（十二）“三公”经费</w:t>
      </w:r>
      <w:r>
        <w:rPr>
          <w:rFonts w:hint="eastAsia" w:ascii="方正仿宋_GBK"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9"/>
        <w:tabs>
          <w:tab w:val="center" w:pos="4153"/>
          <w:tab w:val="left" w:pos="7275"/>
        </w:tabs>
        <w:spacing w:line="600" w:lineRule="exact"/>
        <w:ind w:firstLine="640"/>
        <w:jc w:val="left"/>
        <w:rPr>
          <w:rFonts w:hint="eastAsia" w:ascii="方正仿宋_GBK" w:eastAsia="方正仿宋_GBK"/>
          <w:b/>
          <w:sz w:val="32"/>
          <w:szCs w:val="32"/>
        </w:rPr>
      </w:pPr>
      <w:r>
        <w:rPr>
          <w:rFonts w:hint="eastAsia" w:ascii="方正仿宋_GBK" w:eastAsia="方正仿宋_GBK"/>
          <w:b/>
          <w:sz w:val="32"/>
          <w:szCs w:val="32"/>
        </w:rPr>
        <w:t>（十三）机关运行经费</w:t>
      </w:r>
      <w:r>
        <w:rPr>
          <w:rFonts w:hint="eastAsia" w:ascii="方正仿宋_GBK"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9"/>
        <w:tabs>
          <w:tab w:val="center" w:pos="4153"/>
          <w:tab w:val="left" w:pos="7275"/>
        </w:tabs>
        <w:spacing w:line="600" w:lineRule="exact"/>
        <w:ind w:firstLine="640"/>
        <w:jc w:val="left"/>
        <w:rPr>
          <w:rFonts w:hint="eastAsia" w:ascii="方正仿宋_GBK" w:eastAsia="方正仿宋_GBK"/>
          <w:b/>
          <w:sz w:val="32"/>
          <w:szCs w:val="32"/>
        </w:rPr>
      </w:pPr>
      <w:r>
        <w:rPr>
          <w:rFonts w:hint="eastAsia" w:ascii="方正仿宋_GBK" w:eastAsia="方正仿宋_GBK"/>
          <w:b/>
          <w:sz w:val="32"/>
          <w:szCs w:val="32"/>
        </w:rPr>
        <w:t>（十四）工资福利支出（支出经济分类科目类级）</w:t>
      </w:r>
      <w:r>
        <w:rPr>
          <w:rFonts w:hint="eastAsia" w:ascii="方正仿宋_GBK" w:eastAsia="方正仿宋_GBK"/>
          <w:sz w:val="32"/>
          <w:szCs w:val="32"/>
        </w:rPr>
        <w:t>：反映单位开支的在职职工和编制外长期聘用人员的各类劳动报酬，以及为上述人员缴纳的各项社会保险费等。</w:t>
      </w:r>
    </w:p>
    <w:p>
      <w:pPr>
        <w:pStyle w:val="9"/>
        <w:tabs>
          <w:tab w:val="center" w:pos="4153"/>
          <w:tab w:val="left" w:pos="7275"/>
        </w:tabs>
        <w:spacing w:line="600" w:lineRule="exact"/>
        <w:ind w:firstLine="640"/>
        <w:jc w:val="left"/>
        <w:rPr>
          <w:rFonts w:hint="eastAsia" w:ascii="方正仿宋_GBK" w:eastAsia="方正仿宋_GBK"/>
          <w:b/>
          <w:sz w:val="32"/>
          <w:szCs w:val="32"/>
        </w:rPr>
      </w:pPr>
      <w:r>
        <w:rPr>
          <w:rFonts w:hint="eastAsia" w:ascii="方正仿宋_GBK" w:eastAsia="方正仿宋_GBK"/>
          <w:b/>
          <w:sz w:val="32"/>
          <w:szCs w:val="32"/>
        </w:rPr>
        <w:t>（十五）商品和服务支出（支出经济分类科目类级）</w:t>
      </w:r>
      <w:r>
        <w:rPr>
          <w:rFonts w:hint="eastAsia" w:ascii="方正仿宋_GBK" w:eastAsia="方正仿宋_GBK"/>
          <w:sz w:val="32"/>
          <w:szCs w:val="32"/>
        </w:rPr>
        <w:t>：反映单位购买商品和服务的支出（不包括用于购置固定资产的支出、战略性和应急储备支出）。</w:t>
      </w:r>
    </w:p>
    <w:p>
      <w:pPr>
        <w:pStyle w:val="9"/>
        <w:tabs>
          <w:tab w:val="center" w:pos="4153"/>
          <w:tab w:val="left" w:pos="7275"/>
        </w:tabs>
        <w:spacing w:line="600" w:lineRule="exact"/>
        <w:ind w:firstLine="640"/>
        <w:jc w:val="left"/>
        <w:rPr>
          <w:rFonts w:hint="eastAsia" w:ascii="方正仿宋_GBK" w:eastAsia="方正仿宋_GBK"/>
          <w:b/>
          <w:sz w:val="32"/>
          <w:szCs w:val="32"/>
        </w:rPr>
      </w:pPr>
      <w:r>
        <w:rPr>
          <w:rFonts w:hint="eastAsia" w:ascii="方正仿宋_GBK" w:eastAsia="方正仿宋_GBK"/>
          <w:b/>
          <w:sz w:val="32"/>
          <w:szCs w:val="32"/>
        </w:rPr>
        <w:t>（十六）对个人和家庭的补助（支出经济分类科目类级）</w:t>
      </w:r>
      <w:r>
        <w:rPr>
          <w:rFonts w:hint="eastAsia" w:ascii="方正仿宋_GBK" w:eastAsia="方正仿宋_GBK"/>
          <w:sz w:val="32"/>
          <w:szCs w:val="32"/>
        </w:rPr>
        <w:t>：反映用于对个人和家庭的补助支出。</w:t>
      </w:r>
    </w:p>
    <w:p>
      <w:pPr>
        <w:pStyle w:val="9"/>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b/>
          <w:sz w:val="32"/>
          <w:szCs w:val="32"/>
        </w:rPr>
        <w:t>（十七）其他资本性支出（支出经济分类科目类级）</w:t>
      </w:r>
      <w:r>
        <w:rPr>
          <w:rFonts w:hint="eastAsia" w:ascii="方正仿宋_GBK" w:eastAsia="方正仿宋_GBK"/>
          <w:sz w:val="32"/>
          <w:szCs w:val="32"/>
        </w:rPr>
        <w:t>：反映非各级发展与改革部门集中安排的用于购置固定资产、战略性和应急性储备、土地和无形资产，以及构建基础设施、大型修缮和财政支持企业更新改造所发生的支出。</w:t>
      </w:r>
    </w:p>
    <w:p>
      <w:pPr>
        <w:pStyle w:val="9"/>
        <w:tabs>
          <w:tab w:val="center" w:pos="4153"/>
          <w:tab w:val="left" w:pos="7275"/>
        </w:tabs>
        <w:spacing w:line="600" w:lineRule="exact"/>
        <w:ind w:firstLine="640"/>
        <w:jc w:val="left"/>
        <w:rPr>
          <w:rFonts w:hint="eastAsia" w:ascii="方正黑体_GBK" w:eastAsia="方正黑体_GBK"/>
          <w:sz w:val="32"/>
          <w:szCs w:val="32"/>
        </w:rPr>
      </w:pPr>
      <w:r>
        <w:rPr>
          <w:rFonts w:hint="eastAsia" w:ascii="方正黑体_GBK" w:eastAsia="方正黑体_GBK"/>
          <w:sz w:val="32"/>
          <w:szCs w:val="32"/>
        </w:rPr>
        <w:t>七、决算公开联系方式</w:t>
      </w:r>
    </w:p>
    <w:p>
      <w:pPr>
        <w:pStyle w:val="9"/>
        <w:tabs>
          <w:tab w:val="center" w:pos="4153"/>
          <w:tab w:val="left" w:pos="7275"/>
        </w:tabs>
        <w:spacing w:line="600" w:lineRule="exact"/>
        <w:ind w:firstLine="640"/>
        <w:jc w:val="left"/>
        <w:rPr>
          <w:rFonts w:hint="eastAsia" w:ascii="方正仿宋_GBK" w:eastAsia="方正仿宋_GBK"/>
          <w:b/>
          <w:sz w:val="32"/>
          <w:szCs w:val="32"/>
        </w:rPr>
      </w:pPr>
      <w:r>
        <w:rPr>
          <w:rFonts w:hint="eastAsia" w:ascii="方正仿宋_GBK" w:eastAsia="方正仿宋_GBK"/>
          <w:sz w:val="32"/>
          <w:szCs w:val="32"/>
        </w:rPr>
        <w:t>本单位决算公开信息反馈和联系方式：023-47519648。</w:t>
      </w:r>
    </w:p>
    <w:sectPr>
      <w:pgSz w:w="11906" w:h="16838"/>
      <w:pgMar w:top="1588" w:right="1474" w:bottom="147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黑体"/>
    <w:panose1 w:val="00000000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RjYjU0ZmY1MmYyMTU3OGYwZjZlYTk0NGRjMzQ4ODIifQ=="/>
    <w:docVar w:name="KSO_WPS_MARK_KEY" w:val="df4a1b94-ea31-4196-a361-bee8d2e10029"/>
  </w:docVars>
  <w:rsids>
    <w:rsidRoot w:val="00607E12"/>
    <w:rsid w:val="000112A9"/>
    <w:rsid w:val="00020FEC"/>
    <w:rsid w:val="000C189F"/>
    <w:rsid w:val="000C4ED3"/>
    <w:rsid w:val="000D6E09"/>
    <w:rsid w:val="00111CE7"/>
    <w:rsid w:val="001913F4"/>
    <w:rsid w:val="001A09AB"/>
    <w:rsid w:val="001C4DE7"/>
    <w:rsid w:val="001D66F6"/>
    <w:rsid w:val="001E29DD"/>
    <w:rsid w:val="001E4A5F"/>
    <w:rsid w:val="002641A4"/>
    <w:rsid w:val="002751A5"/>
    <w:rsid w:val="002B093F"/>
    <w:rsid w:val="002C2395"/>
    <w:rsid w:val="002E3BF1"/>
    <w:rsid w:val="00316CC4"/>
    <w:rsid w:val="0031790A"/>
    <w:rsid w:val="003561B1"/>
    <w:rsid w:val="00357B99"/>
    <w:rsid w:val="00366F35"/>
    <w:rsid w:val="00390C56"/>
    <w:rsid w:val="003B5A90"/>
    <w:rsid w:val="003E6B5C"/>
    <w:rsid w:val="003F6333"/>
    <w:rsid w:val="00416F40"/>
    <w:rsid w:val="00445957"/>
    <w:rsid w:val="0047429F"/>
    <w:rsid w:val="00483B4A"/>
    <w:rsid w:val="00491132"/>
    <w:rsid w:val="004B5677"/>
    <w:rsid w:val="004D0917"/>
    <w:rsid w:val="00521A19"/>
    <w:rsid w:val="00586A0F"/>
    <w:rsid w:val="005B6627"/>
    <w:rsid w:val="005C54C4"/>
    <w:rsid w:val="005E75E1"/>
    <w:rsid w:val="00607E12"/>
    <w:rsid w:val="006104CA"/>
    <w:rsid w:val="00640539"/>
    <w:rsid w:val="00651C22"/>
    <w:rsid w:val="00675056"/>
    <w:rsid w:val="00675384"/>
    <w:rsid w:val="006A4AA8"/>
    <w:rsid w:val="006A5F3E"/>
    <w:rsid w:val="006B6808"/>
    <w:rsid w:val="006D4AFE"/>
    <w:rsid w:val="006D6650"/>
    <w:rsid w:val="00766F07"/>
    <w:rsid w:val="00772F0D"/>
    <w:rsid w:val="007B648A"/>
    <w:rsid w:val="008104AA"/>
    <w:rsid w:val="008170B4"/>
    <w:rsid w:val="008241C9"/>
    <w:rsid w:val="008262E3"/>
    <w:rsid w:val="008639F6"/>
    <w:rsid w:val="008A11CB"/>
    <w:rsid w:val="008D2288"/>
    <w:rsid w:val="008D3859"/>
    <w:rsid w:val="0091118B"/>
    <w:rsid w:val="00984742"/>
    <w:rsid w:val="009A5D04"/>
    <w:rsid w:val="009A680C"/>
    <w:rsid w:val="009B4FBB"/>
    <w:rsid w:val="00A41DDA"/>
    <w:rsid w:val="00A42BAA"/>
    <w:rsid w:val="00A85192"/>
    <w:rsid w:val="00AE1421"/>
    <w:rsid w:val="00B21DDA"/>
    <w:rsid w:val="00B87835"/>
    <w:rsid w:val="00BE529F"/>
    <w:rsid w:val="00C22BAF"/>
    <w:rsid w:val="00C656FF"/>
    <w:rsid w:val="00C806C6"/>
    <w:rsid w:val="00CB795C"/>
    <w:rsid w:val="00CD5430"/>
    <w:rsid w:val="00D02580"/>
    <w:rsid w:val="00D30488"/>
    <w:rsid w:val="00D7491F"/>
    <w:rsid w:val="00D80D48"/>
    <w:rsid w:val="00D94DD7"/>
    <w:rsid w:val="00E624C2"/>
    <w:rsid w:val="00E8170A"/>
    <w:rsid w:val="00E90996"/>
    <w:rsid w:val="00EC4AED"/>
    <w:rsid w:val="00F06F90"/>
    <w:rsid w:val="00F42370"/>
    <w:rsid w:val="00FD2397"/>
    <w:rsid w:val="29954F3A"/>
    <w:rsid w:val="4D197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简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character" w:styleId="8">
    <w:name w:val="Strong"/>
    <w:basedOn w:val="7"/>
    <w:qFormat/>
    <w:uiPriority w:val="0"/>
    <w:rPr>
      <w:b/>
    </w:rPr>
  </w:style>
  <w:style w:type="paragraph" w:styleId="9">
    <w:name w:val="List Paragraph"/>
    <w:basedOn w:val="1"/>
    <w:qFormat/>
    <w:uiPriority w:val="0"/>
    <w:pPr>
      <w:ind w:firstLine="200" w:firstLineChars="200"/>
    </w:pPr>
  </w:style>
  <w:style w:type="character" w:customStyle="1" w:styleId="10">
    <w:name w:val="gram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14</Pages>
  <Words>6382</Words>
  <Characters>7248</Characters>
  <Lines>53</Lines>
  <Paragraphs>15</Paragraphs>
  <TotalTime>359</TotalTime>
  <ScaleCrop>false</ScaleCrop>
  <LinksUpToDate>false</LinksUpToDate>
  <CharactersWithSpaces>7289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2021-08-11T01:41:00Z</dcterms:created>
  <dc:creator>微软用户</dc:creator>
  <cp:lastModifiedBy>Administrator</cp:lastModifiedBy>
  <cp:lastPrinted>2021-08-24T02:27:00Z</cp:lastPrinted>
  <dcterms:modified xsi:type="dcterms:W3CDTF">2024-04-01T09:11:37Z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63D761BDBE2D403E93DDE6BE7D31C2E2</vt:lpwstr>
  </property>
</Properties>
</file>