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val="0"/>
        <w:widowControl w:val="0"/>
        <w:kinsoku/>
        <w:wordWrap/>
        <w:topLinePunct w:val="0"/>
        <w:autoSpaceDE/>
        <w:autoSpaceDN/>
        <w:bidi w:val="0"/>
        <w:adjustRightInd/>
        <w:spacing w:line="579" w:lineRule="exact"/>
        <w:rPr>
          <w:rFonts w:ascii="Times New Roman" w:eastAsia="方正小标宋_GBK" w:cs="Times New Roman" w:hAnsi="Times New Roman" w:hint="eastAsia"/>
          <w:snapToGrid/>
          <w:spacing w:val="0"/>
          <w:w w:val="100"/>
          <w:kern w:val="21"/>
          <w:sz w:val="36"/>
          <w:szCs w:val="36"/>
          <w:lang w:bidi="ar-SA"/>
        </w:rPr>
      </w:pPr>
    </w:p>
    <w:p>
      <w:pPr>
        <w:pageBreakBefore w:val="0"/>
        <w:widowControl w:val="0"/>
        <w:kinsoku/>
        <w:wordWrap/>
        <w:topLinePunct w:val="0"/>
        <w:autoSpaceDE/>
        <w:autoSpaceDN/>
        <w:bidi w:val="0"/>
        <w:adjustRightInd/>
        <w:spacing w:line="579" w:lineRule="exact"/>
        <w:jc w:val="both"/>
        <w:rPr>
          <w:rFonts w:ascii="Times New Roman" w:eastAsia="方正小标宋_GBK" w:cs="Times New Roman" w:hAnsi="Times New Roman"/>
          <w:snapToGrid/>
          <w:spacing w:val="0"/>
          <w:w w:val="100"/>
          <w:kern w:val="21"/>
          <w:sz w:val="44"/>
          <w:szCs w:val="44"/>
          <w:lang w:bidi="ar-SA"/>
        </w:rPr>
      </w:pPr>
    </w:p>
    <w:p>
      <w:pPr>
        <w:pStyle w:val="15"/>
        <w:keepNext/>
        <w:keepLines/>
        <w:pageBreakBefore w:val="0"/>
        <w:widowControl w:val="0"/>
        <w:suppressLineNumbers w:val="0"/>
        <w:suppressAutoHyphens w:val="0"/>
        <w:bidi w:val="0"/>
        <w:ind w:left="0" w:firstLineChars="0" w:firstLine="0"/>
      </w:pPr>
    </w:p>
    <w:p>
      <w:pPr>
        <w:keepNext w:val="0"/>
        <w:keepLines w:val="0"/>
        <w:pageBreakBefore w:val="0"/>
        <w:widowControl w:val="0"/>
        <w:kinsoku/>
        <w:wordWrap/>
        <w:topLinePunct w:val="0"/>
        <w:autoSpaceDE/>
        <w:autoSpaceDN/>
        <w:bidi w:val="0"/>
        <w:adjustRightInd/>
        <w:snapToGrid w:val="0"/>
        <w:spacing w:line="579" w:lineRule="exact"/>
        <w:jc w:val="center"/>
        <w:textAlignment w:val="auto"/>
        <w:rPr>
          <w:rFonts w:ascii="Times New Roman" w:eastAsia="方正小标宋_GBK" w:cs="Times New Roman" w:hAnsi="Times New Roman" w:hint="eastAsia"/>
          <w:snapToGrid/>
          <w:spacing w:val="0"/>
          <w:w w:val="100"/>
          <w:kern w:val="21"/>
          <w:sz w:val="44"/>
          <w:szCs w:val="44"/>
          <w:lang w:bidi="ar-SA"/>
        </w:rPr>
      </w:pPr>
      <w:r>
        <w:rPr>
          <w:rFonts w:ascii="Times New Roman" w:cs="Times New Roman" w:hAnsi="Times New Roman"/>
          <w:snapToGrid/>
          <w:spacing w:val="0"/>
          <w:w w:val="100"/>
          <w:kern w:val="21"/>
          <w:lang w:bidi="ar-SA"/>
        </w:rPr>
        <w:pict>
          <v:group type="#_x0000_t1" id="组合 4" o:spid="_x0000_s4" coordorigin="1602,4097" coordsize="8839,2715" style="position:absolute;margin-left:0.70000154pt;margin-top:13.100013pt;width:441.94998pt;height:135.75pt;z-index:11;mso-position-horizontal:absolute;mso-position-vertical:absolute;mso-wrap-distance-left:8.999863pt;mso-wrap-distance-right:8.999863pt;">
            <v:line type="#_x0000_t20" id="直线 5" o:spid="_x0000_s5" style="position:absolute;" from="1602.0,6811.9004" to="10441.0,6812.001" filled="f" stroked="t" strokeweight="1.75pt">
              <v:stroke color="#FF0000"/>
            </v:line>
            <v:shape type="#_x0000_t136" id="艺术字 6" o:spid="_x0000_s6" style="position:absolute;left:1767;top:4097;width:8502;height:1073;" filled="f" stroked="f" strokecolor="#000000" adj="10800">
              <v:textpath style="font-family:&quot;方正小标宋_GBK&quot;;" trim="t" fitpath="t" string="重庆市江津区乡村振兴局文件"/>
              <v:stroke color="#000000"/>
            </v:shape>
          </v:group>
        </w:pict>
      </w:r>
    </w:p>
    <w:p>
      <w:pPr>
        <w:keepNext w:val="0"/>
        <w:keepLines w:val="0"/>
        <w:pageBreakBefore w:val="0"/>
        <w:widowControl w:val="0"/>
        <w:kinsoku/>
        <w:wordWrap/>
        <w:topLinePunct w:val="0"/>
        <w:autoSpaceDE/>
        <w:autoSpaceDN/>
        <w:bidi w:val="0"/>
        <w:adjustRightInd/>
        <w:snapToGrid w:val="0"/>
        <w:spacing w:line="579" w:lineRule="exact"/>
        <w:jc w:val="center"/>
        <w:textAlignment w:val="auto"/>
        <w:rPr>
          <w:rFonts w:ascii="Times New Roman" w:eastAsia="方正小标宋_GBK" w:cs="Times New Roman" w:hAnsi="Times New Roman" w:hint="eastAsia"/>
          <w:snapToGrid/>
          <w:spacing w:val="0"/>
          <w:w w:val="100"/>
          <w:kern w:val="21"/>
          <w:sz w:val="44"/>
          <w:szCs w:val="44"/>
          <w:lang w:bidi="ar-SA"/>
        </w:rPr>
      </w:pPr>
    </w:p>
    <w:p>
      <w:pPr>
        <w:keepNext w:val="0"/>
        <w:keepLines w:val="0"/>
        <w:pageBreakBefore w:val="0"/>
        <w:widowControl w:val="0"/>
        <w:kinsoku/>
        <w:wordWrap/>
        <w:topLinePunct w:val="0"/>
        <w:autoSpaceDE/>
        <w:autoSpaceDN/>
        <w:bidi w:val="0"/>
        <w:adjustRightInd/>
        <w:snapToGrid w:val="0"/>
        <w:spacing w:line="579" w:lineRule="exact"/>
        <w:jc w:val="center"/>
        <w:textAlignment w:val="auto"/>
        <w:rPr>
          <w:rFonts w:ascii="Times New Roman" w:eastAsia="方正小标宋_GBK" w:cs="Times New Roman" w:hAnsi="Times New Roman" w:hint="eastAsia"/>
          <w:snapToGrid/>
          <w:spacing w:val="0"/>
          <w:w w:val="100"/>
          <w:kern w:val="21"/>
          <w:sz w:val="44"/>
          <w:szCs w:val="44"/>
          <w:lang w:bidi="ar-SA"/>
        </w:rPr>
      </w:pPr>
    </w:p>
    <w:p>
      <w:pPr>
        <w:keepNext w:val="0"/>
        <w:keepLines w:val="0"/>
        <w:pageBreakBefore w:val="0"/>
        <w:widowControl w:val="0"/>
        <w:kinsoku/>
        <w:wordWrap/>
        <w:topLinePunct w:val="0"/>
        <w:autoSpaceDE/>
        <w:autoSpaceDN/>
        <w:bidi w:val="0"/>
        <w:adjustRightInd/>
        <w:snapToGrid w:val="0"/>
        <w:spacing w:line="579" w:lineRule="exact"/>
        <w:jc w:val="both"/>
        <w:textAlignment w:val="auto"/>
        <w:rPr>
          <w:rFonts w:ascii="Times New Roman" w:eastAsia="方正小标宋_GBK" w:cs="Times New Roman" w:hAnsi="Times New Roman" w:hint="eastAsia"/>
          <w:snapToGrid/>
          <w:spacing w:val="0"/>
          <w:w w:val="100"/>
          <w:kern w:val="21"/>
          <w:sz w:val="24"/>
          <w:szCs w:val="24"/>
          <w:lang w:bidi="ar-SA"/>
        </w:rPr>
      </w:pPr>
    </w:p>
    <w:p>
      <w:pPr>
        <w:keepNext w:val="0"/>
        <w:keepLines w:val="0"/>
        <w:pageBreakBefore w:val="0"/>
        <w:widowControl w:val="0"/>
        <w:kinsoku/>
        <w:wordWrap/>
        <w:overflowPunct w:val="0"/>
        <w:topLinePunct w:val="0"/>
        <w:autoSpaceDE/>
        <w:autoSpaceDN/>
        <w:bidi w:val="0"/>
        <w:adjustRightInd/>
        <w:snapToGrid w:val="0"/>
        <w:spacing w:line="579" w:lineRule="exact"/>
        <w:ind w:leftChars="100" w:left="316" w:rightChars="100" w:right="316"/>
        <w:jc w:val="center"/>
        <w:textAlignment w:val="auto"/>
        <w:rPr>
          <w:rFonts w:ascii="宋体" w:eastAsia="方正仿宋_GBK" w:cs="方正仿宋_GBK" w:hAnsi="宋体" w:hint="eastAsia"/>
          <w:snapToGrid/>
          <w:spacing w:val="0"/>
          <w:w w:val="100"/>
          <w:kern w:val="21"/>
          <w:sz w:val="32"/>
          <w:szCs w:val="32"/>
          <w:lang w:eastAsia="zh-CN" w:bidi="ar-SA"/>
        </w:rPr>
      </w:pPr>
      <w:r>
        <w:rPr>
          <w:rFonts w:ascii="宋体" w:eastAsia="方正仿宋_GBK" w:cs="方正仿宋_GBK" w:hAnsi="宋体" w:hint="eastAsia"/>
          <w:snapToGrid/>
          <w:spacing w:val="0"/>
          <w:w w:val="100"/>
          <w:kern w:val="21"/>
          <w:sz w:val="32"/>
          <w:szCs w:val="32"/>
          <w:lang w:bidi="ar-SA"/>
        </w:rPr>
        <w:t>津</w:t>
      </w:r>
      <w:r>
        <w:rPr>
          <w:rFonts w:ascii="宋体" w:eastAsia="方正仿宋_GBK" w:cs="方正仿宋_GBK" w:hAnsi="宋体" w:hint="eastAsia"/>
          <w:snapToGrid/>
          <w:spacing w:val="0"/>
          <w:w w:val="100"/>
          <w:kern w:val="21"/>
          <w:sz w:val="32"/>
          <w:szCs w:val="32"/>
          <w:lang w:eastAsia="zh-CN" w:bidi="ar-SA"/>
        </w:rPr>
        <w:t>乡振发</w:t>
      </w:r>
      <w:r>
        <w:rPr>
          <w:rFonts w:ascii="宋体" w:eastAsia="方正仿宋_GBK" w:cs="方正仿宋_GBK" w:hAnsi="宋体" w:hint="eastAsia"/>
          <w:snapToGrid/>
          <w:spacing w:val="0"/>
          <w:w w:val="100"/>
          <w:kern w:val="21"/>
          <w:sz w:val="32"/>
          <w:szCs w:val="32"/>
          <w:lang w:bidi="ar-SA"/>
        </w:rPr>
        <w:t>〔20</w:t>
      </w:r>
      <w:r>
        <w:rPr>
          <w:rFonts w:ascii="宋体" w:eastAsia="方正仿宋_GBK" w:cs="方正仿宋_GBK" w:hAnsi="宋体" w:hint="eastAsia"/>
          <w:snapToGrid/>
          <w:spacing w:val="0"/>
          <w:w w:val="100"/>
          <w:kern w:val="21"/>
          <w:sz w:val="32"/>
          <w:szCs w:val="32"/>
          <w:lang w:val="en-US" w:eastAsia="zh-CN" w:bidi="ar-SA"/>
        </w:rPr>
        <w:t>23</w:t>
      </w:r>
      <w:r>
        <w:rPr>
          <w:rFonts w:ascii="宋体" w:eastAsia="方正仿宋_GBK" w:cs="方正仿宋_GBK" w:hAnsi="宋体" w:hint="eastAsia"/>
          <w:snapToGrid/>
          <w:spacing w:val="0"/>
          <w:w w:val="100"/>
          <w:kern w:val="21"/>
          <w:sz w:val="32"/>
          <w:szCs w:val="32"/>
          <w:lang w:bidi="ar-SA"/>
        </w:rPr>
        <w:t>〕</w:t>
      </w:r>
      <w:r>
        <w:rPr>
          <w:rFonts w:ascii="宋体" w:eastAsia="方正仿宋_GBK" w:cs="方正仿宋_GBK" w:hAnsi="宋体" w:hint="eastAsia"/>
          <w:snapToGrid/>
          <w:spacing w:val="0"/>
          <w:w w:val="100"/>
          <w:kern w:val="21"/>
          <w:sz w:val="32"/>
          <w:szCs w:val="32"/>
          <w:lang w:val="en-US" w:eastAsia="zh-CN" w:bidi="ar-SA"/>
        </w:rPr>
        <w:t>26</w:t>
      </w:r>
      <w:r>
        <w:rPr>
          <w:rFonts w:ascii="宋体" w:eastAsia="方正仿宋_GBK" w:cs="方正仿宋_GBK" w:hAnsi="宋体" w:hint="eastAsia"/>
          <w:snapToGrid/>
          <w:spacing w:val="0"/>
          <w:w w:val="100"/>
          <w:kern w:val="21"/>
          <w:sz w:val="32"/>
          <w:szCs w:val="32"/>
          <w:lang w:bidi="ar-SA"/>
        </w:rPr>
        <w:t>号</w:t>
      </w:r>
    </w:p>
    <w:p>
      <w:pPr>
        <w:pageBreakBefore w:val="0"/>
        <w:widowControl w:val="0"/>
        <w:kinsoku/>
        <w:wordWrap/>
        <w:topLinePunct w:val="0"/>
        <w:autoSpaceDE/>
        <w:autoSpaceDN/>
        <w:bidi w:val="0"/>
        <w:adjustRightInd/>
        <w:spacing w:line="579" w:lineRule="exact"/>
        <w:jc w:val="center"/>
        <w:rPr>
          <w:rFonts w:ascii="Times New Roman" w:eastAsia="方正小标宋_GBK" w:cs="Times New Roman" w:hAnsi="Times New Roman"/>
          <w:snapToGrid/>
          <w:spacing w:val="0"/>
          <w:w w:val="100"/>
          <w:kern w:val="21"/>
          <w:sz w:val="44"/>
          <w:szCs w:val="44"/>
          <w:lang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重庆市江津区乡村振兴局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关于下达2023年度巩固拓展脱贫</w:t>
      </w:r>
      <w:r>
        <w:rPr>
          <w:rFonts w:ascii="方正小标宋_GBK" w:eastAsia="方正小标宋_GBK" w:cs="方正小标宋_GBK"/>
          <w:sz w:val="44"/>
          <w:szCs w:val="44"/>
          <w:lang w:eastAsia="zh-CN"/>
        </w:rPr>
        <w:t>攻坚</w:t>
      </w:r>
      <w:r>
        <w:rPr>
          <w:rFonts w:ascii="方正小标宋_GBK" w:eastAsia="方正小标宋_GBK" w:cs="方正小标宋_GBK" w:hint="eastAsia"/>
          <w:sz w:val="44"/>
          <w:szCs w:val="44"/>
          <w:lang w:eastAsia="zh-CN"/>
        </w:rPr>
        <w:t>成果精气神和人居环境整治培训项目资金计划的通知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仿宋_GBK" w:eastAsia="方正仿宋_GBK" w:cs="方正仿宋_GBK"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ascii="宋体" w:eastAsia="方正仿宋_GBK" w:cs="方正仿宋_GBK" w:hAnsi="宋体" w:hint="eastAsia"/>
          <w:sz w:val="32"/>
          <w:szCs w:val="32"/>
          <w:lang w:eastAsia="zh-CN"/>
        </w:rPr>
      </w:pPr>
      <w:r>
        <w:rPr>
          <w:rFonts w:ascii="宋体" w:eastAsia="方正仿宋_GBK" w:cs="方正仿宋_GBK" w:hAnsi="宋体" w:hint="eastAsia"/>
          <w:sz w:val="32"/>
          <w:szCs w:val="32"/>
          <w:lang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eastAsia="zh-CN"/>
        </w:rPr>
      </w:pPr>
      <w:r>
        <w:rPr>
          <w:rFonts w:ascii="宋体" w:eastAsia="方正仿宋_GBK" w:cs="方正仿宋_GBK" w:hAnsi="宋体" w:hint="eastAsia"/>
          <w:sz w:val="32"/>
          <w:szCs w:val="32"/>
          <w:lang w:eastAsia="zh-CN"/>
        </w:rPr>
        <w:t>为激发群众自力更生发展，提升改善精神面貌和居住环境，进一步巩固拓展脱贫攻坚成果同乡村振兴有效衔接，决定对监测户、农村低保户等重点低收入群体进一步开展政策宣传，在试点镇村开展重点低收入群体以及部分村组干部精气神培训和人居环境整治培训，现就培训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黑体_GBK" w:cs="方正黑体_GBK" w:hAnsi="宋体" w:hint="eastAsia"/>
          <w:sz w:val="32"/>
          <w:szCs w:val="32"/>
          <w:lang w:eastAsia="zh-CN"/>
        </w:rPr>
      </w:pPr>
      <w:r>
        <w:rPr>
          <w:rFonts w:ascii="宋体" w:eastAsia="方正黑体_GBK" w:cs="方正黑体_GBK" w:hAnsi="宋体" w:hint="eastAsia"/>
          <w:sz w:val="32"/>
          <w:szCs w:val="32"/>
          <w:lang w:eastAsia="zh-CN"/>
        </w:rPr>
        <w:t>一、工作内容</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eastAsia="zh-CN"/>
        </w:rPr>
      </w:pPr>
      <w:r>
        <w:rPr>
          <w:rFonts w:ascii="宋体" w:eastAsia="方正仿宋_GBK" w:cs="方正仿宋_GBK" w:hAnsi="宋体" w:hint="eastAsia"/>
          <w:sz w:val="32"/>
          <w:szCs w:val="32"/>
          <w:lang w:eastAsia="zh-CN"/>
        </w:rPr>
        <w:t>（一）请第三方机构开展数据筛查，从全区脱贫户、监测户、农村低保户、危房户、大病户等重点群体中，筛选重点帮助对象。</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eastAsia="zh-CN"/>
        </w:rPr>
      </w:pPr>
      <w:r>
        <w:rPr>
          <w:rFonts w:ascii="宋体" w:eastAsia="方正仿宋_GBK" w:cs="方正仿宋_GBK" w:hAnsi="宋体" w:hint="eastAsia"/>
          <w:sz w:val="32"/>
          <w:szCs w:val="32"/>
          <w:lang w:eastAsia="zh-CN"/>
        </w:rPr>
        <w:t>（二）由各镇街对筛选重点对象开展逐户走访、排查和帮扶，着重开展精气神、政策和人居环境整治教导等工作。</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eastAsia="zh-CN"/>
        </w:rPr>
        <w:t>（三）在</w:t>
      </w:r>
      <w:r>
        <w:rPr>
          <w:rFonts w:ascii="宋体" w:eastAsia="方正仿宋_GBK" w:cs="方正仿宋_GBK" w:hAnsi="宋体" w:hint="eastAsia"/>
          <w:sz w:val="32"/>
          <w:szCs w:val="32"/>
          <w:lang w:val="en-US" w:eastAsia="zh-CN"/>
        </w:rPr>
        <w:t>6个巩固脱贫任务较重的柏林镇、蔡家镇、西湖镇、永兴镇、白沙镇、贾嗣镇对筛选对象在内的低收入群体、村社干部开展</w:t>
      </w:r>
      <w:r>
        <w:rPr>
          <w:rFonts w:ascii="宋体" w:eastAsia="方正仿宋_GBK" w:cs="方正仿宋_GBK" w:hAnsi="宋体" w:hint="eastAsia"/>
          <w:sz w:val="32"/>
          <w:szCs w:val="32"/>
          <w:lang w:eastAsia="zh-CN"/>
        </w:rPr>
        <w:t>精气神和人居环境整治培训，以及</w:t>
      </w:r>
      <w:r>
        <w:rPr>
          <w:rFonts w:ascii="宋体" w:eastAsia="方正仿宋_GBK" w:cs="方正仿宋_GBK" w:hAnsi="宋体" w:hint="eastAsia"/>
          <w:sz w:val="32"/>
          <w:szCs w:val="32"/>
          <w:lang w:val="en-US" w:eastAsia="zh-CN"/>
        </w:rPr>
        <w:t>3个月</w:t>
      </w:r>
      <w:r>
        <w:rPr>
          <w:rFonts w:ascii="宋体" w:eastAsia="方正仿宋_GBK" w:cs="方正仿宋_GBK" w:hAnsi="宋体" w:hint="eastAsia"/>
          <w:sz w:val="32"/>
          <w:szCs w:val="32"/>
          <w:lang w:eastAsia="zh-CN"/>
        </w:rPr>
        <w:t>跟踪服务。每镇培训</w:t>
      </w:r>
      <w:r>
        <w:rPr>
          <w:rFonts w:ascii="宋体" w:eastAsia="方正仿宋_GBK" w:cs="方正仿宋_GBK" w:hAnsi="宋体" w:hint="eastAsia"/>
          <w:sz w:val="32"/>
          <w:szCs w:val="32"/>
          <w:lang w:val="en-US" w:eastAsia="zh-CN"/>
        </w:rPr>
        <w:t>80人，时间2天。</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黑体_GBK" w:cs="方正黑体_GBK" w:hAnsi="宋体" w:hint="eastAsia"/>
          <w:sz w:val="32"/>
          <w:szCs w:val="32"/>
          <w:lang w:val="en-US" w:eastAsia="zh-CN"/>
        </w:rPr>
      </w:pPr>
      <w:r>
        <w:rPr>
          <w:rFonts w:ascii="宋体" w:eastAsia="方正黑体_GBK" w:cs="方正黑体_GBK" w:hAnsi="宋体" w:hint="eastAsia"/>
          <w:sz w:val="32"/>
          <w:szCs w:val="32"/>
          <w:lang w:val="en-US" w:eastAsia="zh-CN"/>
        </w:rPr>
        <w:t>二、实施方式</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（一）第三方机构数据筛选服务由区农业农村委（区乡村振兴局）负责采购。重点对象帮扶由相应各镇街负责。</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（二）柏林镇、蔡家镇、西湖镇、永兴镇、白沙镇、贾嗣镇的人员培训由各镇负责实施。</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黑体_GBK" w:cs="方正黑体_GBK" w:hAnsi="宋体" w:hint="eastAsia"/>
          <w:sz w:val="32"/>
          <w:szCs w:val="32"/>
          <w:lang w:val="en-US" w:eastAsia="zh-CN"/>
        </w:rPr>
      </w:pPr>
      <w:r>
        <w:rPr>
          <w:rFonts w:ascii="宋体" w:eastAsia="方正黑体_GBK" w:cs="方正黑体_GBK" w:hAnsi="宋体" w:hint="eastAsia"/>
          <w:sz w:val="32"/>
          <w:szCs w:val="32"/>
          <w:lang w:val="en-US" w:eastAsia="zh-CN"/>
        </w:rPr>
        <w:t>三、经费预算</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sz w:val="32"/>
          <w:szCs w:val="32"/>
          <w:lang w:val="en-US" w:eastAsia="zh-CN"/>
        </w:rPr>
      </w:pPr>
      <w:r>
        <w:rPr>
          <w:rFonts w:ascii="宋体" w:eastAsia="方正仿宋_GBK" w:cs="方正仿宋_GBK" w:hAnsi="宋体" w:hint="eastAsia"/>
          <w:sz w:val="32"/>
          <w:szCs w:val="32"/>
          <w:lang w:val="en-US" w:eastAsia="zh-CN"/>
        </w:rPr>
        <w:t>资金来源：2023年巩固拓展脱贫攻坚成果同乡村振兴有效衔接资金中的</w:t>
      </w:r>
      <w:r>
        <w:rPr>
          <w:rFonts w:ascii="宋体" w:eastAsia="方正仿宋_GBK" w:cs="Times New Roman" w:hAnsi="宋体" w:hint="eastAsia"/>
          <w:sz w:val="32"/>
          <w:szCs w:val="32"/>
          <w:lang w:val="en-US" w:eastAsia="zh-CN"/>
        </w:rPr>
        <w:t>江津区2023年乡村振兴培训项目资金</w:t>
      </w:r>
      <w:r>
        <w:rPr>
          <w:rFonts w:ascii="宋体" w:eastAsia="方正仿宋_GBK" w:cs="方正仿宋_GBK" w:hAnsi="宋体" w:hint="eastAsia"/>
          <w:sz w:val="32"/>
          <w:szCs w:val="32"/>
          <w:lang w:val="en-US" w:eastAsia="zh-CN"/>
        </w:rPr>
        <w:t>，共计20万元。</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（一）第三方机构服务采购经费预算2万元。</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（二）人员培训经费预算18万元，其中：柏林镇、蔡家镇、西湖镇、永兴镇、白沙镇、贾嗣镇每镇3万元。</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黑体_GBK" w:cs="方正黑体_GBK" w:hAnsi="宋体" w:hint="eastAsia"/>
          <w:sz w:val="32"/>
          <w:szCs w:val="32"/>
          <w:lang w:val="en-US" w:eastAsia="zh-CN"/>
        </w:rPr>
      </w:pPr>
      <w:r>
        <w:rPr>
          <w:rFonts w:ascii="宋体" w:eastAsia="方正黑体_GBK" w:cs="方正黑体_GBK" w:hAnsi="宋体" w:hint="eastAsia"/>
          <w:sz w:val="32"/>
          <w:szCs w:val="32"/>
          <w:lang w:val="en-US" w:eastAsia="zh-CN"/>
        </w:rPr>
        <w:t>四、实施时间</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10月25日前完成工作内容，11月5日前申请拨款，11月15日前完成拨款。</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adjustRightInd/>
        <w:snapToGrid/>
        <w:spacing w:line="579" w:lineRule="exact"/>
        <w:ind w:firstLineChars="200" w:firstLine="632"/>
        <w:rPr>
          <w:rFonts w:ascii="宋体" w:eastAsia="方正仿宋_GBK" w:cs="方正仿宋_GBK" w:hAnsi="宋体" w:hint="eastAsia"/>
          <w:szCs w:val="32"/>
        </w:rPr>
      </w:pPr>
      <w:r>
        <w:rPr>
          <w:rFonts w:ascii="宋体" w:eastAsia="方正仿宋_GBK" w:cs="方正仿宋_GBK" w:hAnsi="宋体" w:hint="eastAsia"/>
          <w:sz w:val="32"/>
          <w:szCs w:val="32"/>
          <w:lang w:val="en-US" w:eastAsia="zh-CN"/>
        </w:rPr>
        <w:t>附件：江津区2023年度巩固拓展脱贫</w:t>
      </w:r>
      <w:r>
        <w:rPr>
          <w:rFonts w:ascii="宋体" w:eastAsia="方正仿宋_GBK" w:cs="方正仿宋_GBK" w:hAnsi="宋体"/>
          <w:sz w:val="32"/>
          <w:szCs w:val="32"/>
          <w:lang w:val="en-US" w:eastAsia="zh-CN"/>
        </w:rPr>
        <w:t>攻坚</w:t>
      </w:r>
      <w:r>
        <w:rPr>
          <w:rFonts w:ascii="宋体" w:eastAsia="方正仿宋_GBK" w:cs="方正仿宋_GBK" w:hAnsi="宋体" w:hint="eastAsia"/>
          <w:sz w:val="32"/>
          <w:szCs w:val="32"/>
          <w:lang w:val="en-US" w:eastAsia="zh-CN"/>
        </w:rPr>
        <w:t>成果</w:t>
      </w:r>
      <w:r>
        <w:rPr>
          <w:rFonts w:ascii="宋体" w:eastAsia="方正仿宋_GBK" w:cs="方正仿宋_GBK" w:hAnsi="宋体" w:hint="eastAsia"/>
          <w:sz w:val="32"/>
          <w:szCs w:val="32"/>
          <w:lang w:eastAsia="zh-CN"/>
        </w:rPr>
        <w:t>精气神和人居环境整治</w:t>
      </w:r>
      <w:r>
        <w:rPr>
          <w:rFonts w:ascii="宋体" w:eastAsia="方正仿宋_GBK" w:cs="方正仿宋_GBK" w:hAnsi="宋体" w:hint="eastAsia"/>
          <w:sz w:val="32"/>
          <w:szCs w:val="32"/>
          <w:lang w:val="en-US" w:eastAsia="zh-CN"/>
        </w:rPr>
        <w:t>培训方案</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Chars="200" w:right="632" w:firstLineChars="1500" w:firstLine="4738"/>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t>重庆市江津区乡村振兴局</w:t>
      </w:r>
    </w:p>
    <w:p>
      <w:pPr>
        <w:keepNext w:val="0"/>
        <w:keepLines w:val="0"/>
        <w:pageBreakBefore w:val="0"/>
        <w:widowControl w:val="0"/>
        <w:kinsoku/>
        <w:wordWrap/>
        <w:overflowPunct/>
        <w:topLinePunct w:val="0"/>
        <w:autoSpaceDE/>
        <w:autoSpaceDN/>
        <w:bidi w:val="0"/>
        <w:adjustRightInd/>
        <w:snapToGrid/>
        <w:spacing w:line="579" w:lineRule="exact"/>
        <w:ind w:firstLineChars="1700" w:firstLine="5370"/>
        <w:textAlignment w:val="auto"/>
        <w:rPr>
          <w:rFonts w:ascii="宋体" w:eastAsia="方正仿宋_GBK" w:cs="方正仿宋_GBK" w:hAnsi="宋体"/>
          <w:sz w:val="32"/>
          <w:szCs w:val="32"/>
          <w:lang w:val="en-US" w:eastAsia="zh-CN"/>
        </w:rPr>
      </w:pPr>
      <w:r>
        <w:rPr>
          <w:rFonts w:ascii="宋体" w:eastAsia="方正仿宋_GBK" w:cs="方正仿宋_GBK" w:hAnsi="宋体" w:hint="eastAsia"/>
          <w:sz w:val="32"/>
          <w:szCs w:val="32"/>
          <w:lang w:val="en-US" w:eastAsia="zh-CN"/>
        </w:rPr>
        <w:t>2023年10月12日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r>
        <w:rPr>
          <w:rFonts w:ascii="宋体" w:eastAsia="方正仿宋_GBK" w:cs="方正仿宋_GBK" w:hAnsi="宋体" w:hint="eastAsia"/>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宋体" w:eastAsia="方正仿宋_GBK" w:cs="方正仿宋_GBK" w:hAnsi="宋体" w:hint="eastAsia"/>
          <w:sz w:val="32"/>
          <w:szCs w:val="32"/>
          <w:lang w:val="en-US" w:eastAsia="zh-CN"/>
        </w:rPr>
      </w:pPr>
    </w:p>
    <w:tbl>
      <w:tblPr>
        <w:tblpPr w:leftFromText="180" w:rightFromText="180" w:vertAnchor="text" w:horzAnchor="page" w:tblpXSpec="center" w:tblpY="423"/>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61"/>
      </w:tblGrid>
      <w:tr>
        <w:trPr>
          <w:trHeight w:val="618"/>
        </w:trPr>
        <w:tc>
          <w:tcPr>
            <w:tcW w:w="9061" w:type="dxa"/>
            <w:tcBorders>
              <w:left w:val="nil"/>
              <w:right w:val="nil"/>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leftChars="100" w:left="316" w:rightChars="100" w:right="316" w:firstLine="0"/>
              <w:jc w:val="left"/>
              <w:textAlignment w:val="auto"/>
              <w:rPr>
                <w:rFonts w:ascii="宋体" w:eastAsia="方正仿宋_GBK" w:cs="Times New Roman" w:hAnsi="宋体" w:hint="eastAsia"/>
                <w:snapToGrid/>
                <w:spacing w:val="0"/>
                <w:w w:val="100"/>
                <w:kern w:val="21"/>
                <w:sz w:val="28"/>
                <w:szCs w:val="28"/>
                <w:vertAlign w:val="baseline"/>
                <w:lang w:val="en-US" w:eastAsia="zh-CN"/>
              </w:rPr>
            </w:pPr>
            <w:r>
              <w:rPr>
                <w:rFonts w:ascii="宋体" w:eastAsia="方正仿宋_GBK" w:cs="Times New Roman" w:hAnsi="宋体" w:hint="eastAsia"/>
                <w:snapToGrid/>
                <w:spacing w:val="0"/>
                <w:w w:val="100"/>
                <w:kern w:val="21"/>
                <w:sz w:val="28"/>
                <w:szCs w:val="28"/>
                <w:vertAlign w:val="baseline"/>
                <w:lang w:val="en-US" w:eastAsia="zh-CN"/>
              </w:rPr>
              <w:t>重</w:t>
            </w:r>
            <w:r>
              <w:rPr>
                <w:rFonts w:ascii="宋体" w:eastAsia="方正仿宋_GBK" w:cs="方正仿宋_GBK" w:hAnsi="宋体" w:hint="eastAsia"/>
                <w:snapToGrid/>
                <w:spacing w:val="0"/>
                <w:w w:val="100"/>
                <w:kern w:val="21"/>
                <w:sz w:val="28"/>
                <w:szCs w:val="28"/>
                <w:lang w:bidi="ar-SA"/>
              </w:rPr>
              <w:t>庆市江津</w:t>
            </w:r>
            <w:r>
              <w:rPr>
                <w:rFonts w:ascii="宋体" w:eastAsia="方正仿宋_GBK" w:cs="方正仿宋_GBK" w:hAnsi="宋体" w:hint="eastAsia"/>
                <w:snapToGrid/>
                <w:spacing w:val="0"/>
                <w:w w:val="100"/>
                <w:kern w:val="21"/>
                <w:sz w:val="28"/>
                <w:szCs w:val="28"/>
                <w:lang w:eastAsia="zh-CN" w:bidi="ar-SA"/>
              </w:rPr>
              <w:t>区乡村振兴局</w:t>
            </w:r>
            <w:r>
              <w:rPr>
                <w:rFonts w:ascii="宋体" w:eastAsia="方正仿宋_GBK" w:cs="方正仿宋_GBK" w:hAnsi="宋体" w:hint="eastAsia"/>
                <w:snapToGrid/>
                <w:spacing w:val="0"/>
                <w:w w:val="100"/>
                <w:kern w:val="21"/>
                <w:sz w:val="28"/>
                <w:szCs w:val="28"/>
                <w:lang w:bidi="ar-SA"/>
              </w:rPr>
              <w:t>办公室</w:t>
            </w:r>
            <w:r>
              <w:rPr>
                <w:rFonts w:ascii="宋体" w:eastAsia="方正仿宋_GBK" w:cs="Times New Roman" w:hAnsi="宋体" w:hint="eastAsia"/>
                <w:snapToGrid/>
                <w:spacing w:val="0"/>
                <w:w w:val="100"/>
                <w:kern w:val="21"/>
                <w:sz w:val="28"/>
                <w:szCs w:val="28"/>
                <w:lang w:bidi="ar-SA"/>
              </w:rPr>
              <w:t xml:space="preserve">    </w:t>
            </w:r>
            <w:r>
              <w:rPr>
                <w:rFonts w:ascii="宋体" w:cs="Times New Roman" w:hint="eastAsia"/>
                <w:snapToGrid/>
                <w:spacing w:val="0"/>
                <w:w w:val="100"/>
                <w:kern w:val="21"/>
                <w:sz w:val="28"/>
                <w:szCs w:val="28"/>
                <w:lang w:val="en-US" w:eastAsia="zh-CN" w:bidi="ar-SA"/>
              </w:rPr>
              <w:t xml:space="preserve"> </w:t>
            </w:r>
            <w:r>
              <w:rPr>
                <w:rFonts w:ascii="宋体" w:eastAsia="方正仿宋_GBK" w:cs="Times New Roman" w:hAnsi="宋体" w:hint="eastAsia"/>
                <w:snapToGrid/>
                <w:spacing w:val="0"/>
                <w:w w:val="100"/>
                <w:kern w:val="21"/>
                <w:sz w:val="28"/>
                <w:szCs w:val="28"/>
                <w:lang w:bidi="ar-SA"/>
              </w:rPr>
              <w:t xml:space="preserve">       20</w:t>
            </w:r>
            <w:r>
              <w:rPr>
                <w:rFonts w:ascii="宋体" w:eastAsia="方正仿宋_GBK" w:cs="Times New Roman" w:hAnsi="宋体" w:hint="eastAsia"/>
                <w:snapToGrid/>
                <w:spacing w:val="0"/>
                <w:w w:val="100"/>
                <w:kern w:val="21"/>
                <w:sz w:val="28"/>
                <w:szCs w:val="28"/>
                <w:lang w:val="en-US" w:eastAsia="zh-CN" w:bidi="ar-SA"/>
              </w:rPr>
              <w:t>2</w:t>
            </w:r>
            <w:r>
              <w:rPr>
                <w:rFonts w:ascii="宋体" w:cs="Times New Roman" w:hint="eastAsia"/>
                <w:snapToGrid/>
                <w:spacing w:val="0"/>
                <w:w w:val="100"/>
                <w:kern w:val="21"/>
                <w:sz w:val="28"/>
                <w:szCs w:val="28"/>
                <w:lang w:val="en-US" w:eastAsia="zh-CN" w:bidi="ar-SA"/>
              </w:rPr>
              <w:t>3</w:t>
            </w:r>
            <w:r>
              <w:rPr>
                <w:rFonts w:ascii="宋体" w:eastAsia="方正仿宋_GBK" w:cs="Times New Roman" w:hAnsi="宋体" w:hint="eastAsia"/>
                <w:snapToGrid/>
                <w:spacing w:val="0"/>
                <w:w w:val="100"/>
                <w:kern w:val="21"/>
                <w:sz w:val="28"/>
                <w:szCs w:val="28"/>
                <w:lang w:bidi="ar-SA"/>
              </w:rPr>
              <w:t>年</w:t>
            </w:r>
            <w:r>
              <w:rPr>
                <w:rFonts w:ascii="宋体" w:cs="Times New Roman" w:hint="eastAsia"/>
                <w:snapToGrid/>
                <w:spacing w:val="0"/>
                <w:w w:val="100"/>
                <w:kern w:val="21"/>
                <w:sz w:val="28"/>
                <w:szCs w:val="28"/>
                <w:lang w:val="en-US" w:eastAsia="zh-CN" w:bidi="ar-SA"/>
              </w:rPr>
              <w:t>10</w:t>
            </w:r>
            <w:r>
              <w:rPr>
                <w:rFonts w:ascii="宋体" w:eastAsia="方正仿宋_GBK" w:cs="Times New Roman" w:hAnsi="宋体" w:hint="eastAsia"/>
                <w:snapToGrid/>
                <w:spacing w:val="0"/>
                <w:w w:val="100"/>
                <w:kern w:val="21"/>
                <w:sz w:val="28"/>
                <w:szCs w:val="28"/>
                <w:lang w:bidi="ar-SA"/>
              </w:rPr>
              <w:t>月</w:t>
            </w:r>
            <w:r>
              <w:rPr>
                <w:rFonts w:ascii="宋体" w:cs="Times New Roman" w:hint="eastAsia"/>
                <w:snapToGrid/>
                <w:spacing w:val="0"/>
                <w:w w:val="100"/>
                <w:kern w:val="21"/>
                <w:sz w:val="28"/>
                <w:szCs w:val="28"/>
                <w:lang w:val="en-US" w:eastAsia="zh-CN" w:bidi="ar-SA"/>
              </w:rPr>
              <w:t>12</w:t>
            </w:r>
            <w:r>
              <w:rPr>
                <w:rFonts w:ascii="宋体" w:eastAsia="方正仿宋_GBK" w:cs="Times New Roman" w:hAnsi="宋体" w:hint="eastAsia"/>
                <w:snapToGrid/>
                <w:spacing w:val="0"/>
                <w:w w:val="100"/>
                <w:kern w:val="21"/>
                <w:sz w:val="28"/>
                <w:szCs w:val="28"/>
                <w:lang w:bidi="ar-SA"/>
              </w:rPr>
              <w:t>日印发</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方正黑体_GBK" w:eastAsia="方正黑体_GBK" w:cs="方正黑体_GBK" w:hint="eastAsia"/>
          <w:sz w:val="32"/>
          <w:szCs w:val="32"/>
          <w:lang w:eastAsia="zh-CN"/>
        </w:rPr>
      </w:pPr>
      <w:r>
        <w:rPr>
          <w:rFonts w:ascii="方正黑体_GBK" w:eastAsia="方正黑体_GBK" w:cs="方正黑体_GBK" w:hint="eastAsia"/>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hint="eastAsia"/>
          <w:sz w:val="44"/>
          <w:szCs w:val="44"/>
          <w:lang w:eastAsia="zh-CN"/>
        </w:rPr>
      </w:pPr>
    </w:p>
    <w:p>
      <w:pPr>
        <w:keepNext w:val="0"/>
        <w:keepLines w:val="0"/>
        <w:pageBreakBefore w:val="0"/>
        <w:widowControl w:val="0"/>
        <w:kinsoku/>
        <w:wordWrap/>
        <w:overflowPunct/>
        <w:topLinePunct w:val="0"/>
        <w:autoSpaceDE/>
        <w:autoSpaceDN/>
        <w:adjustRightInd/>
        <w:snapToGrid/>
        <w:spacing w:line="579" w:lineRule="exact"/>
        <w:jc w:val="center"/>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江津区</w:t>
      </w:r>
      <w:r>
        <w:rPr>
          <w:rFonts w:ascii="方正小标宋_GBK" w:eastAsia="方正小标宋_GBK" w:cs="方正小标宋_GBK" w:hint="eastAsia"/>
          <w:sz w:val="44"/>
          <w:szCs w:val="44"/>
          <w:lang w:val="en-US" w:eastAsia="zh-CN"/>
        </w:rPr>
        <w:t>2023年度巩固拓展脱贫</w:t>
      </w:r>
      <w:r>
        <w:rPr>
          <w:rFonts w:ascii="方正小标宋_GBK" w:eastAsia="方正小标宋_GBK" w:cs="方正小标宋_GBK"/>
          <w:sz w:val="44"/>
          <w:szCs w:val="44"/>
          <w:lang w:val="en-US" w:eastAsia="zh-CN"/>
        </w:rPr>
        <w:t>攻坚</w:t>
      </w:r>
      <w:r>
        <w:rPr>
          <w:rFonts w:ascii="方正小标宋_GBK" w:eastAsia="方正小标宋_GBK" w:cs="方正小标宋_GBK" w:hint="eastAsia"/>
          <w:sz w:val="44"/>
          <w:szCs w:val="44"/>
          <w:lang w:val="en-US" w:eastAsia="zh-CN"/>
        </w:rPr>
        <w:t>成果</w:t>
      </w:r>
      <w:r>
        <w:rPr>
          <w:rFonts w:ascii="方正小标宋_GBK" w:eastAsia="方正小标宋_GBK" w:cs="方正小标宋_GBK" w:hint="eastAsia"/>
          <w:sz w:val="44"/>
          <w:szCs w:val="44"/>
          <w:lang w:eastAsia="zh-CN"/>
        </w:rPr>
        <w:t>精气神和</w:t>
      </w:r>
      <w:bookmarkStart w:id="0" w:name="_GoBack"/>
      <w:bookmarkEnd w:id="0"/>
      <w:r>
        <w:rPr>
          <w:rFonts w:ascii="方正小标宋_GBK" w:eastAsia="方正小标宋_GBK" w:cs="方正小标宋_GBK" w:hint="eastAsia"/>
          <w:sz w:val="44"/>
          <w:szCs w:val="44"/>
          <w:lang w:eastAsia="zh-CN"/>
        </w:rPr>
        <w:t>人居环境整治培训方案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hint="eastAsia"/>
          <w:sz w:val="44"/>
          <w:szCs w:val="44"/>
          <w:lang w:eastAsia="zh-CN"/>
        </w:rPr>
      </w:pP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黑体_GBK" w:eastAsia="方正黑体_GBK" w:cs="方正黑体_GBK" w:hint="eastAsia"/>
          <w:b w:val="0"/>
          <w:bCs w:val="0"/>
          <w:sz w:val="32"/>
          <w:szCs w:val="32"/>
          <w:lang w:val="en-US" w:eastAsia="zh-CN"/>
        </w:rPr>
      </w:pPr>
      <w:r>
        <w:rPr>
          <w:rFonts w:ascii="方正黑体_GBK" w:eastAsia="方正黑体_GBK" w:cs="方正黑体_GBK" w:hint="eastAsia"/>
          <w:b w:val="0"/>
          <w:bCs w:val="0"/>
          <w:sz w:val="32"/>
          <w:szCs w:val="32"/>
          <w:lang w:val="en-US" w:eastAsia="zh-CN"/>
        </w:rPr>
        <w:t>一、培训课程安排</w:t>
      </w: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楷体_GBK" w:eastAsia="方正楷体_GBK" w:cs="方正楷体_GBK" w:hint="eastAsia"/>
          <w:b w:val="0"/>
          <w:bCs w:val="0"/>
          <w:sz w:val="32"/>
          <w:szCs w:val="32"/>
          <w:lang w:val="en-US" w:eastAsia="zh-CN"/>
        </w:rPr>
      </w:pPr>
      <w:r>
        <w:rPr>
          <w:rFonts w:ascii="方正仿宋_GBK" w:cs="方正仿宋_GBK" w:hint="eastAsia"/>
          <w:sz w:val="32"/>
          <w:szCs w:val="32"/>
          <w:lang w:val="en-US" w:eastAsia="zh-CN"/>
        </w:rPr>
        <w:t>第一天：</w:t>
      </w:r>
      <w:r>
        <w:rPr>
          <w:rFonts w:ascii="方正仿宋_GBK" w:eastAsia="方正仿宋_GBK" w:cs="方正仿宋_GBK" w:hint="eastAsia"/>
          <w:sz w:val="32"/>
          <w:szCs w:val="32"/>
          <w:lang w:val="en-US" w:eastAsia="zh-CN"/>
        </w:rPr>
        <w:t>新型农民素</w:t>
      </w:r>
      <w:r>
        <w:rPr>
          <w:rFonts w:ascii="方正仿宋_GBK" w:cs="方正仿宋_GBK" w:hint="eastAsia"/>
          <w:sz w:val="32"/>
          <w:szCs w:val="32"/>
          <w:lang w:val="en-US" w:eastAsia="zh-CN"/>
        </w:rPr>
        <w:t>养</w:t>
      </w:r>
      <w:r>
        <w:rPr>
          <w:rFonts w:ascii="方正仿宋_GBK" w:eastAsia="方正仿宋_GBK" w:cs="方正仿宋_GBK" w:hint="eastAsia"/>
          <w:sz w:val="32"/>
          <w:szCs w:val="32"/>
          <w:lang w:val="en-US" w:eastAsia="zh-CN"/>
        </w:rPr>
        <w:t>与礼仪、邻里和睦</w:t>
      </w:r>
      <w:r>
        <w:rPr>
          <w:rFonts w:ascii="方正仿宋_GBK" w:cs="方正仿宋_GBK" w:hint="eastAsia"/>
          <w:i w:val="0"/>
          <w:iCs w:val="0"/>
          <w:color w:val="000000"/>
          <w:kern w:val="0"/>
          <w:sz w:val="32"/>
          <w:szCs w:val="32"/>
          <w:u w:val="none"/>
          <w:lang w:val="en-US" w:eastAsia="zh-CN"/>
        </w:rPr>
        <w:t>关系等精气神培训，人居环</w:t>
      </w:r>
      <w:r>
        <w:rPr>
          <w:rFonts w:ascii="方正仿宋_GBK" w:eastAsia="方正仿宋_GBK" w:cs="方正仿宋_GBK" w:hint="eastAsia"/>
          <w:sz w:val="32"/>
          <w:szCs w:val="32"/>
          <w:lang w:val="en-US" w:eastAsia="zh-CN"/>
        </w:rPr>
        <w:t>境整治</w:t>
      </w:r>
      <w:r>
        <w:rPr>
          <w:rFonts w:ascii="方正仿宋_GBK" w:eastAsia="方正仿宋_GBK" w:cs="方正仿宋_GBK" w:hint="eastAsia"/>
          <w:i w:val="0"/>
          <w:iCs w:val="0"/>
          <w:color w:val="000000"/>
          <w:kern w:val="0"/>
          <w:sz w:val="32"/>
          <w:szCs w:val="32"/>
          <w:u w:val="none"/>
          <w:lang w:val="en-US" w:eastAsia="zh-CN"/>
        </w:rPr>
        <w:t>培训</w:t>
      </w:r>
      <w:r>
        <w:rPr>
          <w:rFonts w:ascii="方正仿宋_GBK" w:cs="方正仿宋_GBK" w:hint="eastAsia"/>
          <w:i w:val="0"/>
          <w:iCs w:val="0"/>
          <w:color w:val="000000"/>
          <w:kern w:val="0"/>
          <w:sz w:val="32"/>
          <w:szCs w:val="32"/>
          <w:u w:val="none"/>
          <w:lang w:val="en-US" w:eastAsia="zh-CN"/>
        </w:rPr>
        <w:t>等内容；第二天：外出参观学习。</w:t>
      </w:r>
    </w:p>
    <w:p>
      <w:pPr>
        <w:pStyle w:val="16"/>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hint="eastAsia"/>
          <w:lang w:val="en-US" w:eastAsia="zh-CN"/>
        </w:rPr>
      </w:pPr>
      <w:r>
        <w:rPr>
          <w:rFonts w:ascii="方正仿宋_GBK" w:eastAsia="方正仿宋_GBK" w:cs="方正仿宋_GBK" w:hint="eastAsia"/>
          <w:i w:val="0"/>
          <w:iCs w:val="0"/>
          <w:color w:val="000000"/>
          <w:kern w:val="0"/>
          <w:sz w:val="32"/>
          <w:szCs w:val="32"/>
          <w:u w:val="none"/>
          <w:lang w:val="en-US" w:eastAsia="zh-CN"/>
        </w:rPr>
        <w:t>培训结束后，开展3个月学员跟踪服务，确保培训成果持续。</w:t>
      </w: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黑体_GBK" w:eastAsia="方正黑体_GBK" w:cs="方正黑体_GBK" w:hint="eastAsia"/>
          <w:b w:val="0"/>
          <w:bCs w:val="0"/>
          <w:sz w:val="32"/>
          <w:szCs w:val="32"/>
          <w:lang w:val="en-US" w:eastAsia="zh-CN"/>
        </w:rPr>
      </w:pPr>
      <w:r>
        <w:rPr>
          <w:rFonts w:ascii="方正黑体_GBK" w:eastAsia="方正黑体_GBK" w:cs="方正黑体_GBK" w:hint="eastAsia"/>
          <w:b w:val="0"/>
          <w:bCs w:val="0"/>
          <w:sz w:val="32"/>
          <w:szCs w:val="32"/>
          <w:lang w:val="en-US" w:eastAsia="zh-CN"/>
        </w:rPr>
        <w:t>二、培训人员</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val="0"/>
          <w:color w:val="000000"/>
          <w:sz w:val="32"/>
          <w:szCs w:val="32"/>
          <w:lang w:val="en-US" w:eastAsia="zh-CN"/>
        </w:rPr>
      </w:pPr>
      <w:r>
        <w:rPr>
          <w:rFonts w:ascii="方正仿宋_GBK" w:eastAsia="方正仿宋_GBK" w:cs="方正仿宋_GBK" w:hint="eastAsia"/>
          <w:b w:val="0"/>
          <w:bCs w:val="0"/>
          <w:color w:val="000000"/>
          <w:sz w:val="32"/>
          <w:szCs w:val="32"/>
          <w:lang w:val="en-US" w:eastAsia="zh-CN"/>
        </w:rPr>
        <w:t>以镇为单位：</w:t>
      </w:r>
      <w:r>
        <w:rPr>
          <w:rFonts w:ascii="方正仿宋_GBK" w:eastAsia="方正仿宋_GBK" w:cs="方正仿宋_GBK" w:hint="eastAsia"/>
          <w:b w:val="0"/>
          <w:bCs w:val="0"/>
          <w:color w:val="000000"/>
          <w:sz w:val="32"/>
          <w:szCs w:val="32"/>
        </w:rPr>
        <w:t>脱贫人口及监测对象合计占比不得低于参训人员的30%。</w:t>
      </w:r>
      <w:r>
        <w:rPr>
          <w:rFonts w:ascii="方正仿宋_GBK" w:eastAsia="方正仿宋_GBK" w:cs="方正仿宋_GBK" w:hint="eastAsia"/>
          <w:b w:val="0"/>
          <w:bCs w:val="0"/>
          <w:color w:val="000000"/>
          <w:sz w:val="32"/>
          <w:szCs w:val="32"/>
          <w:lang w:eastAsia="zh-CN"/>
        </w:rPr>
        <w:t>每镇培训</w:t>
      </w:r>
      <w:r>
        <w:rPr>
          <w:rFonts w:ascii="方正仿宋_GBK" w:eastAsia="方正仿宋_GBK" w:cs="方正仿宋_GBK" w:hint="eastAsia"/>
          <w:b w:val="0"/>
          <w:bCs w:val="0"/>
          <w:color w:val="000000"/>
          <w:sz w:val="32"/>
          <w:szCs w:val="32"/>
          <w:lang w:val="en-US" w:eastAsia="zh-CN"/>
        </w:rPr>
        <w:t>人数至少80人。</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jc w:val="both"/>
        <w:rPr>
          <w:rFonts w:ascii="方正仿宋_GBK" w:eastAsia="方正仿宋_GBK" w:cs="方正仿宋_GBK" w:hint="eastAsia"/>
          <w:sz w:val="32"/>
          <w:szCs w:val="32"/>
          <w:lang w:val="en-US" w:eastAsia="zh-CN"/>
        </w:rPr>
      </w:pPr>
      <w:r>
        <w:rPr>
          <w:rFonts w:ascii="方正黑体_GBK" w:eastAsia="方正黑体_GBK" w:cs="方正黑体_GBK" w:hint="eastAsia"/>
          <w:b w:val="0"/>
          <w:bCs w:val="0"/>
          <w:color w:val="000000"/>
          <w:kern w:val="0"/>
          <w:sz w:val="32"/>
          <w:szCs w:val="32"/>
          <w:lang w:val="en-US" w:eastAsia="zh-CN" w:bidi="ar-SA"/>
        </w:rPr>
        <w:t>三、培训地点：</w:t>
      </w:r>
      <w:r>
        <w:rPr>
          <w:rFonts w:ascii="方正仿宋_GBK" w:eastAsia="方正仿宋_GBK" w:cs="方正仿宋_GBK" w:hint="eastAsia"/>
          <w:sz w:val="32"/>
          <w:szCs w:val="32"/>
          <w:lang w:val="en-US" w:eastAsia="zh-CN"/>
        </w:rPr>
        <w:t>相关镇确定培训地点</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jc w:val="both"/>
        <w:rPr>
          <w:rFonts w:ascii="方正黑体_GBK" w:eastAsia="方正黑体_GBK" w:cs="方正黑体_GBK" w:hint="eastAsia"/>
          <w:b w:val="0"/>
          <w:bCs w:val="0"/>
          <w:color w:val="000000"/>
          <w:kern w:val="0"/>
          <w:sz w:val="32"/>
          <w:szCs w:val="32"/>
          <w:lang w:val="en-US" w:eastAsia="zh-CN" w:bidi="ar-SA"/>
        </w:rPr>
      </w:pPr>
      <w:r>
        <w:rPr>
          <w:rFonts w:ascii="方正黑体_GBK" w:eastAsia="方正黑体_GBK" w:cs="方正黑体_GBK" w:hint="eastAsia"/>
          <w:b w:val="0"/>
          <w:bCs w:val="0"/>
          <w:color w:val="000000"/>
          <w:kern w:val="0"/>
          <w:sz w:val="32"/>
          <w:szCs w:val="32"/>
          <w:lang w:val="en-US" w:eastAsia="zh-CN" w:bidi="ar-SA"/>
        </w:rPr>
        <w:t>四、人居环境整治培训标准</w:t>
      </w: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楷体_GBK" w:eastAsia="方正楷体_GBK" w:cs="方正楷体_GBK" w:hint="eastAsia"/>
          <w:b w:val="0"/>
          <w:bCs w:val="0"/>
          <w:sz w:val="32"/>
          <w:szCs w:val="32"/>
          <w:lang w:val="en-US" w:eastAsia="zh-CN"/>
        </w:rPr>
      </w:pPr>
      <w:r>
        <w:rPr>
          <w:rFonts w:ascii="方正楷体_GBK" w:eastAsia="方正楷体_GBK" w:cs="方正楷体_GBK" w:hint="eastAsia"/>
          <w:b w:val="0"/>
          <w:bCs w:val="0"/>
          <w:sz w:val="32"/>
          <w:szCs w:val="32"/>
          <w:lang w:val="en-US" w:eastAsia="zh-CN"/>
        </w:rPr>
        <w:t>（一）农户房前屋后环境整治内容及标准：“三包九净”</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 xml:space="preserve"> 1. 三包</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一是包卫生</w:t>
      </w:r>
      <w:r>
        <w:rPr>
          <w:rFonts w:ascii="方正仿宋_GBK" w:eastAsia="方正仿宋_GBK" w:cs="方正仿宋_GBK"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（1）负责房前屋后范围内的卫生清扫保洁，及时清除垃圾、杂物、废弃物、杂草，确保每日清扫一次，严禁乱倒垃圾、杂物、废弃物。</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2）做到四无。一无瓜皮果壳、纸屑、烟蒂；二无垃圾废土；三无积水污泥；四无脏乱杂物等。垃圾实行袋装化，及时放入分类垃圾桶，由保洁员定时、定点收集，垃圾桶放置位置适当；制止和劝阻随地乱扔乱倒垃圾、污物、污水和损坏环卫设施等。</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二是包秩序</w:t>
      </w:r>
      <w:r>
        <w:rPr>
          <w:rFonts w:ascii="方正仿宋_GBK" w:eastAsia="方正仿宋_GBK" w:cs="方正仿宋_GBK"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无乱堆乱放：负责房前屋后范围内的秩序整齐良好。</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（1）房前屋后物品摆放整齐、不乱堆、乱放；</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（2）室外不随意乱搭、乱建；</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（3）及时清理墙面乱贴的广告标语，禁止乱写、乱画、乱悬挂物品等，保证墙面干净。</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三是包绿化</w:t>
      </w:r>
      <w:r>
        <w:rPr>
          <w:rFonts w:ascii="方正仿宋_GBK" w:eastAsia="方正仿宋_GBK" w:cs="方正仿宋_GBK"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绿化管理养护：负责房前屋后范围内的绿化。</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（1）维护绿化带内花草树木生长良好，保持绿地干净整洁，严禁制止损坏花草树木和绿化设施等行为；</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textAlignment w:val="auto"/>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（2）及时清理房前屋后的杂草，推进小菜园、小果园、小花园、小游园，真正让农户的院落成为绿色生态院。</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jc w:val="both"/>
        <w:rPr>
          <w:rFonts w:ascii="方正仿宋_GBK" w:eastAsia="方正仿宋_GBK" w:cs="方正仿宋_GBK" w:hint="eastAsia"/>
          <w:b/>
          <w:bCs/>
          <w:sz w:val="32"/>
          <w:szCs w:val="32"/>
          <w:lang w:val="en-US" w:eastAsia="zh-CN"/>
        </w:rPr>
      </w:pPr>
      <w:r>
        <w:rPr>
          <w:rFonts w:ascii="方正仿宋_GBK" w:eastAsia="方正仿宋_GBK" w:cs="方正仿宋_GBK" w:hint="eastAsia"/>
          <w:b/>
          <w:bCs/>
          <w:sz w:val="32"/>
          <w:szCs w:val="32"/>
          <w:lang w:val="en-US" w:eastAsia="zh-CN"/>
        </w:rPr>
        <w:t>2. 九净</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（1）院内干净有序、堆放整齐，</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物品可以分为四类堆放：粮食类，生活日用品类，农业机具类，杂物——拆除或加固维修破旧杂物房。</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（2）衣物鞋干净整洁：衣物收纳进柜，鞋子放鞋柜。</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（3）客厅干净、整齐、美观：沙发、茶几、柜子等家具摆放整齐，擦拭干净，</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（4）门窗明亮洁净：门窗玻璃擦拭洁净，窗台无灰尘、蜘蛛网、窗户无破损。</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（5）卧室干净卫生：床上被褥等物品叠放整齐，床单被套勤洗、勤换、勤晒；室内通风好，屋内无异味。</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（6）室内地面干净整洁：无污水、污渍、无乱画乱涂乱贴、室内垃圾进垃圾桶，定期更换垃圾袋，无卫生死角。</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（7）室内墙面干净：室内四壁、天花板无灰尘、无蜘蛛网</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（8）厨房干净卫生：灶具、灶台、锅碗餐具摆放整齐；菜板每次用后洗净凉干，筷子定期高温消毒；垃圾装袋收集并分类投放到垃圾桶内。</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（9）厕所干净不臭：厕所有墙、有顶、有门、有灯，便池/马桶及时打扫清除粪便，洗手盆、镜面无污渍、无异味，厕所垃圾及时清理，无堆放。</w:t>
      </w: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楷体_GBK" w:eastAsia="方正楷体_GBK" w:cs="方正楷体_GBK" w:hint="eastAsia"/>
          <w:b w:val="0"/>
          <w:bCs w:val="0"/>
          <w:sz w:val="32"/>
          <w:szCs w:val="32"/>
          <w:lang w:val="en-US" w:eastAsia="zh-CN"/>
        </w:rPr>
      </w:pPr>
      <w:r>
        <w:rPr>
          <w:rFonts w:ascii="方正楷体_GBK" w:eastAsia="方正楷体_GBK" w:cs="方正楷体_GBK" w:hint="eastAsia"/>
          <w:b w:val="0"/>
          <w:bCs w:val="0"/>
          <w:sz w:val="32"/>
          <w:szCs w:val="32"/>
          <w:lang w:val="en-US" w:eastAsia="zh-CN"/>
        </w:rPr>
        <w:t>（二）公共环境卫生整治标准：一改、四清理、两完善</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1. 改善村容村貌：促进环境卫生，保持村道路、河道等公共场所干净、整洁、卫生。</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bCs/>
          <w:sz w:val="32"/>
          <w:szCs w:val="32"/>
          <w:lang w:val="en-US" w:eastAsia="zh-CN"/>
        </w:rPr>
      </w:pPr>
      <w:r>
        <w:rPr>
          <w:rFonts w:ascii="方正仿宋_GBK" w:eastAsia="方正仿宋_GBK" w:cs="方正仿宋_GBK" w:hint="eastAsia"/>
          <w:b/>
          <w:bCs/>
          <w:sz w:val="32"/>
          <w:szCs w:val="32"/>
          <w:lang w:val="en-US" w:eastAsia="zh-CN"/>
        </w:rPr>
        <w:t>一是四清理：</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（1）清理废弃杂物：全面清理农房周边、公路两侧、村内巷道各类裸露生活垃圾、废旧杂物、畜禽粪便，保持道路平整通畅。</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（2）清理建筑垃圾：及时清运村内建筑垃圾，对无保留价值的残垣断壁、破旧危房开展全方位、拉网式的排查清理整治。</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3）清理村内沟渠：全面清理村内沟塘、河渠内各类水体障碍物、漂浮垃圾，保持两岸无裸露垃圾、杂草，消除农村群众反映的黑臭水体，推进沟渠、池塘的生态化治理。对排放不达标的及时整改，推进村庄水环境生态化。</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（4）清理农业废弃物：排查并及时做好病死动物、农药废弃包装物、废旧农膜等农业生产废弃物规范处理，规范村内畜禽散养行为，引导文明养犬，及时清理畜禽粪污，保持村庄环境常态整洁。</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bCs w:val="0"/>
          <w:sz w:val="32"/>
          <w:szCs w:val="32"/>
          <w:lang w:val="en-US" w:eastAsia="zh-CN"/>
        </w:rPr>
      </w:pPr>
      <w:r>
        <w:rPr>
          <w:rFonts w:ascii="方正仿宋_GBK" w:eastAsia="方正仿宋_GBK" w:cs="方正仿宋_GBK" w:hint="eastAsia"/>
          <w:b/>
          <w:bCs w:val="0"/>
          <w:sz w:val="32"/>
          <w:szCs w:val="32"/>
          <w:lang w:val="en-US" w:eastAsia="zh-CN"/>
        </w:rPr>
        <w:t>二是两完善：</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1）完善基础设施和公共服务设施：公厕具备水冲条件，墙面、地面整洁，设施完好，粪污资源化利用处理；文体活动场所、停车场等室外公共活动场地的设施设备完好，可正常使用；生活污水处理设施正常运行。</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（2）完善垃圾设施：配足垃圾箱/桶并带盖使用，无外溢，周围无乱倒垃圾杂物现象，垃圾应每日清除。</w:t>
      </w:r>
    </w:p>
    <w:p>
      <w:pPr>
        <w:pStyle w:val="19"/>
        <w:keepNext w:val="0"/>
        <w:keepLines w:val="0"/>
        <w:pageBreakBefore w:val="0"/>
        <w:widowControl/>
        <w:kinsoku/>
        <w:wordWrap/>
        <w:overflowPunct/>
        <w:topLinePunct w:val="0"/>
        <w:autoSpaceDE/>
        <w:autoSpaceDN/>
        <w:bidi w:val="0"/>
        <w:adjustRightInd/>
        <w:snapToGrid/>
        <w:spacing w:line="579" w:lineRule="exact"/>
        <w:ind w:left="0" w:firstLineChars="200" w:firstLine="632"/>
        <w:rPr>
          <w:rFonts w:ascii="方正楷体_GBK" w:eastAsia="方正楷体_GBK" w:cs="方正楷体_GBK" w:hint="eastAsia"/>
          <w:b w:val="0"/>
          <w:bCs w:val="0"/>
          <w:sz w:val="32"/>
          <w:szCs w:val="32"/>
          <w:lang w:val="en-US" w:eastAsia="zh-CN"/>
        </w:rPr>
      </w:pPr>
      <w:r>
        <w:rPr>
          <w:rFonts w:ascii="方正楷体_GBK" w:eastAsia="方正楷体_GBK" w:cs="方正楷体_GBK" w:hint="eastAsia"/>
          <w:b w:val="0"/>
          <w:bCs w:val="0"/>
          <w:sz w:val="32"/>
          <w:szCs w:val="32"/>
          <w:lang w:val="en-US" w:eastAsia="zh-CN"/>
        </w:rPr>
        <w:t>（三）农民卫生知识：通过了解垃圾的分类，在投放垃圾时放在指定的垃圾桶内。</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1. 一类垃圾：是可回收的垃圾，包括纸制品、塑料制品、金属制品、玻璃制品等。</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2. 二类垃圾：是厨余垃圾，剩饭剩菜、蛋壳果皮、蔬菜杆、蔬菜叶等可用来制造很好的有机肥料、填埋土地等。</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3. 三类垃圾：是其他垃圾：砖瓦、陶瓷、卫生间废纸、烟头、衣服，可作为卫生填埋的覆盖土。</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4. 四类垃圾：是有毒有害垃圾，废电池、日光灯管、盛装有毒物质的瓶罐等。必须100%回收，通过专业的垃圾处理公司进行环保处理，避免对环境造成污染。</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黑体_GBK" w:eastAsia="方正黑体_GBK" w:cs="方正黑体_GBK" w:hint="eastAsia"/>
          <w:b w:val="0"/>
          <w:bCs/>
          <w:sz w:val="32"/>
          <w:szCs w:val="32"/>
          <w:lang w:val="en-US" w:eastAsia="zh-CN"/>
        </w:rPr>
      </w:pPr>
      <w:r>
        <w:rPr>
          <w:rFonts w:ascii="方正黑体_GBK" w:eastAsia="方正黑体_GBK" w:cs="方正黑体_GBK" w:hint="eastAsia"/>
          <w:b w:val="0"/>
          <w:bCs w:val="0"/>
          <w:sz w:val="32"/>
          <w:szCs w:val="32"/>
          <w:lang w:val="en-US" w:eastAsia="zh-CN"/>
        </w:rPr>
        <w:t>五、</w:t>
      </w:r>
      <w:r>
        <w:rPr>
          <w:rFonts w:ascii="方正黑体_GBK" w:eastAsia="方正黑体_GBK" w:cs="方正黑体_GBK" w:hint="eastAsia"/>
          <w:b w:val="0"/>
          <w:bCs/>
          <w:sz w:val="32"/>
          <w:szCs w:val="32"/>
          <w:lang w:val="en-US" w:eastAsia="zh-CN"/>
        </w:rPr>
        <w:t>农村人居环境整治培训实施后续跟踪服务</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（一）通过第三方社会化跟踪服务，对各村人居环境整治定期进行社会监督、调研各村农户、院落房前屋后以及室内的环境卫生整治情况或者保持情况，是否形成了长效管理机制。</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ascii="方正仿宋_GBK" w:eastAsia="方正仿宋_GBK" w:cs="方正仿宋_GBK" w:hint="eastAsia"/>
          <w:b w:val="0"/>
          <w:bCs/>
          <w:sz w:val="32"/>
          <w:szCs w:val="32"/>
          <w:lang w:val="en-US" w:eastAsia="zh-CN"/>
        </w:rPr>
      </w:pPr>
      <w:r>
        <w:rPr>
          <w:rFonts w:ascii="方正仿宋_GBK" w:eastAsia="方正仿宋_GBK" w:cs="方正仿宋_GBK" w:hint="eastAsia"/>
          <w:b w:val="0"/>
          <w:bCs/>
          <w:sz w:val="32"/>
          <w:szCs w:val="32"/>
          <w:lang w:val="en-US" w:eastAsia="zh-CN"/>
        </w:rPr>
        <w:t>（二）加强对群众宣传引导，让农户积极主动协作配合，监督时要高标准、严要求，通过实地走访，每3个月进行考核一次，统计积分，年底评出“卫生文明户”、环境卫生需要及时整顿的农户，同时以调研报告的形式反馈到上级部门。</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32"/>
        <w:rPr>
          <w:rFonts w:hint="eastAsia"/>
          <w:lang w:eastAsia="zh-CN"/>
        </w:rPr>
      </w:pPr>
      <w:r>
        <w:rPr>
          <w:rFonts w:ascii="方正仿宋_GBK" w:eastAsia="方正仿宋_GBK" w:cs="方正仿宋_GBK" w:hint="eastAsia"/>
          <w:b w:val="0"/>
          <w:bCs/>
          <w:sz w:val="32"/>
          <w:szCs w:val="32"/>
          <w:lang w:val="en-US" w:eastAsia="zh-CN"/>
        </w:rPr>
        <w:t>（三）最后通过3个月的时间，让农户自觉养成保持居住环境优美的习惯，让农户的生活环境得到彻底的改善。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32"/>
        <w:jc w:val="left"/>
        <w:textAlignment w:val="auto"/>
        <w:rPr>
          <w:rFonts w:ascii="方正仿宋_GBK" w:eastAsia="方正仿宋_GBK" w:cs="方正仿宋_GBK" w:hint="eastAsia"/>
          <w:sz w:val="32"/>
          <w:szCs w:val="32"/>
          <w:lang w:eastAsia="zh-CN"/>
        </w:rPr>
      </w:pPr>
    </w:p>
    <w:sectPr>
      <w:footerReference w:type="default" r:id="rId2"/>
      <w:pgSz w:w="11907" w:h="16840"/>
      <w:pgMar w:top="2098" w:right="1474" w:bottom="1985" w:left="1588" w:header="851" w:footer="1474" w:gutter="0"/>
      <w:pgNumType/>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1028700" cy="23572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28700" cy="235727"/>
                      </a:xfrm>
                      <a:prstGeom prst="rect"/>
                      <a:noFill/>
                      <a:ln w="6350" cmpd="sng" cap="flat">
                        <a:noFill/>
                        <a:prstDash val="solid"/>
                        <a:round/>
                      </a:ln>
                    </wps:spPr>
                    <wps:txbx id="2">
                      <w:txbxContent>
                        <w:p>
                          <w:pPr>
                            <w:pStyle w:val="17"/>
                            <w:keepNext w:val="0"/>
                            <w:keepLines w:val="0"/>
                            <w:pageBreakBefore w:val="0"/>
                            <w:widowControl w:val="0"/>
                            <w:tabs>
                              <w:tab w:val="center" w:pos="4153"/>
                              <w:tab w:val="right" w:pos="8306"/>
                            </w:tabs>
                            <w:kinsoku/>
                            <w:wordWrap/>
                            <w:overflowPunct/>
                            <w:topLinePunct w:val="0"/>
                            <w:bidi w:val="0"/>
                            <w:adjustRightInd/>
                            <w:snapToGrid w:val="0"/>
                            <w:ind w:leftChars="100" w:left="320" w:rightChars="100" w:right="320"/>
                            <w:textAlignment w:val="auto"/>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margin-left:0.0pt;margin-top:0.0pt;width:81.0pt;height:18.5612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keepNext w:val="0"/>
                      <w:keepLines w:val="0"/>
                      <w:pageBreakBefore w:val="0"/>
                      <w:widowControl w:val="0"/>
                      <w:tabs>
                        <w:tab w:val="center" w:pos="4153"/>
                        <w:tab w:val="right" w:pos="8306"/>
                      </w:tabs>
                      <w:kinsoku/>
                      <w:wordWrap/>
                      <w:overflowPunct/>
                      <w:topLinePunct w:val="0"/>
                      <w:bidi w:val="0"/>
                      <w:adjustRightInd/>
                      <w:snapToGrid w:val="0"/>
                      <w:ind w:leftChars="100" w:left="320" w:rightChars="100" w:right="320"/>
                      <w:textAlignment w:val="auto"/>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32"/>
      <w:szCs w:val="24"/>
      <w:lang w:val="en-US" w:eastAsia="zh-CN" w:bidi="ar-SA"/>
    </w:rPr>
  </w:style>
  <w:style w:type="character" w:default="1" w:styleId="10">
    <w:name w:val="Default Paragraph Font"/>
  </w:style>
  <w:style w:type="paragraph" w:customStyle="1" w:styleId="15">
    <w:name w:val="Heading1"/>
    <w:basedOn w:val="0"/>
    <w:next w:val="0"/>
    <w:pPr>
      <w:keepNext/>
      <w:keepLines/>
      <w:widowControl w:val="0"/>
      <w:spacing w:before="0" w:after="0" w:line="240" w:lineRule="auto"/>
      <w:ind w:firstLineChars="200" w:firstLine="200"/>
      <w:textAlignment w:val="baseline"/>
    </w:pPr>
    <w:rPr>
      <w:rFonts w:ascii="Calibri" w:eastAsia="方正黑体_GBK" w:hAnsi="Calibri"/>
      <w:kern w:val="44"/>
      <w:sz w:val="28"/>
      <w:szCs w:val="32"/>
      <w:lang w:val="en-US" w:eastAsia="zh-CN" w:bidi="ar-SA"/>
    </w:rPr>
  </w:style>
  <w:style w:type="paragraph" w:styleId="16">
    <w:name w:val="index 5"/>
    <w:basedOn w:val="0"/>
    <w:next w:val="0"/>
    <w:pPr>
      <w:ind w:left="1680"/>
    </w:pPr>
    <w:rPr>
      <w:rFonts w:ascii="Times New Roman" w:eastAsia="宋体" w:cs="Times New Roman" w:hAnsi="Times New Roman"/>
      <w:lang w:bidi="ar-SA"/>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9">
    <w:name w:val="UserStyle_0"/>
    <w:basedOn w:val="0"/>
    <w:next w:val="16"/>
    <w:pPr>
      <w:widowControl/>
      <w:jc w:val="left"/>
      <w:textAlignment w:val="baseline"/>
    </w:pPr>
    <w:rPr>
      <w:rFonts w:ascii="Times New Roman" w:eastAsia="方正仿宋_GBK" w:hAnsi="Times New Roman"/>
      <w:color w:val="000000"/>
      <w:kern w:val="0"/>
      <w:sz w:val="24"/>
      <w:szCs w:val="20"/>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9</Pages>
  <Words>2753</Words>
  <Characters>2805</Characters>
  <Lines>170</Lines>
  <Paragraphs>75</Paragraphs>
  <CharactersWithSpaces>2825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zebra</dc:creator>
  <cp:lastModifiedBy>acer</cp:lastModifiedBy>
  <cp:revision>1</cp:revision>
  <cp:lastPrinted>2023-10-09T06:12:00Z</cp:lastPrinted>
  <dcterms:created xsi:type="dcterms:W3CDTF">2023-10-07T01:10:00Z</dcterms:created>
  <dcterms:modified xsi:type="dcterms:W3CDTF">2024-04-11T07:14:04Z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9969F3946E14406D9719960E03900FB8_11</vt:lpwstr>
  </property>
</Properties>
</file>