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600" w:lineRule="exact"/>
        <w:jc w:val="center"/>
        <w:rPr>
          <w:rFonts w:ascii="方正仿宋_GBK" w:eastAsia="方正仿宋_GBK" w:hint="eastAsia"/>
          <w:bCs/>
          <w:spacing w:val="1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仿宋_GBK" w:eastAsia="方正仿宋_GBK" w:hint="eastAsia"/>
          <w:bCs/>
          <w:spacing w:val="14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重庆市江津区人民检察院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重庆市江津区农业农村委员会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重庆市江津区公安局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重庆市江津区生态环境局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重庆市江津区交通局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重庆市江津区水利局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重庆市江津区市场监督管理局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bCs/>
          <w:spacing w:val="14"/>
          <w:sz w:val="44"/>
          <w:szCs w:val="44"/>
        </w:rPr>
      </w:pPr>
      <w:r>
        <w:rPr>
          <w:rFonts w:ascii="方正小标宋_GBK" w:eastAsia="方正小标宋_GBK" w:hint="eastAsia"/>
          <w:bCs/>
          <w:spacing w:val="14"/>
          <w:sz w:val="44"/>
          <w:szCs w:val="44"/>
        </w:rPr>
        <w:t>重庆市江津区林业局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关于江津区长江流域重点水域</w:t>
      </w:r>
    </w:p>
    <w:p>
      <w:pPr>
        <w:adjustRightInd w:val="0"/>
        <w:snapToGrid w:val="0"/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实行全面禁捕的通告</w:t>
      </w:r>
    </w:p>
    <w:p>
      <w:pPr>
        <w:adjustRightInd w:val="0"/>
        <w:snapToGrid w:val="0"/>
        <w:spacing w:line="600" w:lineRule="exact"/>
        <w:jc w:val="center"/>
        <w:rPr>
          <w:rFonts w:ascii="仿宋" w:eastAsia="仿宋" w:cs="方正仿宋_GBK" w:hint="eastAsia"/>
          <w:szCs w:val="32"/>
          <w:lang w:bidi="ar-SA"/>
        </w:rPr>
      </w:pPr>
      <w:r>
        <w:rPr>
          <w:rFonts w:ascii="宋体" w:eastAsia="方正仿宋_GBK" w:hAnsi="宋体" w:hint="eastAsia"/>
        </w:rPr>
        <w:t>津农业农村委发</w:t>
      </w:r>
      <w:r>
        <w:rPr>
          <w:rFonts w:ascii="宋体" w:eastAsia="方正仿宋_GBK" w:hAnsi="宋体" w:hint="eastAsia"/>
          <w:szCs w:val="32"/>
        </w:rPr>
        <w:t>〔2020〕</w:t>
      </w:r>
      <w:r>
        <w:rPr>
          <w:rFonts w:ascii="宋体" w:eastAsia="方正仿宋_GBK" w:hAnsi="宋体" w:hint="eastAsia"/>
          <w:spacing w:val="-10"/>
          <w:szCs w:val="32"/>
          <w:lang w:val="en-US" w:eastAsia="zh-CN"/>
        </w:rPr>
        <w:t>131</w:t>
      </w:r>
      <w:r>
        <w:rPr>
          <w:rFonts w:ascii="宋体" w:eastAsia="方正仿宋_GBK" w:hAnsi="宋体" w:hint="eastAsia"/>
        </w:rPr>
        <w:t>号</w:t>
      </w:r>
    </w:p>
    <w:p>
      <w:pPr>
        <w:adjustRightInd w:val="0"/>
        <w:snapToGrid w:val="0"/>
        <w:spacing w:line="600" w:lineRule="exact"/>
        <w:ind w:left="0" w:firstLineChars="200" w:firstLine="640"/>
        <w:rPr>
          <w:rFonts w:ascii="宋体" w:eastAsia="方正仿宋_GBK" w:cs="仿宋" w:hAnsi="宋体"/>
          <w:szCs w:val="32"/>
          <w:lang w:bidi="ar-SA"/>
        </w:rPr>
      </w:pPr>
    </w:p>
    <w:p>
      <w:pPr>
        <w:adjustRightInd w:val="0"/>
        <w:snapToGrid w:val="0"/>
        <w:spacing w:line="600" w:lineRule="exact"/>
        <w:ind w:left="0"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为贯彻落实党中央、国务院关于加强生态文明建设和共抓长江大保护的决策部署，根据《中华人民共和国渔业法》、《国务院办公厅关于切实做好长江流域禁捕有关工作的通知》（国办发明电〔2020〕21号）、《重庆市实施〈中华人民共和国渔业法〉办法》、《关于重庆市长江流域重点水域实行全面禁捕的通告》(</w:t>
      </w:r>
      <w:r>
        <w:rPr>
          <w:rFonts w:ascii="宋体" w:eastAsia="方正仿宋_GBK" w:hAnsi="宋体" w:hint="eastAsia"/>
        </w:rPr>
        <w:t>渝农发</w:t>
      </w:r>
      <w:r>
        <w:rPr>
          <w:rFonts w:ascii="宋体" w:eastAsia="方正仿宋_GBK" w:hAnsi="宋体" w:hint="eastAsia"/>
          <w:szCs w:val="32"/>
        </w:rPr>
        <w:t>〔2020〕</w:t>
      </w:r>
      <w:r>
        <w:rPr>
          <w:rFonts w:ascii="宋体" w:eastAsia="方正仿宋_GBK" w:hAnsi="宋体" w:hint="eastAsia"/>
          <w:spacing w:val="-10"/>
          <w:szCs w:val="32"/>
        </w:rPr>
        <w:t>148号</w:t>
      </w:r>
      <w:r>
        <w:rPr>
          <w:rFonts w:ascii="宋体" w:eastAsia="方正仿宋_GBK" w:cs="仿宋" w:hAnsi="宋体" w:hint="eastAsia"/>
          <w:szCs w:val="32"/>
          <w:lang w:bidi="ar-SA"/>
        </w:rPr>
        <w:t xml:space="preserve">)等有关规定，结合我区实际，决定对全区长江流域重点水域实行全面禁捕。现通告如下： 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cs="宋体" w:hint="eastAsia"/>
          <w:szCs w:val="32"/>
          <w:lang w:bidi="ar-SA"/>
        </w:rPr>
      </w:pPr>
      <w:r>
        <w:rPr>
          <w:rFonts w:ascii="方正黑体_GBK" w:eastAsia="方正黑体_GBK" w:cs="宋体" w:hint="eastAsia"/>
          <w:szCs w:val="32"/>
          <w:lang w:bidi="ar-SA"/>
        </w:rPr>
        <w:t>一、禁捕范围和禁捕时间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全区境内的水生生物保护区（长江上游珍稀特有鱼类国家级自然保护区）已于2020年1月1日0时起实行全面禁捕。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除水生生物保护区外，全区长江干流和重要支流以及其他重点水域，自2021年1月1日0时起，至2030年12月31日24时止，实行全面禁捕。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cs="宋体" w:hint="eastAsia"/>
          <w:szCs w:val="32"/>
          <w:lang w:bidi="ar-SA"/>
        </w:rPr>
      </w:pPr>
      <w:r>
        <w:rPr>
          <w:rFonts w:ascii="方正黑体_GBK" w:eastAsia="方正黑体_GBK" w:cs="宋体" w:hint="eastAsia"/>
          <w:szCs w:val="32"/>
          <w:lang w:bidi="ar-SA"/>
        </w:rPr>
        <w:t>二、禁止类型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禁捕范围和禁捕时间内，禁止</w:t>
      </w:r>
      <w:r>
        <w:rPr>
          <w:rFonts w:ascii="宋体" w:eastAsia="方正仿宋_GBK" w:cs="仿宋" w:hAnsi="宋体" w:hint="eastAsia"/>
          <w:bCs/>
          <w:szCs w:val="32"/>
          <w:lang w:bidi="ar-SA"/>
        </w:rPr>
        <w:t>生产性</w:t>
      </w:r>
      <w:r>
        <w:rPr>
          <w:rFonts w:ascii="宋体" w:eastAsia="方正仿宋_GBK" w:cs="仿宋" w:hAnsi="宋体" w:hint="eastAsia"/>
          <w:szCs w:val="32"/>
          <w:lang w:bidi="ar-SA"/>
        </w:rPr>
        <w:t>捕捞，禁止扎巢采卵。禁止销售在禁捕范围和禁捕时间内捕获的渔获物。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bCs/>
          <w:szCs w:val="32"/>
          <w:lang w:bidi="ar-SA"/>
        </w:rPr>
      </w:pPr>
      <w:r>
        <w:rPr>
          <w:rFonts w:ascii="宋体" w:eastAsia="方正仿宋_GBK" w:cs="仿宋" w:hAnsi="宋体" w:hint="eastAsia"/>
          <w:bCs/>
          <w:szCs w:val="32"/>
          <w:lang w:bidi="ar-SA"/>
        </w:rPr>
        <w:t>禁止在水生生物保护区垂钓。除水生生物保护区外，全区长江干流和重要支流以及其他重点水域，每年3月1日至6月30日禁止垂钓，</w:t>
      </w:r>
      <w:r>
        <w:rPr>
          <w:rFonts w:ascii="宋体" w:eastAsia="方正仿宋_GBK" w:cs="仿宋" w:hAnsi="宋体" w:hint="eastAsia"/>
          <w:szCs w:val="32"/>
          <w:lang w:bidi="ar-SA"/>
        </w:rPr>
        <w:t>其他时间内的垂钓按有关规定执行</w:t>
      </w:r>
      <w:r>
        <w:rPr>
          <w:rFonts w:ascii="宋体" w:eastAsia="方正仿宋_GBK" w:cs="仿宋" w:hAnsi="宋体" w:hint="eastAsia"/>
          <w:bCs/>
          <w:szCs w:val="32"/>
          <w:lang w:bidi="ar-SA"/>
        </w:rPr>
        <w:t xml:space="preserve">。 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cs="宋体" w:hint="eastAsia"/>
          <w:szCs w:val="32"/>
          <w:lang w:bidi="ar-SA"/>
        </w:rPr>
      </w:pPr>
      <w:r>
        <w:rPr>
          <w:rFonts w:ascii="方正黑体_GBK" w:eastAsia="方正黑体_GBK" w:cs="宋体" w:hint="eastAsia"/>
          <w:szCs w:val="32"/>
          <w:lang w:bidi="ar-SA"/>
        </w:rPr>
        <w:t>三、专项（特许）捕捞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禁捕范围和禁捕时间内，因特定资源的利用、科研调查、苗种繁育等需要采捕天然渔业资源的，按照国家、市有关规定依法实行专项管理。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cs="宋体" w:hint="eastAsia"/>
          <w:szCs w:val="32"/>
          <w:lang w:bidi="ar-SA"/>
        </w:rPr>
      </w:pPr>
      <w:r>
        <w:rPr>
          <w:rFonts w:ascii="方正黑体_GBK" w:eastAsia="方正黑体_GBK" w:cs="宋体" w:hint="eastAsia"/>
          <w:szCs w:val="32"/>
          <w:lang w:bidi="ar-SA"/>
        </w:rPr>
        <w:t>四、属地管理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/>
          <w:szCs w:val="32"/>
          <w:lang w:bidi="ar-SA"/>
        </w:rPr>
      </w:pPr>
      <w:r>
        <w:rPr>
          <w:rFonts w:ascii="宋体" w:eastAsia="方正仿宋_GBK" w:cs="仿宋" w:hAnsi="宋体"/>
          <w:szCs w:val="32"/>
          <w:lang w:bidi="ar-SA"/>
        </w:rPr>
        <w:t>相关镇人民政府、街道办事处要加强禁渔宣传，按照属地管理原则组织开展禁渔护渔工作，并对垂钓进行规范管理。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cs="宋体" w:hint="eastAsia"/>
          <w:szCs w:val="32"/>
          <w:lang w:bidi="ar-SA"/>
        </w:rPr>
      </w:pPr>
      <w:r>
        <w:rPr>
          <w:rFonts w:ascii="方正黑体_GBK" w:eastAsia="方正黑体_GBK" w:cs="宋体" w:hint="eastAsia"/>
          <w:szCs w:val="32"/>
          <w:lang w:bidi="ar-SA"/>
        </w:rPr>
        <w:t>五、执法监督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违反本通告的，由有关部门根据《中华人民共和国渔业法》《重庆市实施〈中华人民共和国渔业法〉办法》等法律法规的规定予以行政处罚；涉嫌犯罪的，移送司法机关追究刑事责任。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本通告自2021年1月1日0时起实施。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>附件：重庆市江津区长江流域重点水域禁捕范围名录</w:t>
      </w:r>
    </w:p>
    <w:p>
      <w:pPr>
        <w:adjustRightInd w:val="0"/>
        <w:snapToGrid w:val="0"/>
        <w:spacing w:line="600" w:lineRule="exact"/>
        <w:ind w:firstLineChars="200" w:firstLine="640"/>
        <w:rPr>
          <w:rFonts w:ascii="宋体" w:eastAsia="方正仿宋_GBK" w:cs="仿宋" w:hAnsi="宋体" w:hint="eastAsia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 xml:space="preserve">                      </w:t>
      </w:r>
    </w:p>
    <w:p>
      <w:pPr>
        <w:adjustRightInd w:val="0"/>
        <w:snapToGrid w:val="0"/>
        <w:spacing w:line="600" w:lineRule="exact"/>
        <w:rPr>
          <w:rFonts w:ascii="宋体" w:eastAsia="方正仿宋_GBK" w:hAnsi="宋体" w:hint="eastAsia"/>
        </w:rPr>
      </w:pP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/>
        </w:rPr>
      </w:pPr>
      <w:r>
        <w:rPr>
          <w:rFonts w:ascii="宋体" w:eastAsia="方正仿宋_GBK" w:hAnsi="宋体" w:hint="eastAsia"/>
        </w:rPr>
        <w:t>重庆市江津区人民检察院</w:t>
      </w: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 w:hint="eastAsia"/>
        </w:rPr>
      </w:pPr>
      <w:r>
        <w:rPr>
          <w:rFonts w:ascii="宋体" w:eastAsia="方正仿宋_GBK" w:hAnsi="宋体" w:hint="eastAsia"/>
        </w:rPr>
        <w:t>重庆市江津区农业农村委员会</w:t>
      </w: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/>
        </w:rPr>
      </w:pPr>
      <w:r>
        <w:rPr>
          <w:rFonts w:ascii="宋体" w:eastAsia="方正仿宋_GBK" w:hAnsi="宋体" w:hint="eastAsia"/>
        </w:rPr>
        <w:t>重庆市江津区公安局</w:t>
      </w: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/>
        </w:rPr>
      </w:pPr>
      <w:r>
        <w:rPr>
          <w:rFonts w:ascii="宋体" w:eastAsia="方正仿宋_GBK" w:hAnsi="宋体" w:hint="eastAsia"/>
        </w:rPr>
        <w:t>重庆市江津区生态环境局</w:t>
      </w: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/>
        </w:rPr>
      </w:pPr>
      <w:r>
        <w:rPr>
          <w:rFonts w:ascii="宋体" w:eastAsia="方正仿宋_GBK" w:hAnsi="宋体" w:hint="eastAsia"/>
        </w:rPr>
        <w:t>重庆市江津区交通局</w:t>
      </w:r>
    </w:p>
    <w:p>
      <w:pPr>
        <w:adjustRightInd w:val="0"/>
        <w:snapToGrid w:val="0"/>
        <w:spacing w:line="600" w:lineRule="exact"/>
        <w:ind w:firstLineChars="350" w:firstLine="1120"/>
        <w:rPr>
          <w:rFonts w:ascii="宋体" w:eastAsia="方正仿宋_GBK" w:hAnsi="宋体" w:hint="eastAsia"/>
        </w:rPr>
      </w:pPr>
      <w:r>
        <w:rPr>
          <w:rFonts w:ascii="宋体" w:eastAsia="方正仿宋_GBK" w:hAnsi="宋体" w:hint="eastAsia"/>
        </w:rPr>
        <w:t xml:space="preserve">        </w:t>
      </w:r>
      <w:r>
        <w:rPr>
          <w:rFonts w:ascii="宋体" w:eastAsia="方正仿宋_GBK" w:hAnsi="宋体"/>
        </w:rPr>
        <w:t xml:space="preserve">         </w:t>
      </w:r>
      <w:r>
        <w:rPr>
          <w:rFonts w:ascii="宋体" w:eastAsia="方正仿宋_GBK" w:hAnsi="宋体" w:hint="eastAsia"/>
        </w:rPr>
        <w:t>重庆市江津区水利局</w:t>
      </w: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/>
        </w:rPr>
      </w:pPr>
      <w:r>
        <w:rPr>
          <w:rFonts w:ascii="宋体" w:eastAsia="方正仿宋_GBK" w:hAnsi="宋体" w:hint="eastAsia"/>
        </w:rPr>
        <w:t>重庆市江津区市场监督管理局</w:t>
      </w:r>
    </w:p>
    <w:p>
      <w:pPr>
        <w:adjustRightInd w:val="0"/>
        <w:snapToGrid w:val="0"/>
        <w:spacing w:line="600" w:lineRule="exact"/>
        <w:ind w:firstLineChars="1200" w:firstLine="3840"/>
        <w:rPr>
          <w:rFonts w:ascii="宋体" w:eastAsia="方正仿宋_GBK" w:hAnsi="宋体" w:hint="eastAsia"/>
        </w:rPr>
      </w:pPr>
      <w:r>
        <w:rPr>
          <w:rFonts w:ascii="宋体" w:eastAsia="方正仿宋_GBK" w:hAnsi="宋体" w:hint="eastAsia"/>
        </w:rPr>
        <w:t>重庆市江津区林业局</w:t>
      </w:r>
    </w:p>
    <w:p>
      <w:pPr>
        <w:adjustRightInd w:val="0"/>
        <w:snapToGrid w:val="0"/>
        <w:spacing w:line="600" w:lineRule="exact"/>
        <w:rPr>
          <w:rFonts w:ascii="宋体" w:eastAsia="方正仿宋_GBK" w:cs="仿宋" w:hAnsi="宋体"/>
          <w:szCs w:val="32"/>
          <w:lang w:bidi="ar-SA"/>
        </w:rPr>
      </w:pPr>
      <w:r>
        <w:rPr>
          <w:rFonts w:ascii="宋体" w:eastAsia="方正仿宋_GBK" w:cs="仿宋" w:hAnsi="宋体" w:hint="eastAsia"/>
          <w:szCs w:val="32"/>
          <w:lang w:bidi="ar-SA"/>
        </w:rPr>
        <w:t xml:space="preserve">                         2020年12月30日</w:t>
      </w:r>
    </w:p>
    <w:p>
      <w:pPr>
        <w:adjustRightInd w:val="0"/>
        <w:snapToGrid w:val="0"/>
        <w:spacing w:line="600" w:lineRule="exact"/>
        <w:rPr>
          <w:rFonts w:ascii="方正仿宋_GBK" w:eastAsia="方正仿宋_GBK" w:cs="仿宋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 w:cs="仿宋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 w:cs="仿宋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 w:cs="仿宋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 w:cs="仿宋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 w:cs="仿宋" w:hint="eastAsia"/>
          <w:szCs w:val="32"/>
          <w:lang w:bidi="ar-SA"/>
        </w:rPr>
      </w:pPr>
    </w:p>
    <w:p>
      <w:pPr>
        <w:adjustRightInd w:val="0"/>
        <w:snapToGrid w:val="0"/>
        <w:spacing w:line="600" w:lineRule="exact"/>
        <w:rPr>
          <w:rFonts w:ascii="方正黑体_GBK" w:eastAsia="方正黑体_GBK" w:hint="eastAsia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 w:hint="eastAsia"/>
          <w:szCs w:val="32"/>
        </w:rPr>
      </w:pPr>
      <w:r>
        <w:rPr>
          <w:rFonts w:ascii="方正小标宋_GBK" w:eastAsia="方正小标宋_GBK" w:hint="eastAsia"/>
          <w:szCs w:val="32"/>
        </w:rPr>
        <w:t>重庆市江津区长江流域重点水域禁捕范围名录</w:t>
      </w:r>
    </w:p>
    <w:p>
      <w:pPr>
        <w:adjustRightInd w:val="0"/>
        <w:snapToGrid w:val="0"/>
        <w:spacing w:line="600" w:lineRule="exact"/>
        <w:rPr>
          <w:rFonts w:ascii="方正小标宋_GBK" w:eastAsia="方正小标宋_GBK" w:hint="eastAsia"/>
          <w:sz w:val="44"/>
          <w:szCs w:val="44"/>
        </w:rPr>
      </w:pPr>
      <w:r>
        <w:rPr>
          <w:rFonts w:ascii="方正黑体_GBK" w:eastAsia="方正黑体_GBK" w:hint="eastAsia"/>
          <w:sz w:val="28"/>
          <w:szCs w:val="28"/>
        </w:rPr>
        <w:t>一、重庆市江津区长江流域重点</w:t>
      </w:r>
      <w:bookmarkStart w:id="0" w:name="_GoBack"/>
      <w:bookmarkEnd w:id="0"/>
      <w:r>
        <w:rPr>
          <w:rFonts w:ascii="方正黑体_GBK" w:eastAsia="方正黑体_GBK" w:hint="eastAsia"/>
          <w:sz w:val="28"/>
          <w:szCs w:val="28"/>
        </w:rPr>
        <w:t>水域禁捕范围名录—长江及其重要支流</w:t>
      </w:r>
    </w:p>
    <w:tbl>
      <w:tblPr>
        <w:jc w:val="cent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18"/>
        <w:gridCol w:w="1856"/>
        <w:gridCol w:w="1640"/>
        <w:gridCol w:w="1289"/>
        <w:gridCol w:w="1930"/>
        <w:gridCol w:w="640"/>
      </w:tblGrid>
      <w:tr>
        <w:trPr>
          <w:trHeight w:val="51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编号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河流名称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禁捕范围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起点（下游）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止点（上游）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所跨行政辖区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禁捕涵盖范围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长  江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江津区与巴南区交界处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江津区珞璜镇地维大桥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巴南区、大渡口区、九龙坡区、江津区、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长江干流及其河汊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塘  河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江津区白沙镇河口村（与长江交汇处）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江津区塘河镇江津沟川渝交界处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塘河干流及其河汊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綦江河（别名松坎河）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江津区支坪镇（与长江交汇处）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江津区与綦江区交界处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綦江区、江津区、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綦江河干流及其河汊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仿宋_GBK" w:eastAsia="方正仿宋_GBK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方正仿宋_GBK" w:eastAsia="方正仿宋_GBK" w:hint="eastAsia"/>
          <w:b/>
          <w:bCs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方正小标宋_GBK" w:eastAsia="方正小标宋_GBK" w:hint="eastAsia"/>
          <w:sz w:val="44"/>
          <w:szCs w:val="44"/>
        </w:rPr>
      </w:pPr>
      <w:r>
        <w:rPr>
          <w:rFonts w:ascii="方正黑体_GBK" w:eastAsia="方正黑体_GBK" w:hint="eastAsia"/>
          <w:sz w:val="28"/>
          <w:szCs w:val="28"/>
        </w:rPr>
        <w:t>二、重庆市江津区长江流域重点水域禁捕范围名录——其他重点水域</w:t>
      </w:r>
    </w:p>
    <w:tbl>
      <w:tblPr>
        <w:jc w:val="center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29"/>
        <w:gridCol w:w="1920"/>
        <w:gridCol w:w="1920"/>
        <w:gridCol w:w="800"/>
        <w:gridCol w:w="2240"/>
        <w:gridCol w:w="410"/>
      </w:tblGrid>
      <w:tr>
        <w:trPr>
          <w:trHeight w:val="44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编号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河流名称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禁捕范围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起点（下游）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止点（上游）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所跨行政辖区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禁捕涵盖范围</w:t>
            </w: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临江河（别名永川河，长江支流）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江津区朱杨镇场口（与长江交汇处）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江津区朱杨与永川何埂长冲村交界处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大东溪(长江支流）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江津区石蟆镇东溪村（与长江交汇处）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江津区石蟆镇东溪村（墩子）公路桥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黄墩溪（长江支流）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江津区白沙镇宝珠村（与长江交汇处）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江津区慈云镇凉河村高洞岩电站闸坝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狮头河（塘河支流）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江津区石蟆镇郭坪村钟咀（与塘河交汇处）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 江津区石蟆镇郭坪村野猪洞电站闸坝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驴子溪（长江支流）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江津区白沙镇师范校旁（与长江交汇处）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江津区白沙镇蝉鱼洞电站和新桥电站闸坝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石板溪（长江支流）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江津区油溪镇川陶厂旁（与长江交汇处）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江津区油溪镇盘古村小高洞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桥溪河（长江支流）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江津区德感街道和爱村羊灰桥（与长江交汇处）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江津区德感街道和艾村连心桥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安家溪（长江支流）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江津区珞璜镇长合村磨子滩（与长江交汇处）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江津区珞璜镇长合村溪流改道处园区公路桥（红旗中桥）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璧南河（长江支流）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江津区油溪镇(与长江交汇处)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江津区与璧山区璧城街道龙门溪交界处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璧山区、江津区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梅江河（璧南河支流）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江津区吴滩镇金子村（与璧南河交汇处)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江津区吴滩镇现龙村与璧山交界处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璧山区、江津区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箭溪（綦江河支流）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江津区贾嗣镇红专村崩溪嘴码头（与綦江河交汇处）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江津区贾嗣镇红专村槽口缺闸坝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笋溪河（綦江河支流）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江津区支坪镇白溪社区羊满嘴（与綦江河交汇处）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江津区四面山镇头道湖水库大坝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杜市河（綦江河支流）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江津区夏坝镇青江社区五岔（与綦江河交汇处）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江津区夏坝镇大平村青山桥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  <w:t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民福溪（綦江河支流）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江津区贾嗣镇五福村老阳坝（与綦江河交汇处）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江津区贾嗣镇崇兴村水磨滩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江津区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包括与干流水域一体的河汊水域，以水陆交界线为界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宋体" w:eastAsia="方正仿宋_GBK" w:cs="Arial" w:hAnsi="宋体" w:hint="eastAsia"/>
          <w:kern w:val="0"/>
          <w:sz w:val="28"/>
          <w:szCs w:val="28"/>
          <w:shd w:val="clear" w:color="auto" w:fill="FFFFFF"/>
          <w:lang w:eastAsia="zh-CN" w:bidi="ar-SA"/>
        </w:rPr>
      </w:pPr>
    </w:p>
    <w:sectPr>
      <w:headerReference w:type="default" r:id="rId2"/>
      <w:footerReference w:type="default" r:id="rId3"/>
      <w:pgSz w:w="11907" w:h="16840"/>
      <w:pgMar w:top="1962" w:right="1474" w:bottom="1848" w:left="1588" w:header="851" w:footer="992" w:gutter="0"/>
      <w:pgNumType w:fmt="numberInDash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1"/>
    <w:family w:val="roman"/>
    <w:pitch w:val="variable"/>
    <w:sig w:usb0="E0002AFF" w:usb1="C0007841" w:usb2="00000009" w:usb3="00000000" w:csb0="400001FF" w:csb1="FFFF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tabs>
        <w:tab w:val="center" w:pos="4153"/>
        <w:tab w:val="right" w:pos="8306"/>
      </w:tabs>
      <w:ind w:leftChars="2280" w:left="7296" w:firstLineChars="2000" w:firstLine="6400"/>
      <w:rPr>
        <w:sz w:val="32"/>
      </w:rPr>
    </w:pPr>
    <w:r>
      <w:rPr>
        <w:sz w:val="32"/>
      </w:rP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6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7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8" o:spid="_x0000_s8" filled="f" stroked="f" strokeweight="0.5pt" style="position:absolute;margin-left:0.0pt;margin-top:0.0pt;width:34.999996pt;height:18.130003pt;z-index:16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8"/>
      <w:tabs>
        <w:tab w:val="center" w:pos="4153"/>
        <w:tab w:val="right" w:pos="8306"/>
      </w:tabs>
      <w:ind w:leftChars="2280" w:left="7296" w:firstLineChars="2000" w:firstLine="64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135890</wp:posOffset>
              </wp:positionV>
              <wp:extent cx="5639435" cy="4445"/>
              <wp:effectExtent l="0" t="0" r="0" b="0"/>
              <wp:wrapNone/>
              <wp:docPr id="9" name="直线 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V="1" rot="21600000">
                        <a:off x="0" y="0"/>
                        <a:ext cx="5639435" cy="4445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10" o:spid="_x0000_s10" from="-1.5pt,10.7pt" to="442.55pt,11.05pt" filled="f" stroked="t" strokeweight="1.75pt" style="position:absolute;flip:y;z-index:15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</w:p>
  <w:p>
    <w:pPr>
      <w:pStyle w:val="18"/>
      <w:tabs>
        <w:tab w:val="center" w:pos="4153"/>
        <w:tab w:val="right" w:pos="8306"/>
      </w:tabs>
      <w:wordWrap w:val="0"/>
      <w:jc w:val="center"/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</w:pPr>
    <w:r>
      <w:rPr>
        <w:rFonts w:asci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>重庆市江津区</w:t>
    </w:r>
    <w:r>
      <w:rPr>
        <w:rFonts w:ascii="宋体" w:eastAsia="宋体" w:cs="宋体"/>
        <w:b/>
        <w:bCs/>
        <w:color w:val="005192"/>
        <w:sz w:val="28"/>
        <w:szCs w:val="44"/>
        <w:lang w:val="en-US" w:eastAsia="zh-CN"/>
      </w:rPr>
      <w:t>农业农村委员会</w:t>
    </w:r>
    <w:r>
      <w:rPr>
        <w:rFonts w:ascii="宋体" w:eastAsia="宋体" w:cs="宋体" w:hint="eastAsia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8"/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eastAsia="宋体" w:cs="宋体" w:hint="eastAsia"/>
        <w:b/>
        <w:bCs/>
        <w:color w:val="005192"/>
        <w:sz w:val="32"/>
        <w:szCs w:val="32"/>
        <w:lang w:val="en-US" w:eastAsia="zh-CN"/>
      </w:rPr>
    </w:pPr>
    <w:r>
      <w:rPr>
        <w:rFonts w:ascii="方正仿宋_GBK" w:eastAsia="方正仿宋_GBK" w:cs="方正仿宋_GBK" w:hint="eastAsia"/>
        <w:b/>
        <w:bCs/>
        <w:color w:val="000000"/>
        <w:sz w:val="32"/>
        <w14:textFill>
          <w14:solidFill>
            <w14:srgbClr w14:val="000000"/>
          </w14:solidFill>
        </w14:textFill>
      </w:rPr>
      <mc:AlternateContent>
        <mc:Choice Requires="wps">
          <w:drawing>
            <wp:anchor distT="0" distB="0" distL="114298" distR="114298" simplePos="0" relativeHeight="14" behindDoc="0" locked="0" layoutInCell="1" hidden="0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03875" cy="10794"/>
              <wp:effectExtent l="0" t="0" r="0" b="0"/>
              <wp:wrapNone/>
              <wp:docPr id="1" name="直线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03875" cy="10794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2" o:spid="_x0000_s2" from="-0.2pt,36.4pt" to="441.05pt,37.25pt" filled="f" stroked="t" strokeweight="1.75pt" style="position:absolute;z-index:14;mso-position-horizontal:absolute;mso-position-vertical:absolute;mso-wrap-distance-left:8.999863pt;mso-wrap-distance-right:8.999863pt;">
              <v:stroke color="#005192"/>
            </v:line>
          </w:pict>
        </mc:Fallback>
      </mc:AlternateContent>
    </w:r>
    <w:r>
      <w:rPr>
        <w:rFonts w:ascii="宋体" w:eastAsia="宋体" w:cs="宋体" w:hint="eastAsia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3" name="图片 3" descr="国徽102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" name="图片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08610" cy="30861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eastAsia="宋体" w:cs="宋体" w:hint="eastAsia"/>
        <w:b/>
        <w:bCs/>
        <w:color w:val="005192"/>
        <w:sz w:val="32"/>
        <w:lang w:val="en-US" w:eastAsia="zh-CN"/>
      </w:rPr>
      <w:t>重庆市江津区</w:t>
    </w:r>
    <w:r>
      <w:rPr>
        <w:rFonts w:ascii="宋体" w:eastAsia="宋体" w:cs="宋体"/>
        <w:b/>
        <w:bCs/>
        <w:color w:val="005192"/>
        <w:sz w:val="32"/>
        <w:lang w:val="en-US" w:eastAsia="zh-CN"/>
      </w:rPr>
      <w:t>农业农村委员会行政</w:t>
    </w:r>
    <w:r>
      <w:rPr>
        <w:rFonts w:ascii="宋体" w:eastAsia="宋体" w:cs="宋体" w:hint="eastAsia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1"/>
  <w:bordersDoNotSurroundHeader w:val="0"/>
  <w:bordersDoNotSurroundFooter w:val="0"/>
  <w:defaultTabStop w:val="420"/>
  <w:drawingGridHorizontalSpacing w:val="160"/>
  <w:drawingGridVerticalSpacing w:val="158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ody Text"/>
    <w:next w:val="17"/>
    <w:pPr>
      <w:widowControl w:val="0"/>
      <w:ind w:leftChars="100" w:left="100" w:rightChars="100" w:right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7">
    <w:name w:val="footer"/>
    <w:basedOn w:val="0"/>
    <w:next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20">
    <w:name w:val="Strong"/>
    <w:basedOn w:val="10"/>
    <w:rPr>
      <w:b/>
      <w:bCs/>
    </w:rPr>
  </w:style>
  <w:style w:type="paragraph" w:customStyle="1" w:styleId="21">
    <w:name w:val="p0"/>
    <w:basedOn w:val="0"/>
    <w:pPr>
      <w:widowControl/>
    </w:pPr>
    <w:rPr>
      <w:rFonts w:ascii="Calibri" w:eastAsia="宋体" w:cs="宋体" w:hAnsi="Calibri"/>
      <w:kern w:val="0"/>
      <w:szCs w:val="32"/>
    </w:rPr>
  </w:style>
  <w:style w:type="paragraph" w:customStyle="1" w:styleId="22">
    <w:name w:val="Default"/>
    <w:next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4.png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7</Pages>
  <Words>2198</Words>
  <Characters>2241</Characters>
  <Lines>383</Lines>
  <Paragraphs>157</Paragraphs>
  <CharactersWithSpaces>2327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</dc:creator>
  <cp:lastModifiedBy>Microsoft</cp:lastModifiedBy>
  <cp:revision>1</cp:revision>
  <cp:lastPrinted>2022-06-06T16:09:00Z</cp:lastPrinted>
  <dcterms:created xsi:type="dcterms:W3CDTF">2021-09-11T02:41:00Z</dcterms:created>
  <dcterms:modified xsi:type="dcterms:W3CDTF">2023-03-27T02:52:47Z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2052-11.1.0.13607</vt:lpwstr>
  </property>
  <property fmtid="{D5CDD505-2E9C-101B-9397-08002B2CF9AE}" pid="3" name="ICV">
    <vt:lpwstr>1C443BA52A2A43ABBDAD6840637DEBBE</vt:lpwstr>
  </property>
</Properties>
</file>