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79" w:lineRule="exact"/>
        <w:jc w:val="center"/>
        <w:rPr>
          <w:rFonts w:ascii="宋体" w:eastAsia="方正仿宋_GBK" w:cs="方正仿宋_GBK" w:hAnsi="宋体"/>
          <w:sz w:val="44"/>
          <w:szCs w:val="44"/>
        </w:rPr>
      </w:pPr>
      <w:bookmarkStart w:id="0" w:name="_GoBack"/>
      <w:bookmarkEnd w:id="0"/>
    </w:p>
    <w:p>
      <w:pPr>
        <w:spacing w:line="579" w:lineRule="exact"/>
        <w:ind w:firstLineChars="250" w:firstLine="1100"/>
        <w:jc w:val="center"/>
        <w:rPr>
          <w:rFonts w:ascii="宋体" w:eastAsia="方正小标宋_GBK" w:cs="方正小标宋_GBK" w:hAnsi="宋体"/>
          <w:sz w:val="44"/>
          <w:szCs w:val="44"/>
        </w:rPr>
      </w:pPr>
      <w:r>
        <w:rPr>
          <w:rFonts w:ascii="宋体" w:eastAsia="方正小标宋_GBK" w:cs="方正小标宋_GBK" w:hAnsi="宋体" w:hint="eastAsia"/>
          <w:sz w:val="44"/>
          <w:szCs w:val="44"/>
        </w:rPr>
        <w:t>重庆市江津区农业技术推广中心</w:t>
      </w:r>
    </w:p>
    <w:p>
      <w:pPr>
        <w:spacing w:line="579" w:lineRule="exact"/>
        <w:ind w:firstLineChars="250" w:firstLine="1100"/>
        <w:jc w:val="center"/>
        <w:rPr>
          <w:rFonts w:ascii="宋体" w:eastAsia="方正小标宋_GBK" w:cs="方正小标宋_GBK" w:hAnsi="宋体"/>
          <w:sz w:val="44"/>
          <w:szCs w:val="44"/>
        </w:rPr>
      </w:pPr>
      <w:r>
        <w:rPr>
          <w:rFonts w:ascii="宋体" w:eastAsia="方正小标宋_GBK" w:cs="方正小标宋_GBK" w:hAnsi="宋体" w:hint="eastAsia"/>
          <w:sz w:val="44"/>
          <w:szCs w:val="44"/>
        </w:rPr>
        <w:t>2024年度决算公开说明</w:t>
      </w:r>
    </w:p>
    <w:p>
      <w:pPr>
        <w:spacing w:line="579" w:lineRule="exact"/>
        <w:ind w:firstLineChars="250" w:firstLine="1100"/>
        <w:rPr>
          <w:rFonts w:ascii="宋体" w:eastAsia="方正仿宋_GBK" w:cs="方正仿宋_GBK" w:hAnsi="宋体"/>
          <w:sz w:val="44"/>
          <w:szCs w:val="44"/>
        </w:rPr>
      </w:pPr>
    </w:p>
    <w:p>
      <w:pPr>
        <w:pStyle w:val="20"/>
        <w:tabs>
          <w:tab w:val="center" w:pos="4153"/>
          <w:tab w:val="left" w:pos="7275"/>
        </w:tabs>
        <w:spacing w:line="579" w:lineRule="exact"/>
        <w:outlineLvl w:val="0"/>
        <w:rPr>
          <w:rFonts w:ascii="宋体" w:eastAsia="方正黑体_GBK" w:cs="方正黑体_GBK" w:hAnsi="宋体"/>
          <w:sz w:val="32"/>
          <w:szCs w:val="32"/>
        </w:rPr>
      </w:pPr>
      <w:r>
        <w:rPr>
          <w:rFonts w:ascii="宋体" w:eastAsia="方正黑体_GBK" w:cs="方正黑体_GBK" w:hAnsi="宋体" w:hint="eastAsia"/>
          <w:sz w:val="32"/>
          <w:szCs w:val="32"/>
        </w:rPr>
        <w:t>一、单位基本情况</w:t>
      </w:r>
    </w:p>
    <w:p>
      <w:pPr>
        <w:spacing w:line="579" w:lineRule="exact"/>
        <w:ind w:firstLineChars="200" w:firstLine="640"/>
        <w:outlineLvl w:val="1"/>
        <w:rPr>
          <w:rFonts w:ascii="宋体" w:eastAsia="方正楷体_GBK" w:cs="方正楷体_GBK" w:hAnsi="宋体"/>
          <w:kern w:val="0"/>
          <w:sz w:val="32"/>
          <w:szCs w:val="32"/>
        </w:rPr>
      </w:pPr>
      <w:r>
        <w:rPr>
          <w:rFonts w:ascii="宋体" w:eastAsia="方正楷体_GBK" w:cs="方正楷体_GBK" w:hAnsi="宋体" w:hint="eastAsia"/>
          <w:kern w:val="0"/>
          <w:sz w:val="32"/>
          <w:szCs w:val="32"/>
        </w:rPr>
        <w:t>（一）职能职责</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负责粮油、土肥、植保、种子、农业机械化新品种、新技术的引进、试验、示范、推广和培训；负责土壤资源调查、耕地地力调查监测；负责农作物病虫害测报、防控和植物检疫；指导农业防灾减灾和镇街农技推广服务等。</w:t>
      </w:r>
    </w:p>
    <w:p>
      <w:pPr>
        <w:numPr>
          <w:ilvl w:val="0"/>
          <w:numId w:val="1"/>
        </w:numPr>
        <w:spacing w:line="579" w:lineRule="exact"/>
        <w:ind w:left="0" w:firstLineChars="200" w:firstLine="640"/>
        <w:outlineLvl w:val="1"/>
        <w:rPr>
          <w:rFonts w:ascii="宋体" w:eastAsia="方正楷体_GBK" w:cs="方正楷体_GBK" w:hAnsi="宋体"/>
          <w:kern w:val="0"/>
          <w:sz w:val="32"/>
          <w:szCs w:val="32"/>
        </w:rPr>
      </w:pPr>
      <w:r>
        <w:rPr>
          <w:rFonts w:ascii="宋体" w:eastAsia="方正楷体_GBK" w:cs="方正楷体_GBK" w:hAnsi="宋体" w:hint="eastAsia"/>
          <w:kern w:val="0"/>
          <w:sz w:val="32"/>
          <w:szCs w:val="32"/>
        </w:rPr>
        <w:t>机构设置</w:t>
      </w:r>
    </w:p>
    <w:p>
      <w:pPr>
        <w:spacing w:line="579" w:lineRule="exact"/>
        <w:ind w:firstLineChars="200" w:firstLine="640"/>
        <w:rPr>
          <w:rFonts w:ascii="宋体" w:eastAsia="方正仿宋_GBK" w:cs="方正仿宋_GBK" w:hAnsi="宋体"/>
          <w:kern w:val="0"/>
          <w:sz w:val="32"/>
          <w:szCs w:val="32"/>
        </w:rPr>
      </w:pPr>
      <w:r>
        <w:rPr>
          <w:rFonts w:ascii="宋体" w:eastAsia="方正仿宋_GBK" w:cs="方正仿宋_GBK" w:hAnsi="宋体" w:hint="eastAsia"/>
          <w:sz w:val="32"/>
          <w:szCs w:val="32"/>
        </w:rPr>
        <w:t>重庆市江津区农业技术推广中心是经区编委办批准设立的财政全额拨款事业单位，直属重庆市江津区农业农村委员会，截止2024年12月，编制人数36人，年末实有人数33人。</w:t>
      </w:r>
    </w:p>
    <w:p>
      <w:pPr>
        <w:numPr>
          <w:ilvl w:val="0"/>
          <w:numId w:val="2"/>
        </w:numPr>
        <w:spacing w:line="579" w:lineRule="exact"/>
        <w:ind w:left="0" w:firstLineChars="200" w:firstLine="640"/>
        <w:outlineLvl w:val="0"/>
        <w:rPr>
          <w:rFonts w:ascii="宋体" w:eastAsia="方正黑体_GBK" w:cs="方正黑体_GBK" w:hAnsi="宋体"/>
          <w:sz w:val="32"/>
          <w:szCs w:val="32"/>
        </w:rPr>
      </w:pPr>
      <w:r>
        <w:rPr>
          <w:rFonts w:ascii="宋体" w:eastAsia="方正黑体_GBK" w:cs="方正黑体_GBK" w:hAnsi="宋体" w:hint="eastAsia"/>
          <w:sz w:val="32"/>
          <w:szCs w:val="32"/>
        </w:rPr>
        <w:t>部门决算情况</w:t>
      </w:r>
    </w:p>
    <w:p>
      <w:pPr>
        <w:numPr>
          <w:ilvl w:val="0"/>
          <w:numId w:val="3"/>
        </w:numPr>
        <w:spacing w:line="579" w:lineRule="exact"/>
        <w:ind w:left="0" w:firstLineChars="200" w:firstLine="640"/>
        <w:outlineLvl w:val="1"/>
        <w:rPr>
          <w:rFonts w:ascii="宋体" w:eastAsia="方正楷体_GBK" w:cs="方正楷体_GBK" w:hAnsi="宋体"/>
          <w:sz w:val="32"/>
          <w:szCs w:val="32"/>
        </w:rPr>
      </w:pPr>
      <w:r>
        <w:rPr>
          <w:rFonts w:ascii="宋体" w:eastAsia="方正楷体_GBK" w:cs="方正楷体_GBK" w:hAnsi="宋体" w:hint="eastAsia"/>
          <w:sz w:val="32"/>
          <w:szCs w:val="32"/>
        </w:rPr>
        <w:t>部门收支总体情况</w:t>
      </w:r>
    </w:p>
    <w:p>
      <w:pPr>
        <w:numPr>
          <w:ilvl w:val="0"/>
          <w:numId w:val="4"/>
        </w:numPr>
        <w:spacing w:line="579" w:lineRule="exact"/>
        <w:ind w:left="0" w:firstLineChars="200" w:firstLine="640"/>
        <w:rPr>
          <w:rFonts w:ascii="宋体" w:eastAsia="方正仿宋_GBK" w:cs="方正仿宋_GBK" w:hAnsi="宋体"/>
          <w:sz w:val="32"/>
          <w:szCs w:val="32"/>
        </w:rPr>
      </w:pPr>
      <w:r>
        <w:rPr>
          <w:rFonts w:ascii="宋体" w:eastAsia="方正仿宋_GBK" w:cs="方正仿宋_GBK" w:hAnsi="宋体" w:hint="eastAsia"/>
          <w:b/>
          <w:bCs/>
          <w:sz w:val="32"/>
          <w:szCs w:val="32"/>
        </w:rPr>
        <w:t>收入支出总体情况。</w:t>
      </w:r>
      <w:r>
        <w:rPr>
          <w:rFonts w:ascii="宋体" w:eastAsia="方正仿宋_GBK" w:cs="方正仿宋_GBK" w:hAnsi="宋体" w:hint="eastAsia"/>
          <w:sz w:val="32"/>
          <w:szCs w:val="32"/>
        </w:rPr>
        <w:t>2024年度收入总计1017.10万元，支出总计1017.10万元。收支较上年减少359.40万元，减少26.11%，主要原因为退休1人，项目经费减少等。</w:t>
      </w:r>
    </w:p>
    <w:p>
      <w:pPr>
        <w:numPr>
          <w:ilvl w:val="0"/>
          <w:numId w:val="4"/>
        </w:numPr>
        <w:spacing w:line="579" w:lineRule="exact"/>
        <w:ind w:left="0" w:firstLineChars="200" w:firstLine="640"/>
        <w:rPr>
          <w:rFonts w:ascii="宋体" w:eastAsia="方正仿宋_GBK" w:cs="方正仿宋_GBK" w:hAnsi="宋体"/>
          <w:sz w:val="32"/>
          <w:szCs w:val="32"/>
        </w:rPr>
      </w:pPr>
      <w:r>
        <w:rPr>
          <w:rFonts w:ascii="宋体" w:eastAsia="方正仿宋_GBK" w:cs="方正仿宋_GBK" w:hAnsi="宋体" w:hint="eastAsia"/>
          <w:b/>
          <w:bCs/>
          <w:sz w:val="32"/>
          <w:szCs w:val="32"/>
        </w:rPr>
        <w:t>收入情况。</w:t>
      </w:r>
      <w:r>
        <w:rPr>
          <w:rFonts w:ascii="宋体" w:eastAsia="方正仿宋_GBK" w:cs="方正仿宋_GBK" w:hAnsi="宋体" w:hint="eastAsia"/>
          <w:sz w:val="32"/>
          <w:szCs w:val="32"/>
        </w:rPr>
        <w:t>2024年度本年收入合计1017.10万元，较上年减少359.40万元，减少26.11%，主要原因为退休1人，项目经费减少等。其中：财政拨款收入1017.10万元，占比100%。</w:t>
      </w:r>
    </w:p>
    <w:p>
      <w:pPr>
        <w:numPr>
          <w:ilvl w:val="0"/>
          <w:numId w:val="4"/>
        </w:numPr>
        <w:spacing w:line="579" w:lineRule="exact"/>
        <w:ind w:left="0" w:firstLineChars="200" w:firstLine="640"/>
        <w:rPr>
          <w:rFonts w:ascii="宋体" w:eastAsia="方正仿宋_GBK" w:cs="方正仿宋_GBK" w:hAnsi="宋体"/>
          <w:sz w:val="32"/>
          <w:szCs w:val="32"/>
        </w:rPr>
      </w:pPr>
      <w:r>
        <w:rPr>
          <w:rFonts w:ascii="宋体" w:eastAsia="方正仿宋_GBK" w:cs="方正仿宋_GBK" w:hAnsi="宋体" w:hint="eastAsia"/>
          <w:b/>
          <w:bCs/>
          <w:sz w:val="32"/>
          <w:szCs w:val="32"/>
        </w:rPr>
        <w:t>支出情况。</w:t>
      </w:r>
      <w:r>
        <w:rPr>
          <w:rFonts w:ascii="宋体" w:eastAsia="方正仿宋_GBK" w:cs="方正仿宋_GBK" w:hAnsi="宋体" w:hint="eastAsia"/>
          <w:sz w:val="32"/>
          <w:szCs w:val="32"/>
        </w:rPr>
        <w:t>2024年度本年支出合计1017.10万元，较上年减少359.40万元，减少26.11%，主要原因为退休1人，项目经费减少等。其中：基本支出987.76万元，占比97.12%；项目支出29.34万元，占比2.88%。</w:t>
      </w:r>
    </w:p>
    <w:p>
      <w:pPr>
        <w:numPr>
          <w:ilvl w:val="0"/>
          <w:numId w:val="4"/>
        </w:numPr>
        <w:spacing w:line="579" w:lineRule="exact"/>
        <w:ind w:left="0" w:firstLineChars="200" w:firstLine="640"/>
        <w:rPr>
          <w:rFonts w:ascii="宋体" w:eastAsia="方正仿宋_GBK" w:cs="方正仿宋_GBK" w:hAnsi="宋体"/>
          <w:kern w:val="0"/>
          <w:sz w:val="32"/>
          <w:szCs w:val="32"/>
        </w:rPr>
      </w:pPr>
      <w:r>
        <w:rPr>
          <w:rFonts w:ascii="宋体" w:eastAsia="方正仿宋_GBK" w:cs="方正仿宋_GBK" w:hAnsi="宋体" w:hint="eastAsia"/>
          <w:b/>
          <w:bCs/>
          <w:sz w:val="32"/>
          <w:szCs w:val="32"/>
        </w:rPr>
        <w:t>结转结余情况。</w:t>
      </w:r>
      <w:r>
        <w:rPr>
          <w:rFonts w:ascii="宋体" w:eastAsia="方正仿宋_GBK" w:cs="方正仿宋_GBK" w:hAnsi="宋体" w:hint="eastAsia"/>
          <w:sz w:val="32"/>
          <w:szCs w:val="32"/>
        </w:rPr>
        <w:t>本部门2024年度无结转结余</w:t>
      </w:r>
      <w:r>
        <w:rPr>
          <w:rFonts w:ascii="宋体" w:eastAsia="方正仿宋_GBK" w:cs="方正仿宋_GBK" w:hAnsi="宋体" w:hint="eastAsia"/>
          <w:kern w:val="0"/>
          <w:sz w:val="32"/>
          <w:szCs w:val="32"/>
        </w:rPr>
        <w:t>。</w:t>
      </w:r>
    </w:p>
    <w:p>
      <w:pPr>
        <w:numPr>
          <w:ilvl w:val="0"/>
          <w:numId w:val="3"/>
        </w:numPr>
        <w:spacing w:line="579" w:lineRule="exact"/>
        <w:ind w:left="0" w:firstLineChars="200" w:firstLine="640"/>
        <w:outlineLvl w:val="1"/>
        <w:rPr>
          <w:rFonts w:ascii="宋体" w:eastAsia="方正楷体_GBK" w:cs="方正楷体_GBK" w:hAnsi="宋体"/>
          <w:sz w:val="32"/>
          <w:szCs w:val="32"/>
        </w:rPr>
      </w:pPr>
      <w:r>
        <w:rPr>
          <w:rFonts w:ascii="宋体" w:eastAsia="方正楷体_GBK" w:cs="方正楷体_GBK" w:hAnsi="宋体" w:hint="eastAsia"/>
          <w:sz w:val="32"/>
          <w:szCs w:val="32"/>
        </w:rPr>
        <w:t>财政拨款收支总体情况</w:t>
      </w:r>
    </w:p>
    <w:p>
      <w:pPr>
        <w:spacing w:line="579" w:lineRule="exact"/>
        <w:ind w:firstLineChars="200" w:firstLine="640"/>
        <w:rPr>
          <w:rFonts w:ascii="宋体" w:eastAsia="方正仿宋_GBK" w:cs="方正仿宋_GBK" w:hAnsi="宋体"/>
          <w:sz w:val="32"/>
        </w:rPr>
      </w:pPr>
      <w:r>
        <w:rPr>
          <w:rFonts w:ascii="宋体" w:eastAsia="方正仿宋_GBK" w:cs="方正仿宋_GBK" w:hAnsi="宋体" w:hint="eastAsia"/>
          <w:sz w:val="32"/>
        </w:rPr>
        <w:t>2024年度财政拨款收入总计1017.10万元，支出总计1017.10万元。收支较上年减少359.40万元，</w:t>
      </w:r>
      <w:r>
        <w:rPr>
          <w:rFonts w:ascii="宋体" w:eastAsia="方正仿宋_GBK" w:cs="方正仿宋_GBK" w:hAnsi="宋体" w:hint="eastAsia"/>
          <w:sz w:val="32"/>
          <w:szCs w:val="32"/>
        </w:rPr>
        <w:t>减少26.11%，</w:t>
      </w:r>
      <w:r>
        <w:rPr>
          <w:rFonts w:ascii="宋体" w:eastAsia="方正仿宋_GBK" w:cs="方正仿宋_GBK" w:hAnsi="宋体" w:hint="eastAsia"/>
          <w:sz w:val="32"/>
        </w:rPr>
        <w:t>主要原因为退休1人，项目经费减少等。</w:t>
      </w:r>
    </w:p>
    <w:p>
      <w:pPr>
        <w:numPr>
          <w:ilvl w:val="0"/>
          <w:numId w:val="3"/>
        </w:numPr>
        <w:spacing w:line="579" w:lineRule="exact"/>
        <w:ind w:left="0" w:firstLineChars="200" w:firstLine="640"/>
        <w:outlineLvl w:val="1"/>
        <w:rPr>
          <w:rFonts w:ascii="宋体" w:eastAsia="方正楷体_GBK" w:cs="方正楷体_GBK" w:hAnsi="宋体"/>
          <w:sz w:val="32"/>
          <w:szCs w:val="32"/>
        </w:rPr>
      </w:pPr>
      <w:r>
        <w:rPr>
          <w:rFonts w:ascii="宋体" w:eastAsia="方正楷体_GBK" w:cs="方正楷体_GBK" w:hAnsi="宋体" w:hint="eastAsia"/>
          <w:sz w:val="32"/>
          <w:szCs w:val="32"/>
        </w:rPr>
        <w:t>一般公共预算财政拨款收支总体情况</w:t>
      </w:r>
    </w:p>
    <w:p>
      <w:pPr>
        <w:numPr>
          <w:ilvl w:val="0"/>
          <w:numId w:val="5"/>
        </w:numPr>
        <w:spacing w:line="579" w:lineRule="exact"/>
        <w:ind w:left="0" w:firstLineChars="200" w:firstLine="640"/>
        <w:rPr>
          <w:rFonts w:ascii="宋体" w:eastAsia="方正仿宋_GBK" w:cs="方正仿宋_GBK" w:hAnsi="宋体"/>
          <w:b/>
          <w:bCs/>
          <w:sz w:val="32"/>
        </w:rPr>
      </w:pPr>
      <w:r>
        <w:rPr>
          <w:rFonts w:ascii="宋体" w:eastAsia="方正仿宋_GBK" w:cs="方正仿宋_GBK" w:hAnsi="宋体" w:hint="eastAsia"/>
          <w:b/>
          <w:bCs/>
          <w:sz w:val="32"/>
        </w:rPr>
        <w:t>收入情况。</w:t>
      </w:r>
      <w:r>
        <w:rPr>
          <w:rFonts w:ascii="宋体" w:eastAsia="方正仿宋_GBK" w:cs="方正仿宋_GBK" w:hAnsi="宋体" w:hint="eastAsia"/>
          <w:sz w:val="32"/>
        </w:rPr>
        <w:t>2024年度一般公共预算财政拨款收入1017.10万元，较上年决算数减少359.40万元，</w:t>
      </w:r>
      <w:r>
        <w:rPr>
          <w:rFonts w:ascii="宋体" w:eastAsia="方正仿宋_GBK" w:cs="方正仿宋_GBK" w:hAnsi="宋体" w:hint="eastAsia"/>
          <w:sz w:val="32"/>
          <w:szCs w:val="32"/>
        </w:rPr>
        <w:t>减少26.11%，</w:t>
      </w:r>
      <w:r>
        <w:rPr>
          <w:rFonts w:ascii="宋体" w:eastAsia="方正仿宋_GBK" w:cs="方正仿宋_GBK" w:hAnsi="宋体" w:hint="eastAsia"/>
          <w:sz w:val="32"/>
        </w:rPr>
        <w:t>主要原因为退休1人，项目经费减少等。较年初预算数增加15.9万元，增长1.59%，主要原因是社保调标等。</w:t>
      </w:r>
    </w:p>
    <w:p>
      <w:pPr>
        <w:numPr>
          <w:ilvl w:val="0"/>
          <w:numId w:val="5"/>
        </w:numPr>
        <w:spacing w:line="579" w:lineRule="exact"/>
        <w:ind w:left="0" w:firstLineChars="200" w:firstLine="640"/>
        <w:rPr>
          <w:rFonts w:ascii="宋体" w:eastAsia="方正仿宋_GBK" w:cs="方正仿宋_GBK" w:hAnsi="宋体"/>
          <w:b/>
          <w:bCs/>
          <w:sz w:val="32"/>
        </w:rPr>
      </w:pPr>
      <w:r>
        <w:rPr>
          <w:rFonts w:ascii="宋体" w:eastAsia="方正仿宋_GBK" w:cs="方正仿宋_GBK" w:hAnsi="宋体" w:hint="eastAsia"/>
          <w:b/>
          <w:bCs/>
          <w:sz w:val="32"/>
        </w:rPr>
        <w:t>支出情况。</w:t>
      </w:r>
      <w:r>
        <w:rPr>
          <w:rFonts w:ascii="宋体" w:eastAsia="方正仿宋_GBK" w:cs="方正仿宋_GBK" w:hAnsi="宋体" w:hint="eastAsia"/>
          <w:sz w:val="32"/>
        </w:rPr>
        <w:t>2024年度一般公共预算财政拨款支出1017.10万元，较上年决算数减少359.40万元，</w:t>
      </w:r>
      <w:r>
        <w:rPr>
          <w:rFonts w:ascii="宋体" w:eastAsia="方正仿宋_GBK" w:cs="方正仿宋_GBK" w:hAnsi="宋体" w:hint="eastAsia"/>
          <w:sz w:val="32"/>
          <w:szCs w:val="32"/>
        </w:rPr>
        <w:t>减少26.11%，</w:t>
      </w:r>
      <w:r>
        <w:rPr>
          <w:rFonts w:ascii="宋体" w:eastAsia="方正仿宋_GBK" w:cs="方正仿宋_GBK" w:hAnsi="宋体" w:hint="eastAsia"/>
          <w:sz w:val="32"/>
        </w:rPr>
        <w:t>主要原因为退休1人，项目经费减少等。较年初预算数增加15.9万元，增长1.59%，主要原因是社保调标等。</w:t>
      </w:r>
    </w:p>
    <w:p>
      <w:pPr>
        <w:numPr>
          <w:ilvl w:val="0"/>
          <w:numId w:val="5"/>
        </w:numPr>
        <w:spacing w:line="579" w:lineRule="exact"/>
        <w:ind w:left="0" w:firstLineChars="200" w:firstLine="640"/>
        <w:rPr>
          <w:rFonts w:ascii="宋体" w:eastAsia="方正仿宋_GBK" w:cs="方正仿宋_GBK" w:hAnsi="宋体"/>
          <w:b/>
          <w:bCs/>
          <w:sz w:val="32"/>
        </w:rPr>
      </w:pPr>
      <w:r>
        <w:rPr>
          <w:rFonts w:ascii="宋体" w:eastAsia="方正仿宋_GBK" w:cs="方正仿宋_GBK" w:hAnsi="宋体" w:hint="eastAsia"/>
          <w:b/>
          <w:bCs/>
          <w:sz w:val="32"/>
        </w:rPr>
        <w:t>结转结余情况。</w:t>
      </w:r>
      <w:r>
        <w:rPr>
          <w:rFonts w:ascii="宋体" w:eastAsia="方正仿宋_GBK" w:cs="方正仿宋_GBK" w:hAnsi="宋体" w:hint="eastAsia"/>
          <w:sz w:val="32"/>
          <w:szCs w:val="32"/>
        </w:rPr>
        <w:t>本部门2024年度无结转结余</w:t>
      </w:r>
      <w:r>
        <w:rPr>
          <w:rFonts w:ascii="方正仿宋_GBK" w:eastAsia="方正仿宋_GBK" w:cs="方正仿宋_GBK" w:hint="eastAsia"/>
          <w:sz w:val="32"/>
          <w:szCs w:val="32"/>
          <w:shd w:val="clear" w:color="auto" w:fill="FFFFFF"/>
        </w:rPr>
        <w:t>。</w:t>
      </w:r>
    </w:p>
    <w:p>
      <w:pPr>
        <w:pStyle w:val="18"/>
        <w:widowControl/>
        <w:numPr>
          <w:ilvl w:val="0"/>
          <w:numId w:val="5"/>
        </w:numPr>
        <w:spacing w:before="0" w:beforeAutospacing="0" w:after="0" w:afterAutospacing="0" w:line="579" w:lineRule="exact"/>
        <w:ind w:left="0" w:firstLineChars="200" w:firstLine="640"/>
        <w:jc w:val="both"/>
        <w:rPr>
          <w:rFonts w:ascii="宋体" w:eastAsia="方正仿宋_GBK" w:cs="方正仿宋_GBK" w:hAnsi="宋体"/>
          <w:sz w:val="32"/>
        </w:rPr>
      </w:pPr>
      <w:r>
        <w:rPr>
          <w:rFonts w:ascii="宋体" w:eastAsia="方正仿宋_GBK" w:cs="方正仿宋_GBK" w:hAnsi="宋体" w:hint="eastAsia"/>
          <w:b/>
          <w:bCs/>
          <w:kern w:val="2"/>
          <w:sz w:val="32"/>
        </w:rPr>
        <w:t>比较情况。</w:t>
      </w:r>
      <w:r>
        <w:rPr>
          <w:rFonts w:ascii="宋体" w:eastAsia="方正仿宋_GBK" w:cs="方正仿宋_GBK" w:hAnsi="宋体" w:hint="eastAsia"/>
          <w:sz w:val="32"/>
        </w:rPr>
        <w:t>本部门2024年度一般公共预算财政拨款支出主要用于以下几个方面：</w:t>
      </w:r>
    </w:p>
    <w:p>
      <w:pPr>
        <w:pStyle w:val="18"/>
        <w:widowControl/>
        <w:numPr>
          <w:ilvl w:val="0"/>
          <w:numId w:val="6"/>
        </w:numPr>
        <w:spacing w:before="0" w:beforeAutospacing="0" w:after="0" w:afterAutospacing="0" w:line="579" w:lineRule="exact"/>
        <w:ind w:left="0" w:firstLineChars="200" w:firstLine="640"/>
        <w:jc w:val="both"/>
        <w:rPr>
          <w:rFonts w:ascii="宋体" w:eastAsia="方正仿宋_GBK" w:cs="方正仿宋_GBK" w:hAnsi="宋体"/>
          <w:kern w:val="2"/>
          <w:sz w:val="32"/>
        </w:rPr>
      </w:pPr>
      <w:r>
        <w:rPr>
          <w:rFonts w:ascii="宋体" w:eastAsia="方正仿宋_GBK" w:cs="方正仿宋_GBK" w:hAnsi="宋体" w:hint="eastAsia"/>
          <w:kern w:val="2"/>
          <w:sz w:val="32"/>
        </w:rPr>
        <w:t>教育支出4.82万元，占比0.47%。与年初预算数一致。</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（2）社会保障和就业支出221.78万元，占比21.80%。较年初预算数增加56.61万元，增长34.27%，主要原因是社保基数调标。</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（3）卫生健康支出53.77万元，占比5.29%。与年初预算一致。</w:t>
      </w:r>
    </w:p>
    <w:p>
      <w:pPr>
        <w:pStyle w:val="18"/>
        <w:widowControl/>
        <w:spacing w:before="0" w:beforeAutospacing="0" w:after="0" w:afterAutospacing="0" w:line="579" w:lineRule="exact"/>
        <w:ind w:firstLineChars="200" w:firstLine="640"/>
        <w:jc w:val="both"/>
        <w:rPr>
          <w:rFonts w:ascii="宋体" w:eastAsia="方正仿宋_GBK" w:cs="方正仿宋_GBK" w:hAnsi="宋体"/>
          <w:kern w:val="2"/>
          <w:sz w:val="32"/>
        </w:rPr>
      </w:pPr>
      <w:r>
        <w:rPr>
          <w:rFonts w:ascii="宋体" w:eastAsia="方正仿宋_GBK" w:cs="方正仿宋_GBK" w:hAnsi="宋体" w:hint="eastAsia"/>
          <w:sz w:val="32"/>
        </w:rPr>
        <w:t>（4）</w:t>
      </w:r>
      <w:r>
        <w:rPr>
          <w:rFonts w:ascii="宋体" w:eastAsia="方正仿宋_GBK" w:cs="方正仿宋_GBK" w:hAnsi="宋体" w:hint="eastAsia"/>
          <w:kern w:val="2"/>
          <w:sz w:val="32"/>
        </w:rPr>
        <w:t>农林水支出698.20万元，占比68.65%。较年初预算数减少40.71万元，减少5.51%，主要原因是退休1人，人员经费减少等。</w:t>
      </w:r>
    </w:p>
    <w:p>
      <w:pPr>
        <w:pStyle w:val="18"/>
        <w:widowControl/>
        <w:spacing w:before="0" w:beforeAutospacing="0" w:after="0" w:afterAutospacing="0" w:line="579" w:lineRule="exact"/>
        <w:ind w:firstLineChars="200" w:firstLine="640"/>
        <w:jc w:val="both"/>
        <w:rPr>
          <w:rFonts w:ascii="宋体" w:eastAsia="方正仿宋_GBK" w:cs="方正仿宋_GBK" w:hAnsi="宋体"/>
          <w:kern w:val="2"/>
          <w:sz w:val="32"/>
        </w:rPr>
      </w:pPr>
      <w:r>
        <w:rPr>
          <w:rFonts w:ascii="宋体" w:eastAsia="方正仿宋_GBK" w:cs="方正仿宋_GBK" w:hAnsi="宋体" w:hint="eastAsia"/>
          <w:sz w:val="32"/>
        </w:rPr>
        <w:t>（5）</w:t>
      </w:r>
      <w:r>
        <w:rPr>
          <w:rFonts w:ascii="宋体" w:eastAsia="方正仿宋_GBK" w:cs="方正仿宋_GBK" w:hAnsi="宋体" w:hint="eastAsia"/>
          <w:kern w:val="2"/>
          <w:sz w:val="32"/>
        </w:rPr>
        <w:t>住房保障支出38.53万元，占比3.79%。与年初预算一致。</w:t>
      </w:r>
    </w:p>
    <w:p>
      <w:pPr>
        <w:numPr>
          <w:ilvl w:val="0"/>
          <w:numId w:val="3"/>
        </w:numPr>
        <w:spacing w:line="579" w:lineRule="exact"/>
        <w:ind w:left="0" w:firstLineChars="200" w:firstLine="640"/>
        <w:outlineLvl w:val="1"/>
        <w:rPr>
          <w:rFonts w:ascii="宋体" w:eastAsia="方正楷体_GBK" w:cs="方正楷体_GBK" w:hAnsi="宋体"/>
          <w:sz w:val="32"/>
          <w:szCs w:val="32"/>
        </w:rPr>
      </w:pPr>
      <w:r>
        <w:rPr>
          <w:rStyle w:val="22"/>
          <w:rFonts w:ascii="宋体" w:eastAsia="方正楷体_GBK" w:cs="方正楷体_GBK" w:hAnsi="宋体" w:hint="eastAsia"/>
          <w:b w:val="0"/>
          <w:bCs/>
          <w:sz w:val="32"/>
          <w:szCs w:val="32"/>
          <w:shd w:val="clear" w:color="auto" w:fill="FFFFFF"/>
        </w:rPr>
        <w:t>一般公共预算财政拨款基本支出情况</w:t>
      </w:r>
    </w:p>
    <w:p>
      <w:pPr>
        <w:pStyle w:val="18"/>
        <w:widowControl/>
        <w:spacing w:before="0" w:beforeAutospacing="0" w:after="0" w:afterAutospacing="0" w:line="579" w:lineRule="exact"/>
        <w:ind w:firstLineChars="200" w:firstLine="640"/>
        <w:jc w:val="both"/>
        <w:rPr>
          <w:rFonts w:ascii="宋体" w:eastAsia="方正仿宋_GBK" w:cs="方正仿宋_GBK" w:hAnsi="宋体"/>
          <w:kern w:val="2"/>
          <w:sz w:val="32"/>
        </w:rPr>
      </w:pPr>
      <w:r>
        <w:rPr>
          <w:rFonts w:ascii="宋体" w:eastAsia="方正仿宋_GBK" w:cs="方正仿宋_GBK" w:hAnsi="宋体" w:hint="eastAsia"/>
          <w:kern w:val="2"/>
          <w:sz w:val="32"/>
        </w:rPr>
        <w:t>2024年度一般公共预算财政拨款基本支出987.76万元。其中：人员经费882.13万元，主要用于工资，社保，医保，公积金等，较上年决算数增加16.40万元，增长1.89%，主要原因是社保调标等。公用经费105.63万元，主要用于办公，水电，物管等，较上年决算数减少10.58万元，减少9.10%，主要原因是本部门厉行节约原则减少办公经费支出等。</w:t>
      </w:r>
    </w:p>
    <w:p>
      <w:pPr>
        <w:widowControl/>
        <w:autoSpaceDE w:val="0"/>
        <w:spacing w:line="579" w:lineRule="exact"/>
        <w:ind w:firstLineChars="200" w:firstLine="640"/>
        <w:outlineLvl w:val="1"/>
        <w:rPr>
          <w:rStyle w:val="22"/>
          <w:rFonts w:ascii="宋体" w:eastAsia="方正楷体_GBK" w:cs="方正楷体_GBK" w:hAnsi="宋体"/>
          <w:b w:val="0"/>
          <w:bCs/>
          <w:sz w:val="32"/>
          <w:szCs w:val="32"/>
          <w:shd w:val="clear" w:color="auto" w:fill="FFFFFF"/>
        </w:rPr>
      </w:pPr>
      <w:r>
        <w:rPr>
          <w:rStyle w:val="22"/>
          <w:rFonts w:ascii="宋体" w:eastAsia="方正楷体_GBK" w:cs="方正楷体_GBK" w:hAnsi="宋体" w:hint="eastAsia"/>
          <w:b w:val="0"/>
          <w:bCs/>
          <w:sz w:val="32"/>
          <w:szCs w:val="32"/>
          <w:shd w:val="clear" w:color="auto" w:fill="FFFFFF"/>
        </w:rPr>
        <w:t>（五）政府性基金预算收支决算情况</w:t>
      </w:r>
    </w:p>
    <w:p>
      <w:pPr>
        <w:pStyle w:val="18"/>
        <w:widowControl/>
        <w:spacing w:before="0" w:beforeAutospacing="0" w:after="0" w:afterAutospacing="0" w:line="579" w:lineRule="exact"/>
        <w:ind w:firstLineChars="200" w:firstLine="640"/>
        <w:jc w:val="both"/>
        <w:rPr>
          <w:rFonts w:ascii="方正仿宋_GBK" w:eastAsia="方正仿宋_GBK" w:cs="方正仿宋_GBK"/>
          <w:sz w:val="32"/>
          <w:szCs w:val="32"/>
          <w:shd w:val="clear" w:color="auto" w:fill="FFFFFF"/>
        </w:rPr>
      </w:pPr>
      <w:r>
        <w:rPr>
          <w:rFonts w:ascii="方正仿宋_GBK" w:eastAsia="方正仿宋_GBK" w:cs="方正仿宋_GBK" w:hint="eastAsia"/>
          <w:sz w:val="32"/>
          <w:szCs w:val="32"/>
          <w:shd w:val="clear" w:color="auto" w:fill="FFFFFF"/>
        </w:rPr>
        <w:t>2024年</w:t>
      </w:r>
      <w:r>
        <w:rPr>
          <w:rFonts w:ascii="方正仿宋_GBK" w:eastAsia="方正仿宋_GBK" w:cs="方正仿宋_GBK"/>
          <w:sz w:val="32"/>
          <w:szCs w:val="32"/>
          <w:shd w:val="clear" w:color="auto" w:fill="FFFFFF"/>
        </w:rPr>
        <w:t>度</w:t>
      </w:r>
      <w:r>
        <w:rPr>
          <w:rFonts w:ascii="方正仿宋_GBK" w:eastAsia="方正仿宋_GBK" w:cs="方正仿宋_GBK" w:hint="eastAsia"/>
          <w:sz w:val="32"/>
          <w:szCs w:val="32"/>
          <w:shd w:val="clear" w:color="auto" w:fill="FFFFFF"/>
        </w:rPr>
        <w:t>本部门无</w:t>
      </w:r>
      <w:r>
        <w:rPr>
          <w:rFonts w:ascii="方正仿宋_GBK" w:eastAsia="方正仿宋_GBK" w:cs="方正仿宋_GBK"/>
          <w:sz w:val="32"/>
          <w:szCs w:val="32"/>
          <w:shd w:val="clear" w:color="auto" w:fill="FFFFFF"/>
        </w:rPr>
        <w:t>政府性基金预算财政拨款</w:t>
      </w:r>
      <w:r>
        <w:rPr>
          <w:rFonts w:ascii="方正仿宋_GBK" w:eastAsia="方正仿宋_GBK" w:cs="方正仿宋_GBK" w:hint="eastAsia"/>
          <w:sz w:val="32"/>
          <w:szCs w:val="32"/>
          <w:shd w:val="clear" w:color="auto" w:fill="FFFFFF"/>
        </w:rPr>
        <w:t>收支。</w:t>
      </w:r>
    </w:p>
    <w:p>
      <w:pPr>
        <w:widowControl/>
        <w:autoSpaceDE w:val="0"/>
        <w:spacing w:line="579" w:lineRule="exact"/>
        <w:ind w:firstLineChars="200" w:firstLine="640"/>
        <w:outlineLvl w:val="1"/>
        <w:rPr>
          <w:rStyle w:val="22"/>
          <w:rFonts w:ascii="宋体" w:eastAsia="方正楷体_GBK" w:cs="方正楷体_GBK" w:hAnsi="宋体"/>
          <w:b w:val="0"/>
          <w:bCs/>
          <w:sz w:val="32"/>
          <w:szCs w:val="32"/>
          <w:shd w:val="clear" w:color="auto" w:fill="FFFFFF"/>
        </w:rPr>
      </w:pPr>
      <w:r>
        <w:rPr>
          <w:rStyle w:val="22"/>
          <w:rFonts w:ascii="宋体" w:eastAsia="方正楷体_GBK" w:cs="方正楷体_GBK" w:hAnsi="宋体" w:hint="eastAsia"/>
          <w:b w:val="0"/>
          <w:bCs/>
          <w:sz w:val="32"/>
          <w:szCs w:val="32"/>
          <w:shd w:val="clear" w:color="auto" w:fill="FFFFFF"/>
        </w:rPr>
        <w:t>（六）国有资本经营预算财政拨款支出决算情况</w:t>
      </w:r>
    </w:p>
    <w:p>
      <w:pPr>
        <w:pStyle w:val="18"/>
        <w:widowControl/>
        <w:spacing w:before="0" w:beforeAutospacing="0" w:after="0" w:afterAutospacing="0" w:line="579" w:lineRule="exact"/>
        <w:ind w:firstLineChars="200" w:firstLine="640"/>
        <w:jc w:val="both"/>
        <w:rPr>
          <w:rFonts w:ascii="方正仿宋_GBK" w:eastAsia="方正仿宋_GBK" w:cs="方正仿宋_GBK"/>
          <w:sz w:val="32"/>
          <w:szCs w:val="32"/>
          <w:shd w:val="clear" w:color="auto" w:fill="FFFFFF"/>
        </w:rPr>
      </w:pPr>
      <w:r>
        <w:rPr>
          <w:rFonts w:ascii="方正仿宋_GBK" w:eastAsia="方正仿宋_GBK" w:cs="方正仿宋_GBK" w:hint="eastAsia"/>
          <w:sz w:val="32"/>
          <w:szCs w:val="32"/>
          <w:shd w:val="clear" w:color="auto" w:fill="FFFFFF"/>
        </w:rPr>
        <w:t>2024年</w:t>
      </w:r>
      <w:r>
        <w:rPr>
          <w:rFonts w:ascii="方正仿宋_GBK" w:eastAsia="方正仿宋_GBK" w:cs="方正仿宋_GBK"/>
          <w:sz w:val="32"/>
          <w:szCs w:val="32"/>
          <w:shd w:val="clear" w:color="auto" w:fill="FFFFFF"/>
        </w:rPr>
        <w:t>度</w:t>
      </w:r>
      <w:r>
        <w:rPr>
          <w:rFonts w:ascii="方正仿宋_GBK" w:eastAsia="方正仿宋_GBK" w:cs="方正仿宋_GBK" w:hint="eastAsia"/>
          <w:sz w:val="32"/>
          <w:szCs w:val="32"/>
          <w:shd w:val="clear" w:color="auto" w:fill="FFFFFF"/>
        </w:rPr>
        <w:t>本部门无</w:t>
      </w:r>
      <w:r>
        <w:rPr>
          <w:rFonts w:ascii="方正仿宋_GBK" w:eastAsia="方正仿宋_GBK" w:cs="方正仿宋_GBK"/>
          <w:sz w:val="32"/>
          <w:szCs w:val="32"/>
          <w:shd w:val="clear" w:color="auto" w:fill="FFFFFF"/>
        </w:rPr>
        <w:t>国有资本经营预算财政拨</w:t>
      </w:r>
      <w:r>
        <w:rPr>
          <w:rFonts w:ascii="方正仿宋_GBK" w:eastAsia="方正仿宋_GBK" w:cs="方正仿宋_GBK" w:hint="eastAsia"/>
          <w:sz w:val="32"/>
          <w:szCs w:val="32"/>
          <w:shd w:val="clear" w:color="auto" w:fill="FFFFFF"/>
        </w:rPr>
        <w:t>款</w:t>
      </w:r>
      <w:r>
        <w:rPr>
          <w:rFonts w:ascii="方正仿宋_GBK" w:eastAsia="方正仿宋_GBK" w:cs="方正仿宋_GBK"/>
          <w:sz w:val="32"/>
          <w:szCs w:val="32"/>
          <w:shd w:val="clear" w:color="auto" w:fill="FFFFFF"/>
        </w:rPr>
        <w:t>支出。</w:t>
      </w:r>
    </w:p>
    <w:p>
      <w:pPr>
        <w:pStyle w:val="21"/>
        <w:widowControl/>
        <w:autoSpaceDE w:val="0"/>
        <w:spacing w:before="0" w:beforeAutospacing="0" w:after="0" w:afterAutospacing="0" w:line="579" w:lineRule="exact"/>
        <w:ind w:firstLineChars="200" w:firstLine="640"/>
        <w:outlineLvl w:val="0"/>
        <w:rPr>
          <w:rStyle w:val="22"/>
          <w:rFonts w:ascii="宋体" w:eastAsia="方正黑体_GBK" w:cs="方正黑体_GBK" w:hAnsi="宋体" w:hint="eastAsia"/>
          <w:b w:val="0"/>
          <w:sz w:val="32"/>
          <w:szCs w:val="32"/>
          <w:shd w:val="clear" w:color="auto" w:fill="FFFFFF"/>
        </w:rPr>
      </w:pPr>
      <w:r>
        <w:rPr>
          <w:rStyle w:val="22"/>
          <w:rFonts w:ascii="宋体" w:eastAsia="方正黑体_GBK" w:cs="方正黑体_GBK" w:hAnsi="宋体" w:hint="eastAsia"/>
          <w:b w:val="0"/>
          <w:sz w:val="32"/>
          <w:szCs w:val="32"/>
          <w:shd w:val="clear" w:color="auto" w:fill="FFFFFF"/>
        </w:rPr>
        <w:t>三、“三公”经费情况</w:t>
      </w:r>
    </w:p>
    <w:p>
      <w:pPr>
        <w:widowControl/>
        <w:autoSpaceDE w:val="0"/>
        <w:spacing w:line="579" w:lineRule="exact"/>
        <w:ind w:firstLineChars="200" w:firstLine="640"/>
        <w:outlineLvl w:val="1"/>
        <w:rPr>
          <w:rStyle w:val="22"/>
          <w:rFonts w:ascii="宋体" w:eastAsia="方正楷体_GBK" w:cs="方正楷体_GBK" w:hAnsi="宋体"/>
          <w:b w:val="0"/>
          <w:bCs/>
          <w:sz w:val="32"/>
          <w:szCs w:val="32"/>
          <w:shd w:val="clear" w:color="auto" w:fill="FFFFFF"/>
        </w:rPr>
      </w:pPr>
      <w:r>
        <w:rPr>
          <w:rStyle w:val="22"/>
          <w:rFonts w:ascii="宋体" w:eastAsia="方正楷体_GBK" w:cs="方正楷体_GBK" w:hAnsi="宋体" w:hint="eastAsia"/>
          <w:b w:val="0"/>
          <w:bCs/>
          <w:sz w:val="32"/>
          <w:szCs w:val="32"/>
          <w:shd w:val="clear" w:color="auto" w:fill="FFFFFF"/>
        </w:rPr>
        <w:t>（一）“三公”经费支出总体情况</w:t>
      </w:r>
    </w:p>
    <w:p>
      <w:pPr>
        <w:pStyle w:val="18"/>
        <w:widowControl/>
        <w:spacing w:before="0" w:beforeAutospacing="0" w:after="0" w:afterAutospacing="0" w:line="579" w:lineRule="exact"/>
        <w:ind w:firstLineChars="200" w:firstLine="640"/>
        <w:jc w:val="both"/>
        <w:rPr>
          <w:rFonts w:ascii="宋体" w:eastAsia="方正仿宋_GBK" w:cs="方正仿宋_GBK" w:hAnsi="宋体"/>
          <w:kern w:val="2"/>
          <w:sz w:val="32"/>
        </w:rPr>
      </w:pPr>
      <w:r>
        <w:rPr>
          <w:rFonts w:ascii="宋体" w:eastAsia="方正仿宋_GBK" w:cs="方正仿宋_GBK" w:hAnsi="宋体" w:hint="eastAsia"/>
          <w:kern w:val="2"/>
          <w:sz w:val="32"/>
        </w:rPr>
        <w:t>2024年度“三公”经费支出共计10.43万元，较年初预算数减少3.57万元，下降25.50%，主要原因是厉行节约减少公务接待次数等。较上年支出数减少5.76万元，减少35.58%，主要原因是减少公务接待次数等。</w:t>
      </w:r>
    </w:p>
    <w:p>
      <w:pPr>
        <w:widowControl/>
        <w:autoSpaceDE w:val="0"/>
        <w:spacing w:line="579" w:lineRule="exact"/>
        <w:ind w:firstLineChars="200" w:firstLine="640"/>
        <w:outlineLvl w:val="1"/>
        <w:rPr>
          <w:rStyle w:val="22"/>
          <w:rFonts w:ascii="宋体" w:eastAsia="方正楷体_GBK" w:cs="方正楷体_GBK" w:hAnsi="宋体"/>
          <w:b w:val="0"/>
          <w:bCs/>
          <w:sz w:val="32"/>
          <w:szCs w:val="32"/>
          <w:shd w:val="clear" w:color="auto" w:fill="FFFFFF"/>
        </w:rPr>
      </w:pPr>
      <w:r>
        <w:rPr>
          <w:rStyle w:val="22"/>
          <w:rFonts w:ascii="宋体" w:eastAsia="方正楷体_GBK" w:cs="方正楷体_GBK" w:hAnsi="宋体" w:hint="eastAsia"/>
          <w:b w:val="0"/>
          <w:bCs/>
          <w:sz w:val="32"/>
          <w:szCs w:val="32"/>
          <w:shd w:val="clear" w:color="auto" w:fill="FFFFFF"/>
        </w:rPr>
        <w:t>（二）“三公”经费分项支出情况</w:t>
      </w:r>
    </w:p>
    <w:p>
      <w:pPr>
        <w:pStyle w:val="18"/>
        <w:widowControl/>
        <w:spacing w:before="0" w:beforeAutospacing="0" w:after="0" w:afterAutospacing="0" w:line="579" w:lineRule="exact"/>
        <w:ind w:firstLineChars="200" w:firstLine="640"/>
        <w:jc w:val="both"/>
        <w:rPr>
          <w:rFonts w:ascii="宋体" w:eastAsia="方正仿宋_GBK" w:cs="方正仿宋_GBK" w:hAnsi="宋体"/>
          <w:kern w:val="2"/>
          <w:sz w:val="32"/>
        </w:rPr>
      </w:pPr>
      <w:r>
        <w:rPr>
          <w:rFonts w:ascii="宋体" w:eastAsia="方正仿宋_GBK" w:cs="方正仿宋_GBK" w:hAnsi="宋体" w:hint="eastAsia"/>
          <w:kern w:val="2"/>
          <w:sz w:val="32"/>
        </w:rPr>
        <w:t>因公出国（境）费用0万元，本部门未安排单位人员出国出访。</w:t>
      </w:r>
    </w:p>
    <w:p>
      <w:pPr>
        <w:pStyle w:val="18"/>
        <w:widowControl/>
        <w:spacing w:before="0" w:beforeAutospacing="0" w:after="0" w:afterAutospacing="0" w:line="579" w:lineRule="exact"/>
        <w:ind w:firstLineChars="200" w:firstLine="640"/>
        <w:jc w:val="both"/>
        <w:rPr>
          <w:rFonts w:ascii="宋体" w:eastAsia="方正仿宋_GBK" w:cs="方正仿宋_GBK" w:hAnsi="宋体"/>
          <w:kern w:val="2"/>
          <w:sz w:val="32"/>
        </w:rPr>
      </w:pPr>
      <w:r>
        <w:rPr>
          <w:rFonts w:ascii="宋体" w:eastAsia="方正仿宋_GBK" w:cs="方正仿宋_GBK" w:hAnsi="宋体" w:hint="eastAsia"/>
          <w:kern w:val="2"/>
          <w:sz w:val="32"/>
        </w:rPr>
        <w:t>公务车运行维护费8.59万元，主要用于机要文件交换、市内因公出行、业务检查等工作所需车辆的燃料费、维修费、过桥过路费、保险费等。费用支出较年初预算数减少0.41万元，下降4.56%，主要原因是减少公务用车次数等。较上年支出数减少0.18万元，减少2.05%，主要原因是减少公务用车次数等。</w:t>
      </w:r>
    </w:p>
    <w:p>
      <w:pPr>
        <w:pStyle w:val="18"/>
        <w:widowControl/>
        <w:spacing w:before="0" w:beforeAutospacing="0" w:after="0" w:afterAutospacing="0" w:line="579" w:lineRule="exact"/>
        <w:ind w:firstLineChars="200" w:firstLine="640"/>
        <w:jc w:val="both"/>
        <w:rPr>
          <w:rFonts w:ascii="宋体" w:eastAsia="方正仿宋_GBK" w:cs="方正仿宋_GBK" w:hAnsi="宋体"/>
          <w:kern w:val="2"/>
          <w:sz w:val="32"/>
        </w:rPr>
      </w:pPr>
      <w:r>
        <w:rPr>
          <w:rFonts w:ascii="宋体" w:eastAsia="方正仿宋_GBK" w:cs="方正仿宋_GBK" w:hAnsi="宋体" w:hint="eastAsia"/>
          <w:kern w:val="2"/>
          <w:sz w:val="32"/>
        </w:rPr>
        <w:t>公务接待费1.83万元，主要用于接待市级相关部门检查指导工作等支出。费用支出较年初预算数减少3.17万元，下降63.40%，主要原因是厉行节约减少接待次数等。较上年支出数减少5.58万元，减少75.30%，主要原因是厉行节约减少接待次数等。</w:t>
      </w:r>
    </w:p>
    <w:p>
      <w:pPr>
        <w:pStyle w:val="18"/>
        <w:widowControl/>
        <w:spacing w:before="0" w:beforeAutospacing="0" w:after="0" w:afterAutospacing="0" w:line="579" w:lineRule="exact"/>
        <w:ind w:firstLineChars="200" w:firstLine="640"/>
        <w:jc w:val="both"/>
        <w:outlineLvl w:val="1"/>
        <w:rPr>
          <w:rFonts w:ascii="宋体" w:eastAsia="方正楷体_GBK" w:cs="方正楷体_GBK" w:hAnsi="宋体"/>
        </w:rPr>
      </w:pPr>
      <w:r>
        <w:rPr>
          <w:rStyle w:val="22"/>
          <w:rFonts w:ascii="宋体" w:eastAsia="方正楷体_GBK" w:cs="方正楷体_GBK" w:hAnsi="宋体" w:hint="eastAsia"/>
          <w:b w:val="0"/>
          <w:bCs/>
          <w:kern w:val="2"/>
          <w:sz w:val="32"/>
          <w:szCs w:val="32"/>
          <w:shd w:val="clear" w:color="auto" w:fill="FFFFFF"/>
        </w:rPr>
        <w:t>（三）“三公”经费实物量情况</w:t>
      </w:r>
    </w:p>
    <w:p>
      <w:pPr>
        <w:pStyle w:val="18"/>
        <w:widowControl/>
        <w:spacing w:before="0" w:beforeAutospacing="0" w:after="0" w:afterAutospacing="0" w:line="579" w:lineRule="exact"/>
        <w:ind w:firstLineChars="200" w:firstLine="640"/>
        <w:jc w:val="both"/>
        <w:rPr>
          <w:rFonts w:ascii="宋体" w:eastAsia="方正仿宋_GBK" w:cs="方正仿宋_GBK" w:hAnsi="宋体"/>
          <w:kern w:val="2"/>
          <w:sz w:val="32"/>
        </w:rPr>
      </w:pPr>
      <w:r>
        <w:rPr>
          <w:rFonts w:ascii="宋体" w:eastAsia="方正仿宋_GBK" w:cs="方正仿宋_GBK" w:hAnsi="宋体" w:hint="eastAsia"/>
          <w:kern w:val="2"/>
          <w:sz w:val="32"/>
        </w:rPr>
        <w:t>2024年度本部门因公出国（境）共计0个团组，0人；公务用车购置0辆，公务车保有量为3辆；国内公务接待22批次225人，其中：国内外事接待0批次，0人；国（境）外公务接待0批次，0人。人均接待费81.42元，车均购置费0万元，车均维护费2.86万元。</w:t>
      </w:r>
    </w:p>
    <w:p>
      <w:pPr>
        <w:pStyle w:val="21"/>
        <w:widowControl/>
        <w:autoSpaceDE w:val="0"/>
        <w:spacing w:before="0" w:beforeAutospacing="0" w:after="0" w:afterAutospacing="0" w:line="579" w:lineRule="exact"/>
        <w:ind w:firstLineChars="200" w:firstLine="640"/>
        <w:outlineLvl w:val="0"/>
        <w:rPr>
          <w:rStyle w:val="22"/>
          <w:rFonts w:ascii="宋体" w:eastAsia="方正黑体_GBK" w:cs="方正黑体_GBK" w:hAnsi="宋体" w:hint="eastAsia"/>
          <w:b w:val="0"/>
          <w:sz w:val="32"/>
          <w:szCs w:val="32"/>
          <w:shd w:val="clear" w:color="auto" w:fill="FFFFFF"/>
        </w:rPr>
      </w:pPr>
      <w:r>
        <w:rPr>
          <w:rStyle w:val="22"/>
          <w:rFonts w:ascii="宋体" w:eastAsia="方正黑体_GBK" w:cs="方正黑体_GBK" w:hAnsi="宋体" w:hint="eastAsia"/>
          <w:b w:val="0"/>
          <w:sz w:val="32"/>
          <w:szCs w:val="32"/>
          <w:shd w:val="clear" w:color="auto" w:fill="FFFFFF"/>
        </w:rPr>
        <w:t>四、其他需要说明的事项</w:t>
      </w:r>
    </w:p>
    <w:p>
      <w:pPr>
        <w:pStyle w:val="18"/>
        <w:widowControl/>
        <w:spacing w:before="0" w:beforeAutospacing="0" w:after="0" w:afterAutospacing="0" w:line="579" w:lineRule="exact"/>
        <w:ind w:firstLineChars="200" w:firstLine="640"/>
        <w:jc w:val="both"/>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（一）财政拨款会议费和培训费情况</w:t>
      </w:r>
    </w:p>
    <w:p>
      <w:pPr>
        <w:pStyle w:val="18"/>
        <w:widowControl/>
        <w:spacing w:before="0" w:beforeAutospacing="0" w:after="0" w:afterAutospacing="0" w:line="579" w:lineRule="exact"/>
        <w:ind w:firstLineChars="200" w:firstLine="640"/>
        <w:jc w:val="both"/>
        <w:rPr>
          <w:rFonts w:ascii="宋体" w:eastAsia="方正仿宋_GBK" w:cs="方正仿宋_GBK" w:hAnsi="宋体"/>
          <w:kern w:val="2"/>
          <w:sz w:val="32"/>
        </w:rPr>
      </w:pPr>
      <w:r>
        <w:rPr>
          <w:rFonts w:ascii="宋体" w:eastAsia="方正仿宋_GBK" w:cs="方正仿宋_GBK" w:hAnsi="宋体" w:hint="eastAsia"/>
          <w:kern w:val="2"/>
          <w:sz w:val="32"/>
        </w:rPr>
        <w:t>2024年度会议费支出2.88万元，与2023年度相比，增加1.62万元，增加128.57%，主要原因是召开全市农机补短板，酸化治理等大型会议。本年度培训费支出4.82万元，与2023年度相比，减少0.40万元，减少7.66%，主要原因是减少线下培训次数，尽量采取线上培训等。</w:t>
      </w:r>
    </w:p>
    <w:p>
      <w:pPr>
        <w:pStyle w:val="18"/>
        <w:widowControl/>
        <w:spacing w:before="0" w:beforeAutospacing="0" w:after="0" w:afterAutospacing="0" w:line="579" w:lineRule="exact"/>
        <w:ind w:firstLineChars="200" w:firstLine="640"/>
        <w:jc w:val="both"/>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（二）机关运行经费情况</w:t>
      </w:r>
    </w:p>
    <w:p>
      <w:pPr>
        <w:pStyle w:val="18"/>
        <w:widowControl/>
        <w:spacing w:before="0" w:beforeAutospacing="0" w:after="0" w:afterAutospacing="0" w:line="579" w:lineRule="exact"/>
        <w:ind w:firstLineChars="200" w:firstLine="640"/>
        <w:jc w:val="both"/>
        <w:rPr>
          <w:rFonts w:ascii="宋体" w:eastAsia="方正仿宋_GBK" w:cs="方正仿宋_GBK" w:hAnsi="宋体"/>
          <w:kern w:val="2"/>
          <w:sz w:val="32"/>
        </w:rPr>
      </w:pPr>
      <w:r>
        <w:rPr>
          <w:rFonts w:ascii="宋体" w:eastAsia="方正仿宋_GBK" w:cs="方正仿宋_GBK" w:hAnsi="宋体" w:hint="eastAsia"/>
          <w:kern w:val="2"/>
          <w:sz w:val="32"/>
        </w:rPr>
        <w:t>按照部门决算列报口径，我单位不在机关运行经费统计范围之内。</w:t>
      </w:r>
    </w:p>
    <w:p>
      <w:pPr>
        <w:pStyle w:val="18"/>
        <w:widowControl/>
        <w:spacing w:before="0" w:beforeAutospacing="0" w:after="0" w:afterAutospacing="0" w:line="579" w:lineRule="exact"/>
        <w:ind w:firstLineChars="200" w:firstLine="640"/>
        <w:jc w:val="both"/>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（三）国有资产占用情况说明</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szCs w:val="32"/>
        </w:rPr>
      </w:pPr>
      <w:r>
        <w:rPr>
          <w:rFonts w:ascii="宋体" w:eastAsia="方正仿宋_GBK" w:cs="方正仿宋_GBK" w:hAnsi="宋体" w:hint="eastAsia"/>
          <w:kern w:val="2"/>
          <w:sz w:val="32"/>
        </w:rPr>
        <w:t>截至2024年12月31日，本部门共有车辆3辆。其中：副部（省）级及以上领导用车0辆，主要负责人用车0辆，机要通信用车0辆，应急保障用车3辆，执法执勤用车0辆，特种专业技术用车0辆，离退休干部服务用车0辆，其他用车0辆。单价100万元（含）以上设备（不含车辆）0台（套）。</w:t>
      </w:r>
    </w:p>
    <w:p>
      <w:pPr>
        <w:pStyle w:val="18"/>
        <w:widowControl/>
        <w:spacing w:before="0" w:beforeAutospacing="0" w:after="0" w:afterAutospacing="0" w:line="579" w:lineRule="exact"/>
        <w:ind w:firstLineChars="200" w:firstLine="640"/>
        <w:jc w:val="both"/>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（四）政府采购支出说明</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kern w:val="2"/>
          <w:sz w:val="32"/>
        </w:rPr>
        <w:t>2024年度本部门政府采购支出总额1.97万元，其中：政府采购货物支出1.97万元、政府采购工程支出0万元、政府采购服务支出0万元。授予中小企业合同金额1.97万元，占政府采购支出总额的100%，其中：授予小微企业合同金额1.97万元，占政府采购支出总额的100%。主要用于采购办公家具等。</w:t>
      </w:r>
    </w:p>
    <w:p>
      <w:pPr>
        <w:pStyle w:val="18"/>
        <w:widowControl/>
        <w:spacing w:before="0" w:beforeAutospacing="0" w:after="0" w:afterAutospacing="0" w:line="579" w:lineRule="exact"/>
        <w:ind w:firstLineChars="200" w:firstLine="640"/>
        <w:outlineLvl w:val="0"/>
        <w:rPr>
          <w:rFonts w:ascii="宋体" w:eastAsia="方正黑体_GBK" w:cs="方正黑体_GBK" w:hAnsi="宋体"/>
          <w:bCs/>
          <w:sz w:val="32"/>
          <w:szCs w:val="32"/>
        </w:rPr>
      </w:pPr>
      <w:r>
        <w:rPr>
          <w:rStyle w:val="19"/>
          <w:rFonts w:ascii="宋体" w:eastAsia="方正黑体_GBK" w:cs="方正黑体_GBK" w:hAnsi="宋体" w:hint="eastAsia"/>
          <w:b w:val="0"/>
          <w:bCs/>
          <w:sz w:val="32"/>
          <w:szCs w:val="32"/>
          <w:shd w:val="clear" w:color="auto" w:fill="FFFFFF"/>
        </w:rPr>
        <w:t>五、预算绩效管理情况</w:t>
      </w:r>
    </w:p>
    <w:p>
      <w:pPr>
        <w:pStyle w:val="18"/>
        <w:widowControl/>
        <w:adjustRightInd w:val="0"/>
        <w:spacing w:before="0" w:beforeAutospacing="0" w:after="0" w:afterAutospacing="0" w:line="579" w:lineRule="exact"/>
        <w:ind w:firstLineChars="200" w:firstLine="640"/>
        <w:outlineLvl w:val="1"/>
        <w:rPr>
          <w:rFonts w:ascii="宋体" w:eastAsia="方正楷体_GBK" w:cs="方正楷体_GBK" w:hAnsi="宋体"/>
        </w:rPr>
      </w:pPr>
      <w:r>
        <w:rPr>
          <w:rStyle w:val="22"/>
          <w:rFonts w:ascii="宋体" w:eastAsia="方正楷体_GBK" w:cs="方正楷体_GBK" w:hAnsi="宋体" w:hint="eastAsia"/>
          <w:b w:val="0"/>
          <w:bCs/>
          <w:kern w:val="2"/>
          <w:sz w:val="32"/>
          <w:szCs w:val="32"/>
          <w:shd w:val="clear" w:color="auto" w:fill="FFFFFF"/>
        </w:rPr>
        <w:t>（一）预算绩效管理工作开展情况</w:t>
      </w:r>
    </w:p>
    <w:p>
      <w:pPr>
        <w:pStyle w:val="18"/>
        <w:widowControl/>
        <w:spacing w:before="0" w:beforeAutospacing="0" w:after="0" w:afterAutospacing="0" w:line="579" w:lineRule="exact"/>
        <w:ind w:firstLineChars="200" w:firstLine="640"/>
        <w:jc w:val="both"/>
        <w:rPr>
          <w:rFonts w:ascii="宋体" w:eastAsia="方正仿宋_GBK" w:cs="方正仿宋_GBK" w:hAnsi="宋体"/>
          <w:kern w:val="2"/>
          <w:sz w:val="32"/>
        </w:rPr>
      </w:pPr>
      <w:r>
        <w:rPr>
          <w:rFonts w:ascii="宋体" w:eastAsia="方正仿宋_GBK" w:cs="方正仿宋_GBK" w:hAnsi="宋体" w:hint="eastAsia"/>
          <w:kern w:val="2"/>
          <w:sz w:val="32"/>
        </w:rPr>
        <w:t>根据预算绩效管理要求，我部门对4个项目开展了绩效自评，其中，以填报目标自评表形式开展自评，涉及资金29.34万元。</w:t>
      </w:r>
    </w:p>
    <w:p>
      <w:pPr>
        <w:pStyle w:val="18"/>
        <w:widowControl/>
        <w:adjustRightInd w:val="0"/>
        <w:spacing w:before="0" w:beforeAutospacing="0" w:after="0" w:afterAutospacing="0" w:line="579" w:lineRule="exact"/>
        <w:ind w:firstLineChars="200" w:firstLine="640"/>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（二）绩效自评结果</w:t>
      </w:r>
    </w:p>
    <w:p>
      <w:pPr>
        <w:pStyle w:val="18"/>
        <w:widowControl/>
        <w:adjustRightInd w:val="0"/>
        <w:spacing w:before="0" w:beforeAutospacing="0" w:after="0" w:afterAutospacing="0" w:line="579" w:lineRule="exact"/>
        <w:ind w:firstLineChars="200" w:firstLine="640"/>
        <w:rPr>
          <w:rFonts w:ascii="宋体" w:eastAsia="方正仿宋_GBK" w:cs="方正仿宋_GBK" w:hAnsi="宋体"/>
          <w:b/>
          <w:bCs/>
          <w:sz w:val="32"/>
        </w:rPr>
      </w:pPr>
      <w:r>
        <w:rPr>
          <w:rFonts w:ascii="宋体" w:eastAsia="方正仿宋_GBK" w:cs="方正仿宋_GBK" w:hAnsi="宋体" w:hint="eastAsia"/>
          <w:b/>
          <w:bCs/>
          <w:sz w:val="32"/>
        </w:rPr>
        <w:t>1. 绩效目标自评表</w:t>
      </w:r>
    </w:p>
    <w:p>
      <w:pPr>
        <w:pStyle w:val="18"/>
        <w:widowControl/>
        <w:spacing w:before="0" w:beforeAutospacing="0" w:after="0" w:afterAutospacing="0" w:line="579" w:lineRule="exact"/>
        <w:ind w:firstLineChars="200" w:firstLine="640"/>
        <w:jc w:val="both"/>
        <w:rPr>
          <w:rFonts w:ascii="宋体" w:eastAsia="方正仿宋_GBK" w:cs="方正仿宋_GBK" w:hAnsi="宋体"/>
          <w:kern w:val="2"/>
          <w:sz w:val="32"/>
        </w:rPr>
      </w:pPr>
      <w:r>
        <w:rPr>
          <w:rFonts w:ascii="宋体" w:eastAsia="方正仿宋_GBK" w:cs="方正仿宋_GBK" w:hAnsi="宋体" w:hint="eastAsia"/>
          <w:kern w:val="2"/>
          <w:sz w:val="32"/>
        </w:rPr>
        <w:t>（1）非在编人员项目经费根据年初设定的绩效目标，项目总体完成情况：项目全年预算数为15万元，执行数为15万元，完成预算的100%。</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szCs w:val="32"/>
        </w:rPr>
      </w:pPr>
      <w:r>
        <w:rPr>
          <w:rFonts w:ascii="宋体" w:eastAsia="方正仿宋_GBK" w:cs="方正仿宋_GBK" w:hAnsi="宋体" w:hint="eastAsia"/>
          <w:kern w:val="2"/>
          <w:sz w:val="32"/>
        </w:rPr>
        <w:t>（2）公开内容。详见表格。</w:t>
      </w:r>
    </w:p>
    <w:p>
      <w:pPr>
        <w:pStyle w:val="20"/>
        <w:tabs>
          <w:tab w:val="center" w:pos="4153"/>
          <w:tab w:val="left" w:pos="7275"/>
        </w:tabs>
        <w:spacing w:line="579" w:lineRule="exact"/>
        <w:ind w:firstLineChars="0" w:firstLine="0"/>
        <w:rPr>
          <w:rFonts w:ascii="宋体" w:eastAsia="方正仿宋_GBK" w:cs="方正仿宋_GBK" w:hAnsi="宋体"/>
          <w:color w:val="000000"/>
          <w:kern w:val="0"/>
          <w:sz w:val="36"/>
          <w:szCs w:val="36"/>
        </w:rPr>
      </w:pPr>
    </w:p>
    <w:p>
      <w:pPr>
        <w:pStyle w:val="20"/>
        <w:tabs>
          <w:tab w:val="center" w:pos="4153"/>
          <w:tab w:val="left" w:pos="7275"/>
        </w:tabs>
        <w:spacing w:line="579" w:lineRule="exact"/>
        <w:ind w:firstLineChars="0" w:firstLine="0"/>
        <w:jc w:val="center"/>
        <w:rPr>
          <w:rFonts w:ascii="方正黑体_GBK" w:eastAsia="方正黑体_GBK" w:cs="方正黑体_GBK"/>
          <w:color w:val="000000"/>
          <w:kern w:val="0"/>
          <w:sz w:val="36"/>
          <w:szCs w:val="36"/>
        </w:rPr>
      </w:pPr>
      <w:r>
        <w:rPr>
          <w:rFonts w:ascii="方正黑体_GBK" w:eastAsia="方正黑体_GBK" w:cs="方正黑体_GBK" w:hint="eastAsia"/>
          <w:color w:val="000000"/>
          <w:kern w:val="0"/>
          <w:sz w:val="36"/>
          <w:szCs w:val="36"/>
        </w:rPr>
        <w:t>2024年度项目绩效自评表</w:t>
      </w:r>
    </w:p>
    <w:tbl>
      <w:tblPr>
        <w:jc w:val="cente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47"/>
        <w:gridCol w:w="756"/>
        <w:gridCol w:w="708"/>
        <w:gridCol w:w="709"/>
        <w:gridCol w:w="366"/>
        <w:gridCol w:w="478"/>
        <w:gridCol w:w="684"/>
        <w:gridCol w:w="288"/>
        <w:gridCol w:w="948"/>
        <w:gridCol w:w="1080"/>
        <w:gridCol w:w="1092"/>
        <w:gridCol w:w="938"/>
        <w:gridCol w:w="346"/>
        <w:gridCol w:w="892"/>
      </w:tblGrid>
      <w:tr>
        <w:trPr>
          <w:trHeight w:val="469"/>
        </w:trPr>
        <w:tc>
          <w:tcPr>
            <w:tcW w:w="847" w:type="dxa"/>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项目</w:t>
            </w:r>
          </w:p>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名称</w:t>
            </w:r>
          </w:p>
        </w:tc>
        <w:tc>
          <w:tcPr>
            <w:tcW w:w="3701" w:type="dxa"/>
            <w:gridSpan w:val="6"/>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非在编人员项目经费</w:t>
            </w:r>
          </w:p>
        </w:tc>
        <w:tc>
          <w:tcPr>
            <w:tcW w:w="1236" w:type="dxa"/>
            <w:gridSpan w:val="2"/>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自评</w:t>
            </w:r>
          </w:p>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总分</w:t>
            </w:r>
          </w:p>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（分）</w:t>
            </w:r>
          </w:p>
        </w:tc>
        <w:tc>
          <w:tcPr>
            <w:tcW w:w="4348" w:type="dxa"/>
            <w:gridSpan w:val="5"/>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100分</w:t>
            </w:r>
          </w:p>
        </w:tc>
      </w:tr>
      <w:tr>
        <w:trPr>
          <w:trHeight w:val="469"/>
        </w:trPr>
        <w:tc>
          <w:tcPr>
            <w:tcW w:w="847" w:type="dxa"/>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项目主管</w:t>
            </w:r>
          </w:p>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部门</w:t>
            </w:r>
          </w:p>
        </w:tc>
        <w:tc>
          <w:tcPr>
            <w:tcW w:w="1464" w:type="dxa"/>
            <w:gridSpan w:val="2"/>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江津区农业农村委员会</w:t>
            </w:r>
          </w:p>
        </w:tc>
        <w:tc>
          <w:tcPr>
            <w:tcW w:w="1075" w:type="dxa"/>
            <w:gridSpan w:val="2"/>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财政归口科室</w:t>
            </w:r>
          </w:p>
        </w:tc>
        <w:tc>
          <w:tcPr>
            <w:tcW w:w="1162" w:type="dxa"/>
            <w:gridSpan w:val="2"/>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农业农村科</w:t>
            </w:r>
          </w:p>
        </w:tc>
        <w:tc>
          <w:tcPr>
            <w:tcW w:w="1236" w:type="dxa"/>
            <w:gridSpan w:val="2"/>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项目</w:t>
            </w:r>
          </w:p>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联系人</w:t>
            </w:r>
          </w:p>
        </w:tc>
        <w:tc>
          <w:tcPr>
            <w:tcW w:w="1080" w:type="dxa"/>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陈秋宏</w:t>
            </w:r>
          </w:p>
        </w:tc>
        <w:tc>
          <w:tcPr>
            <w:tcW w:w="1092" w:type="dxa"/>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联系电话</w:t>
            </w:r>
          </w:p>
        </w:tc>
        <w:tc>
          <w:tcPr>
            <w:tcW w:w="2176" w:type="dxa"/>
            <w:gridSpan w:val="3"/>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sz w:val="32"/>
                <w:szCs w:val="32"/>
              </w:rPr>
              <w:t>47520067</w:t>
            </w:r>
          </w:p>
        </w:tc>
      </w:tr>
      <w:tr>
        <w:trPr>
          <w:trHeight w:val="469"/>
        </w:trPr>
        <w:tc>
          <w:tcPr>
            <w:tcW w:w="847" w:type="dxa"/>
            <w:vMerge w:val="restart"/>
            <w:tcBorders>
              <w:tl2br w:val="nil"/>
              <w:tr2bl w:val="nil"/>
            </w:tcBorders>
            <w:noWrap/>
            <w:textDirection w:val="tbRlV"/>
            <w:vAlign w:val="center"/>
          </w:tcPr>
          <w:p>
            <w:pPr>
              <w:widowControl/>
              <w:spacing w:line="579" w:lineRule="exact"/>
              <w:ind w:left="113" w:right="113"/>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项目资金（万元）</w:t>
            </w:r>
          </w:p>
        </w:tc>
        <w:tc>
          <w:tcPr>
            <w:tcW w:w="1464" w:type="dxa"/>
            <w:gridSpan w:val="2"/>
            <w:vMerge w:val="restart"/>
            <w:tcBorders>
              <w:tl2br w:val="nil"/>
              <w:tr2bl w:val="nil"/>
            </w:tcBorders>
            <w:noWrap/>
            <w:vAlign w:val="center"/>
          </w:tcPr>
          <w:p>
            <w:pPr>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年度总金额</w:t>
            </w:r>
          </w:p>
        </w:tc>
        <w:tc>
          <w:tcPr>
            <w:tcW w:w="1075" w:type="dxa"/>
            <w:gridSpan w:val="2"/>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年初</w:t>
            </w:r>
          </w:p>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预算数</w:t>
            </w:r>
          </w:p>
        </w:tc>
        <w:tc>
          <w:tcPr>
            <w:tcW w:w="1162" w:type="dxa"/>
            <w:gridSpan w:val="2"/>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全年（调整）预算数</w:t>
            </w:r>
          </w:p>
        </w:tc>
        <w:tc>
          <w:tcPr>
            <w:tcW w:w="2316" w:type="dxa"/>
            <w:gridSpan w:val="3"/>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全年执行数</w:t>
            </w:r>
          </w:p>
        </w:tc>
        <w:tc>
          <w:tcPr>
            <w:tcW w:w="1092" w:type="dxa"/>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执行率</w:t>
            </w:r>
          </w:p>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w:t>
            </w:r>
          </w:p>
        </w:tc>
        <w:tc>
          <w:tcPr>
            <w:tcW w:w="938" w:type="dxa"/>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执行率</w:t>
            </w:r>
          </w:p>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权重</w:t>
            </w:r>
          </w:p>
        </w:tc>
        <w:tc>
          <w:tcPr>
            <w:tcW w:w="1238" w:type="dxa"/>
            <w:gridSpan w:val="2"/>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执行率</w:t>
            </w:r>
          </w:p>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得分</w:t>
            </w:r>
          </w:p>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（分）</w:t>
            </w:r>
          </w:p>
        </w:tc>
      </w:tr>
      <w:tr>
        <w:trPr>
          <w:trHeight w:val="469"/>
        </w:trPr>
        <w:tc>
          <w:tcPr>
            <w:tcW w:w="847" w:type="dxa"/>
            <w:vMerge/>
            <w:tcBorders>
              <w:tl2br w:val="nil"/>
              <w:tr2bl w:val="nil"/>
            </w:tcBorders>
            <w:noWrap/>
            <w:vAlign w:val="center"/>
          </w:tcPr>
          <w:p/>
        </w:tc>
        <w:tc>
          <w:tcPr>
            <w:tcW w:w="1464" w:type="dxa"/>
            <w:gridSpan w:val="2"/>
            <w:vMerge/>
            <w:tcBorders>
              <w:tl2br w:val="nil"/>
              <w:tr2bl w:val="nil"/>
            </w:tcBorders>
            <w:noWrap/>
            <w:vAlign w:val="center"/>
          </w:tcPr>
          <w:p/>
        </w:tc>
        <w:tc>
          <w:tcPr>
            <w:tcW w:w="1075" w:type="dxa"/>
            <w:gridSpan w:val="2"/>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15</w:t>
            </w:r>
          </w:p>
        </w:tc>
        <w:tc>
          <w:tcPr>
            <w:tcW w:w="1162" w:type="dxa"/>
            <w:gridSpan w:val="2"/>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15</w:t>
            </w:r>
          </w:p>
        </w:tc>
        <w:tc>
          <w:tcPr>
            <w:tcW w:w="2316" w:type="dxa"/>
            <w:gridSpan w:val="3"/>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15</w:t>
            </w:r>
          </w:p>
        </w:tc>
        <w:tc>
          <w:tcPr>
            <w:tcW w:w="1092" w:type="dxa"/>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100</w:t>
            </w:r>
          </w:p>
        </w:tc>
        <w:tc>
          <w:tcPr>
            <w:tcW w:w="938" w:type="dxa"/>
            <w:tcBorders>
              <w:tl2br w:val="nil"/>
              <w:tr2bl w:val="nil"/>
            </w:tcBorders>
            <w:noWrap/>
            <w:vAlign w:val="center"/>
          </w:tcPr>
          <w:p>
            <w:pPr>
              <w:widowControl/>
              <w:spacing w:line="579" w:lineRule="exact"/>
              <w:jc w:val="center"/>
              <w:rPr>
                <w:rFonts w:ascii="宋体" w:eastAsia="方正仿宋_GBK" w:cs="方正仿宋_GBK" w:hAnsi="宋体"/>
                <w:kern w:val="0"/>
                <w:sz w:val="24"/>
                <w:szCs w:val="24"/>
              </w:rPr>
            </w:pPr>
            <w:r>
              <w:rPr>
                <w:rFonts w:ascii="宋体" w:eastAsia="方正仿宋_GBK" w:cs="方正仿宋_GBK" w:hAnsi="宋体" w:hint="eastAsia"/>
                <w:kern w:val="0"/>
                <w:sz w:val="24"/>
                <w:szCs w:val="24"/>
              </w:rPr>
              <w:t>10</w:t>
            </w:r>
          </w:p>
        </w:tc>
        <w:tc>
          <w:tcPr>
            <w:tcW w:w="1238" w:type="dxa"/>
            <w:gridSpan w:val="2"/>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10</w:t>
            </w:r>
          </w:p>
        </w:tc>
      </w:tr>
      <w:tr>
        <w:trPr>
          <w:trHeight w:val="469"/>
        </w:trPr>
        <w:tc>
          <w:tcPr>
            <w:tcW w:w="847" w:type="dxa"/>
            <w:vMerge/>
            <w:tcBorders>
              <w:tl2br w:val="nil"/>
              <w:tr2bl w:val="nil"/>
            </w:tcBorders>
            <w:noWrap/>
            <w:vAlign w:val="center"/>
          </w:tcPr>
          <w:p/>
        </w:tc>
        <w:tc>
          <w:tcPr>
            <w:tcW w:w="1464" w:type="dxa"/>
            <w:gridSpan w:val="2"/>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其中：</w:t>
            </w:r>
          </w:p>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财政拨款</w:t>
            </w:r>
          </w:p>
        </w:tc>
        <w:tc>
          <w:tcPr>
            <w:tcW w:w="1075" w:type="dxa"/>
            <w:gridSpan w:val="2"/>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15</w:t>
            </w:r>
          </w:p>
        </w:tc>
        <w:tc>
          <w:tcPr>
            <w:tcW w:w="1162" w:type="dxa"/>
            <w:gridSpan w:val="2"/>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15</w:t>
            </w:r>
          </w:p>
        </w:tc>
        <w:tc>
          <w:tcPr>
            <w:tcW w:w="2316" w:type="dxa"/>
            <w:gridSpan w:val="3"/>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15</w:t>
            </w:r>
          </w:p>
        </w:tc>
        <w:tc>
          <w:tcPr>
            <w:tcW w:w="1092" w:type="dxa"/>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100</w:t>
            </w:r>
          </w:p>
        </w:tc>
        <w:tc>
          <w:tcPr>
            <w:tcW w:w="938" w:type="dxa"/>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10</w:t>
            </w:r>
          </w:p>
        </w:tc>
        <w:tc>
          <w:tcPr>
            <w:tcW w:w="1238" w:type="dxa"/>
            <w:gridSpan w:val="2"/>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10</w:t>
            </w:r>
          </w:p>
        </w:tc>
      </w:tr>
      <w:tr>
        <w:trPr>
          <w:trHeight w:val="469"/>
        </w:trPr>
        <w:tc>
          <w:tcPr>
            <w:tcW w:w="847" w:type="dxa"/>
            <w:vMerge w:val="restart"/>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当年绩效目标</w:t>
            </w:r>
          </w:p>
        </w:tc>
        <w:tc>
          <w:tcPr>
            <w:tcW w:w="3017" w:type="dxa"/>
            <w:gridSpan w:val="5"/>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年初绩效目标</w:t>
            </w:r>
          </w:p>
        </w:tc>
        <w:tc>
          <w:tcPr>
            <w:tcW w:w="3000" w:type="dxa"/>
            <w:gridSpan w:val="4"/>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全年（调整）绩效目标</w:t>
            </w:r>
          </w:p>
        </w:tc>
        <w:tc>
          <w:tcPr>
            <w:tcW w:w="3268" w:type="dxa"/>
            <w:gridSpan w:val="4"/>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全年目标实际完成情况</w:t>
            </w:r>
          </w:p>
        </w:tc>
      </w:tr>
      <w:tr>
        <w:trPr>
          <w:trHeight w:val="1055"/>
        </w:trPr>
        <w:tc>
          <w:tcPr>
            <w:tcW w:w="847" w:type="dxa"/>
            <w:vMerge/>
            <w:tcBorders>
              <w:tl2br w:val="nil"/>
              <w:tr2bl w:val="nil"/>
            </w:tcBorders>
            <w:noWrap/>
            <w:vAlign w:val="center"/>
          </w:tcPr>
          <w:p/>
        </w:tc>
        <w:tc>
          <w:tcPr>
            <w:tcW w:w="3017" w:type="dxa"/>
            <w:gridSpan w:val="5"/>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非在编人员工资，社保等支出</w:t>
            </w:r>
          </w:p>
        </w:tc>
        <w:tc>
          <w:tcPr>
            <w:tcW w:w="3000" w:type="dxa"/>
            <w:gridSpan w:val="4"/>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p>
        </w:tc>
        <w:tc>
          <w:tcPr>
            <w:tcW w:w="3268" w:type="dxa"/>
            <w:gridSpan w:val="4"/>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非在编人员工资，社保等支出</w:t>
            </w:r>
          </w:p>
        </w:tc>
      </w:tr>
      <w:tr>
        <w:trPr>
          <w:trHeight w:val="469"/>
        </w:trPr>
        <w:tc>
          <w:tcPr>
            <w:tcW w:w="847" w:type="dxa"/>
            <w:vMerge w:val="restart"/>
            <w:tcBorders>
              <w:tl2br w:val="nil"/>
              <w:tr2bl w:val="nil"/>
            </w:tcBorders>
            <w:noWrap/>
            <w:textDirection w:val="tbRlV"/>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绩效指标</w:t>
            </w:r>
          </w:p>
        </w:tc>
        <w:tc>
          <w:tcPr>
            <w:tcW w:w="756" w:type="dxa"/>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指标</w:t>
            </w:r>
          </w:p>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名称</w:t>
            </w:r>
          </w:p>
        </w:tc>
        <w:tc>
          <w:tcPr>
            <w:tcW w:w="708" w:type="dxa"/>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计量</w:t>
            </w:r>
          </w:p>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单位</w:t>
            </w:r>
          </w:p>
        </w:tc>
        <w:tc>
          <w:tcPr>
            <w:tcW w:w="709" w:type="dxa"/>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指标</w:t>
            </w:r>
          </w:p>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性质</w:t>
            </w:r>
          </w:p>
        </w:tc>
        <w:tc>
          <w:tcPr>
            <w:tcW w:w="844" w:type="dxa"/>
            <w:gridSpan w:val="2"/>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指标</w:t>
            </w:r>
          </w:p>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值</w:t>
            </w:r>
          </w:p>
        </w:tc>
        <w:tc>
          <w:tcPr>
            <w:tcW w:w="972" w:type="dxa"/>
            <w:gridSpan w:val="2"/>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全年</w:t>
            </w:r>
          </w:p>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完成值</w:t>
            </w:r>
          </w:p>
        </w:tc>
        <w:tc>
          <w:tcPr>
            <w:tcW w:w="948" w:type="dxa"/>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偏离度（%）</w:t>
            </w:r>
          </w:p>
        </w:tc>
        <w:tc>
          <w:tcPr>
            <w:tcW w:w="1080" w:type="dxa"/>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得分</w:t>
            </w:r>
          </w:p>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系数</w:t>
            </w:r>
          </w:p>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w:t>
            </w:r>
          </w:p>
        </w:tc>
        <w:tc>
          <w:tcPr>
            <w:tcW w:w="1092" w:type="dxa"/>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指标</w:t>
            </w:r>
          </w:p>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权重</w:t>
            </w:r>
          </w:p>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（分）</w:t>
            </w:r>
          </w:p>
        </w:tc>
        <w:tc>
          <w:tcPr>
            <w:tcW w:w="1284" w:type="dxa"/>
            <w:gridSpan w:val="2"/>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指标得分</w:t>
            </w:r>
          </w:p>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（分）</w:t>
            </w:r>
          </w:p>
        </w:tc>
        <w:tc>
          <w:tcPr>
            <w:tcW w:w="892" w:type="dxa"/>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说明</w:t>
            </w:r>
          </w:p>
        </w:tc>
      </w:tr>
      <w:tr>
        <w:trPr>
          <w:trHeight w:val="408"/>
        </w:trPr>
        <w:tc>
          <w:tcPr>
            <w:tcW w:w="847" w:type="dxa"/>
            <w:vMerge/>
            <w:tcBorders>
              <w:tl2br w:val="nil"/>
              <w:tr2bl w:val="nil"/>
            </w:tcBorders>
            <w:noWrap/>
            <w:vAlign w:val="center"/>
          </w:tcPr>
          <w:p/>
        </w:tc>
        <w:tc>
          <w:tcPr>
            <w:tcW w:w="756" w:type="dxa"/>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时效</w:t>
            </w:r>
          </w:p>
        </w:tc>
        <w:tc>
          <w:tcPr>
            <w:tcW w:w="708" w:type="dxa"/>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月</w:t>
            </w:r>
          </w:p>
        </w:tc>
        <w:tc>
          <w:tcPr>
            <w:tcW w:w="709" w:type="dxa"/>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w:t>
            </w:r>
          </w:p>
        </w:tc>
        <w:tc>
          <w:tcPr>
            <w:tcW w:w="844" w:type="dxa"/>
            <w:gridSpan w:val="2"/>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12</w:t>
            </w:r>
          </w:p>
        </w:tc>
        <w:tc>
          <w:tcPr>
            <w:tcW w:w="972" w:type="dxa"/>
            <w:gridSpan w:val="2"/>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12</w:t>
            </w:r>
          </w:p>
        </w:tc>
        <w:tc>
          <w:tcPr>
            <w:tcW w:w="948" w:type="dxa"/>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p>
        </w:tc>
        <w:tc>
          <w:tcPr>
            <w:tcW w:w="1080" w:type="dxa"/>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100</w:t>
            </w:r>
          </w:p>
        </w:tc>
        <w:tc>
          <w:tcPr>
            <w:tcW w:w="1092" w:type="dxa"/>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20</w:t>
            </w:r>
          </w:p>
        </w:tc>
        <w:tc>
          <w:tcPr>
            <w:tcW w:w="1284" w:type="dxa"/>
            <w:gridSpan w:val="2"/>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20</w:t>
            </w:r>
          </w:p>
        </w:tc>
        <w:tc>
          <w:tcPr>
            <w:tcW w:w="892" w:type="dxa"/>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p>
        </w:tc>
      </w:tr>
      <w:tr>
        <w:trPr>
          <w:trHeight w:val="408"/>
        </w:trPr>
        <w:tc>
          <w:tcPr>
            <w:tcW w:w="847" w:type="dxa"/>
            <w:vMerge/>
            <w:tcBorders>
              <w:tl2br w:val="nil"/>
              <w:tr2bl w:val="nil"/>
            </w:tcBorders>
            <w:noWrap/>
            <w:vAlign w:val="center"/>
          </w:tcPr>
          <w:p/>
        </w:tc>
        <w:tc>
          <w:tcPr>
            <w:tcW w:w="756" w:type="dxa"/>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安全</w:t>
            </w:r>
          </w:p>
        </w:tc>
        <w:tc>
          <w:tcPr>
            <w:tcW w:w="708" w:type="dxa"/>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人</w:t>
            </w:r>
          </w:p>
        </w:tc>
        <w:tc>
          <w:tcPr>
            <w:tcW w:w="709" w:type="dxa"/>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方正仿宋_GBK" w:eastAsia="方正仿宋_GBK" w:cs="方正仿宋_GBK"/>
                <w:color w:val="000000"/>
                <w:sz w:val="24"/>
                <w:szCs w:val="24"/>
                <w:shd w:val="clear" w:color="auto" w:fill="FFFFFF"/>
              </w:rPr>
              <w:t>≥</w:t>
            </w:r>
          </w:p>
        </w:tc>
        <w:tc>
          <w:tcPr>
            <w:tcW w:w="844" w:type="dxa"/>
            <w:gridSpan w:val="2"/>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98</w:t>
            </w:r>
          </w:p>
        </w:tc>
        <w:tc>
          <w:tcPr>
            <w:tcW w:w="972" w:type="dxa"/>
            <w:gridSpan w:val="2"/>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98</w:t>
            </w:r>
          </w:p>
        </w:tc>
        <w:tc>
          <w:tcPr>
            <w:tcW w:w="948" w:type="dxa"/>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p>
        </w:tc>
        <w:tc>
          <w:tcPr>
            <w:tcW w:w="1080" w:type="dxa"/>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100</w:t>
            </w:r>
          </w:p>
        </w:tc>
        <w:tc>
          <w:tcPr>
            <w:tcW w:w="1092" w:type="dxa"/>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40</w:t>
            </w:r>
          </w:p>
        </w:tc>
        <w:tc>
          <w:tcPr>
            <w:tcW w:w="1284" w:type="dxa"/>
            <w:gridSpan w:val="2"/>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40</w:t>
            </w:r>
          </w:p>
        </w:tc>
        <w:tc>
          <w:tcPr>
            <w:tcW w:w="892" w:type="dxa"/>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p>
        </w:tc>
      </w:tr>
      <w:tr>
        <w:trPr>
          <w:trHeight w:val="408"/>
        </w:trPr>
        <w:tc>
          <w:tcPr>
            <w:tcW w:w="847" w:type="dxa"/>
            <w:vMerge/>
            <w:tcBorders>
              <w:tl2br w:val="nil"/>
              <w:tr2bl w:val="nil"/>
            </w:tcBorders>
            <w:noWrap/>
            <w:vAlign w:val="center"/>
          </w:tcPr>
          <w:p/>
        </w:tc>
        <w:tc>
          <w:tcPr>
            <w:tcW w:w="756" w:type="dxa"/>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可持续</w:t>
            </w:r>
          </w:p>
        </w:tc>
        <w:tc>
          <w:tcPr>
            <w:tcW w:w="708" w:type="dxa"/>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每个</w:t>
            </w:r>
          </w:p>
        </w:tc>
        <w:tc>
          <w:tcPr>
            <w:tcW w:w="709" w:type="dxa"/>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方正仿宋_GBK" w:eastAsia="方正仿宋_GBK" w:cs="方正仿宋_GBK"/>
                <w:color w:val="000000"/>
                <w:sz w:val="24"/>
                <w:szCs w:val="24"/>
                <w:shd w:val="clear" w:color="auto" w:fill="FFFFFF"/>
              </w:rPr>
              <w:t>≥</w:t>
            </w:r>
          </w:p>
        </w:tc>
        <w:tc>
          <w:tcPr>
            <w:tcW w:w="844" w:type="dxa"/>
            <w:gridSpan w:val="2"/>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3</w:t>
            </w:r>
          </w:p>
        </w:tc>
        <w:tc>
          <w:tcPr>
            <w:tcW w:w="972" w:type="dxa"/>
            <w:gridSpan w:val="2"/>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3</w:t>
            </w:r>
          </w:p>
        </w:tc>
        <w:tc>
          <w:tcPr>
            <w:tcW w:w="948" w:type="dxa"/>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p>
        </w:tc>
        <w:tc>
          <w:tcPr>
            <w:tcW w:w="1080" w:type="dxa"/>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100</w:t>
            </w:r>
          </w:p>
        </w:tc>
        <w:tc>
          <w:tcPr>
            <w:tcW w:w="1092" w:type="dxa"/>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20</w:t>
            </w:r>
          </w:p>
        </w:tc>
        <w:tc>
          <w:tcPr>
            <w:tcW w:w="1284" w:type="dxa"/>
            <w:gridSpan w:val="2"/>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20</w:t>
            </w:r>
          </w:p>
        </w:tc>
        <w:tc>
          <w:tcPr>
            <w:tcW w:w="892" w:type="dxa"/>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p>
        </w:tc>
      </w:tr>
      <w:tr>
        <w:trPr>
          <w:trHeight w:val="408"/>
        </w:trPr>
        <w:tc>
          <w:tcPr>
            <w:tcW w:w="847" w:type="dxa"/>
            <w:vMerge/>
            <w:tcBorders>
              <w:tl2br w:val="nil"/>
              <w:tr2bl w:val="nil"/>
            </w:tcBorders>
            <w:noWrap/>
            <w:vAlign w:val="center"/>
          </w:tcPr>
          <w:p/>
        </w:tc>
        <w:tc>
          <w:tcPr>
            <w:tcW w:w="756" w:type="dxa"/>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服务对象</w:t>
            </w:r>
          </w:p>
        </w:tc>
        <w:tc>
          <w:tcPr>
            <w:tcW w:w="708" w:type="dxa"/>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个</w:t>
            </w:r>
          </w:p>
        </w:tc>
        <w:tc>
          <w:tcPr>
            <w:tcW w:w="709" w:type="dxa"/>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w:t>
            </w:r>
          </w:p>
        </w:tc>
        <w:tc>
          <w:tcPr>
            <w:tcW w:w="844" w:type="dxa"/>
            <w:gridSpan w:val="2"/>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3</w:t>
            </w:r>
          </w:p>
        </w:tc>
        <w:tc>
          <w:tcPr>
            <w:tcW w:w="972" w:type="dxa"/>
            <w:gridSpan w:val="2"/>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3</w:t>
            </w:r>
          </w:p>
        </w:tc>
        <w:tc>
          <w:tcPr>
            <w:tcW w:w="948" w:type="dxa"/>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p>
        </w:tc>
        <w:tc>
          <w:tcPr>
            <w:tcW w:w="1080" w:type="dxa"/>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100</w:t>
            </w:r>
          </w:p>
        </w:tc>
        <w:tc>
          <w:tcPr>
            <w:tcW w:w="1092" w:type="dxa"/>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10</w:t>
            </w:r>
          </w:p>
        </w:tc>
        <w:tc>
          <w:tcPr>
            <w:tcW w:w="1284" w:type="dxa"/>
            <w:gridSpan w:val="2"/>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10</w:t>
            </w:r>
          </w:p>
        </w:tc>
        <w:tc>
          <w:tcPr>
            <w:tcW w:w="892" w:type="dxa"/>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p>
        </w:tc>
      </w:tr>
    </w:tbl>
    <w:p>
      <w:pPr>
        <w:pStyle w:val="20"/>
        <w:numPr>
          <w:ilvl w:val="0"/>
          <w:numId w:val="7"/>
        </w:numPr>
        <w:tabs>
          <w:tab w:val="center" w:pos="4153"/>
          <w:tab w:val="left" w:pos="7275"/>
        </w:tabs>
        <w:spacing w:line="579" w:lineRule="exact"/>
        <w:ind w:left="0" w:firstLineChars="0" w:firstLine="643"/>
        <w:rPr>
          <w:rFonts w:ascii="宋体" w:eastAsia="方正仿宋_GBK" w:cs="方正仿宋_GBK" w:hAnsi="宋体"/>
          <w:b/>
          <w:kern w:val="0"/>
          <w:sz w:val="32"/>
          <w:szCs w:val="32"/>
        </w:rPr>
      </w:pPr>
      <w:r>
        <w:rPr>
          <w:rFonts w:ascii="宋体" w:eastAsia="方正仿宋_GBK" w:cs="方正仿宋_GBK" w:hAnsi="宋体" w:hint="eastAsia"/>
          <w:b/>
          <w:kern w:val="0"/>
          <w:sz w:val="32"/>
          <w:szCs w:val="32"/>
        </w:rPr>
        <w:t>绩效自评报告或案例</w:t>
      </w:r>
    </w:p>
    <w:p>
      <w:pPr>
        <w:pStyle w:val="20"/>
        <w:tabs>
          <w:tab w:val="center" w:pos="4153"/>
          <w:tab w:val="left" w:pos="7275"/>
        </w:tabs>
        <w:spacing w:line="579" w:lineRule="exact"/>
        <w:ind w:firstLineChars="300" w:firstLine="960"/>
        <w:rPr>
          <w:rFonts w:ascii="宋体" w:eastAsia="方正仿宋_GBK" w:cs="方正仿宋_GBK" w:hAnsi="宋体"/>
          <w:kern w:val="0"/>
          <w:sz w:val="32"/>
          <w:szCs w:val="32"/>
        </w:rPr>
      </w:pPr>
      <w:r>
        <w:rPr>
          <w:rFonts w:ascii="宋体" w:eastAsia="方正仿宋_GBK" w:cs="方正仿宋_GBK" w:hAnsi="宋体" w:hint="eastAsia"/>
          <w:kern w:val="0"/>
          <w:sz w:val="32"/>
          <w:szCs w:val="32"/>
        </w:rPr>
        <w:t>本单位无此事项。</w:t>
      </w:r>
    </w:p>
    <w:p>
      <w:pPr>
        <w:pStyle w:val="20"/>
        <w:numPr>
          <w:ilvl w:val="0"/>
          <w:numId w:val="7"/>
        </w:numPr>
        <w:tabs>
          <w:tab w:val="center" w:pos="4153"/>
          <w:tab w:val="left" w:pos="7275"/>
        </w:tabs>
        <w:spacing w:line="579" w:lineRule="exact"/>
        <w:ind w:left="0" w:firstLineChars="0" w:firstLine="643"/>
        <w:rPr>
          <w:rFonts w:ascii="宋体" w:eastAsia="方正仿宋_GBK" w:cs="方正仿宋_GBK" w:hAnsi="宋体"/>
          <w:b/>
          <w:bCs/>
          <w:color w:val="000000"/>
          <w:kern w:val="0"/>
          <w:sz w:val="32"/>
          <w:szCs w:val="32"/>
        </w:rPr>
      </w:pPr>
      <w:r>
        <w:rPr>
          <w:rFonts w:ascii="宋体" w:eastAsia="方正仿宋_GBK" w:cs="方正仿宋_GBK" w:hAnsi="宋体" w:hint="eastAsia"/>
          <w:b/>
          <w:bCs/>
          <w:color w:val="000000"/>
          <w:kern w:val="0"/>
          <w:sz w:val="32"/>
          <w:szCs w:val="32"/>
        </w:rPr>
        <w:t>关于绩效自评结果的说明</w:t>
      </w:r>
    </w:p>
    <w:p>
      <w:pPr>
        <w:pStyle w:val="20"/>
        <w:tabs>
          <w:tab w:val="center" w:pos="4153"/>
          <w:tab w:val="left" w:pos="7275"/>
        </w:tabs>
        <w:spacing w:line="579" w:lineRule="exact"/>
        <w:ind w:firstLineChars="300" w:firstLine="960"/>
        <w:rPr>
          <w:rFonts w:ascii="宋体" w:eastAsia="方正仿宋_GBK" w:cs="方正仿宋_GBK" w:hAnsi="宋体"/>
          <w:kern w:val="0"/>
          <w:sz w:val="32"/>
          <w:szCs w:val="32"/>
        </w:rPr>
      </w:pPr>
      <w:r>
        <w:rPr>
          <w:rFonts w:ascii="宋体" w:eastAsia="方正仿宋_GBK" w:cs="方正仿宋_GBK" w:hAnsi="宋体" w:hint="eastAsia"/>
          <w:kern w:val="0"/>
          <w:sz w:val="32"/>
          <w:szCs w:val="32"/>
        </w:rPr>
        <w:t>完成非在编人员项目绩效目标。</w:t>
      </w:r>
    </w:p>
    <w:p>
      <w:pPr>
        <w:pStyle w:val="20"/>
        <w:tabs>
          <w:tab w:val="center" w:pos="4153"/>
          <w:tab w:val="left" w:pos="7275"/>
        </w:tabs>
        <w:spacing w:line="579" w:lineRule="exact"/>
        <w:outlineLvl w:val="1"/>
        <w:rPr>
          <w:rFonts w:ascii="宋体" w:eastAsia="方正楷体_GBK" w:cs="方正楷体_GBK" w:hAnsi="宋体"/>
          <w:color w:val="333333"/>
          <w:sz w:val="32"/>
          <w:szCs w:val="32"/>
        </w:rPr>
      </w:pPr>
      <w:r>
        <w:rPr>
          <w:rFonts w:ascii="宋体" w:eastAsia="方正楷体_GBK" w:cs="方正楷体_GBK" w:hAnsi="宋体" w:hint="eastAsia"/>
          <w:color w:val="333333"/>
          <w:sz w:val="32"/>
          <w:szCs w:val="32"/>
        </w:rPr>
        <w:t>（三）重点绩效评价结果</w:t>
      </w:r>
    </w:p>
    <w:p>
      <w:pPr>
        <w:pStyle w:val="20"/>
        <w:tabs>
          <w:tab w:val="center" w:pos="4153"/>
          <w:tab w:val="left" w:pos="7275"/>
        </w:tabs>
        <w:spacing w:line="579" w:lineRule="exact"/>
        <w:ind w:firstLineChars="300" w:firstLine="960"/>
        <w:rPr>
          <w:rFonts w:ascii="宋体" w:eastAsia="方正仿宋_GBK" w:cs="方正仿宋_GBK" w:hAnsi="宋体"/>
          <w:kern w:val="0"/>
          <w:sz w:val="32"/>
          <w:szCs w:val="32"/>
        </w:rPr>
      </w:pPr>
      <w:r>
        <w:rPr>
          <w:rFonts w:ascii="宋体" w:eastAsia="方正仿宋_GBK" w:cs="方正仿宋_GBK" w:hAnsi="宋体" w:hint="eastAsia"/>
          <w:kern w:val="0"/>
          <w:sz w:val="32"/>
          <w:szCs w:val="32"/>
        </w:rPr>
        <w:t>本单位无此事项。</w:t>
      </w:r>
    </w:p>
    <w:p>
      <w:pPr>
        <w:pStyle w:val="20"/>
        <w:numPr>
          <w:ilvl w:val="0"/>
          <w:numId w:val="8"/>
        </w:numPr>
        <w:tabs>
          <w:tab w:val="center" w:pos="4153"/>
          <w:tab w:val="left" w:pos="7275"/>
        </w:tabs>
        <w:spacing w:line="579" w:lineRule="exact"/>
        <w:ind w:left="0" w:firstLineChars="0" w:firstLine="640"/>
        <w:outlineLvl w:val="0"/>
        <w:rPr>
          <w:rFonts w:ascii="宋体" w:eastAsia="方正黑体_GBK" w:cs="方正黑体_GBK" w:hAnsi="宋体"/>
          <w:sz w:val="32"/>
          <w:szCs w:val="32"/>
        </w:rPr>
      </w:pPr>
      <w:r>
        <w:rPr>
          <w:rFonts w:ascii="宋体" w:eastAsia="方正黑体_GBK" w:cs="方正黑体_GBK" w:hAnsi="宋体" w:hint="eastAsia"/>
          <w:sz w:val="32"/>
          <w:szCs w:val="32"/>
        </w:rPr>
        <w:t>专业名词解释</w:t>
      </w:r>
    </w:p>
    <w:p>
      <w:pPr>
        <w:pStyle w:val="20"/>
        <w:tabs>
          <w:tab w:val="center" w:pos="4153"/>
          <w:tab w:val="left" w:pos="7275"/>
        </w:tabs>
        <w:spacing w:line="579" w:lineRule="exact"/>
        <w:rPr>
          <w:rFonts w:ascii="宋体" w:eastAsia="方正仿宋_GBK" w:cs="方正仿宋_GBK" w:hAnsi="宋体"/>
          <w:sz w:val="32"/>
          <w:szCs w:val="32"/>
        </w:rPr>
      </w:pPr>
      <w:r>
        <w:rPr>
          <w:rFonts w:ascii="宋体" w:eastAsia="方正仿宋_GBK" w:cs="方正仿宋_GBK" w:hAnsi="宋体" w:hint="eastAsia"/>
          <w:sz w:val="32"/>
          <w:szCs w:val="32"/>
        </w:rPr>
        <w:t>部门应根据实际情况对专业名词进行解释，不得遗漏。</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（一）财政拨款收入：指本年度从本级财政部门取得的财政拨款，包括一般公共预算财政拨款和政府性基金预算财政拨款。</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（二）事业收入：指事业单位开展专业业务活动及其辅助活动取得的现金流入；事业单位收到的财政专户实际核拨的教育收费等资金在此反映。</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三）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（四）使用非财政拨款结余：指单位在当年的“财政拨款收入”、“事业收入”、“经营收入”、“其他收入”等不足以安排当年支出的情况下，使用以前年度积累的非财政拨款结余弥补本年度收支缺口的资金。</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（五）年初结转和结余：指单位上年结转本年使用的基本支出结转、项目支出结转和结余、经营结余。</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（六）结余分配：指单位按照国家有关规定，缴纳所得税、提取专用基金、转入非财政拨款结余等当年结余的分配情况。</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（七）年末结转和结余：指单位结转下年的基本支出结转、项目支出结转和结余、经营结余。</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八）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（九）项目支出：指在基本支出之外为完成特定行政任务和事业发展目标所发生的支出。</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十一）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（十二）工资福利支出（支出经济分类科目类级）：反映单位开支的在职职工和编制外长期聘用人员的各类劳动报酬，以及为上述人员缴纳的各项社会保险费等。</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（十三）商品和服务支出（支出经济分类科目类级）：反映单位购买商品和服务的支出（不包括用于购置固定资产的支出、战略性和应急储备支出）。</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（十四）对个人和家庭的补助（支出经济分类科目类级）：反映用于对个人和家庭的补助支出。</w:t>
      </w:r>
    </w:p>
    <w:p>
      <w:pPr>
        <w:pStyle w:val="20"/>
        <w:tabs>
          <w:tab w:val="center" w:pos="4153"/>
          <w:tab w:val="left" w:pos="7275"/>
        </w:tabs>
        <w:spacing w:line="579" w:lineRule="exact"/>
        <w:rPr>
          <w:rFonts w:ascii="宋体" w:eastAsia="方正仿宋_GBK" w:cs="方正仿宋_GBK" w:hAnsi="宋体"/>
          <w:sz w:val="32"/>
          <w:szCs w:val="32"/>
        </w:rPr>
      </w:pPr>
      <w:r>
        <w:rPr>
          <w:rFonts w:ascii="宋体" w:eastAsia="方正仿宋_GBK" w:cs="方正仿宋_GBK" w:hAnsi="宋体" w:hint="eastAsia"/>
          <w:sz w:val="32"/>
          <w:szCs w:val="32"/>
        </w:rPr>
        <w:t>（十五）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20"/>
        <w:tabs>
          <w:tab w:val="center" w:pos="4153"/>
          <w:tab w:val="left" w:pos="7275"/>
        </w:tabs>
        <w:spacing w:line="579" w:lineRule="exact"/>
        <w:outlineLvl w:val="0"/>
        <w:rPr>
          <w:rFonts w:ascii="宋体" w:eastAsia="方正黑体_GBK" w:cs="方正黑体_GBK" w:hAnsi="宋体"/>
          <w:sz w:val="32"/>
          <w:szCs w:val="32"/>
        </w:rPr>
      </w:pPr>
      <w:r>
        <w:rPr>
          <w:rFonts w:ascii="宋体" w:eastAsia="方正黑体_GBK" w:cs="方正黑体_GBK" w:hAnsi="宋体" w:hint="eastAsia"/>
          <w:sz w:val="32"/>
          <w:szCs w:val="32"/>
        </w:rPr>
        <w:t>七、决算公开联系方式</w:t>
      </w:r>
    </w:p>
    <w:p>
      <w:pPr>
        <w:pStyle w:val="18"/>
        <w:shd w:val="clear" w:color="auto" w:fill="FFFFFF"/>
        <w:spacing w:before="0" w:beforeAutospacing="0" w:after="0" w:afterAutospacing="0" w:line="579" w:lineRule="exact"/>
        <w:ind w:firstLineChars="200" w:firstLine="640"/>
        <w:jc w:val="both"/>
        <w:rPr>
          <w:rFonts w:ascii="宋体" w:eastAsia="方正仿宋_GBK" w:cs="方正仿宋_GBK" w:hAnsi="宋体"/>
          <w:sz w:val="32"/>
          <w:szCs w:val="32"/>
        </w:rPr>
      </w:pPr>
      <w:r>
        <w:rPr>
          <w:rFonts w:ascii="宋体" w:eastAsia="方正仿宋_GBK" w:cs="方正仿宋_GBK" w:hAnsi="宋体" w:hint="eastAsia"/>
          <w:sz w:val="32"/>
          <w:szCs w:val="32"/>
        </w:rPr>
        <w:t>本单位决算公开信息反馈和联系方式：</w:t>
      </w:r>
    </w:p>
    <w:p>
      <w:pPr>
        <w:pStyle w:val="18"/>
        <w:shd w:val="clear" w:color="auto" w:fill="FFFFFF"/>
        <w:spacing w:before="0" w:beforeAutospacing="0" w:after="0" w:afterAutospacing="0" w:line="579" w:lineRule="exact"/>
        <w:ind w:firstLineChars="200" w:firstLine="640"/>
        <w:jc w:val="both"/>
        <w:rPr>
          <w:rFonts w:ascii="宋体" w:eastAsia="方正仿宋_GBK" w:cs="方正仿宋_GBK" w:hAnsi="宋体"/>
          <w:sz w:val="32"/>
          <w:szCs w:val="32"/>
        </w:rPr>
      </w:pPr>
      <w:r>
        <w:rPr>
          <w:rFonts w:ascii="宋体" w:eastAsia="方正仿宋_GBK" w:cs="方正仿宋_GBK" w:hAnsi="宋体" w:hint="eastAsia"/>
          <w:sz w:val="32"/>
          <w:szCs w:val="32"/>
        </w:rPr>
        <w:t>联系人：陈秋宏</w:t>
      </w:r>
      <w:r>
        <w:rPr>
          <w:rFonts w:ascii="宋体" w:eastAsia="方正仿宋_GBK" w:cs="方正仿宋_GBK" w:hAnsi="宋体"/>
          <w:sz w:val="32"/>
          <w:szCs w:val="32"/>
        </w:rPr>
        <w:t xml:space="preserve">  </w:t>
      </w:r>
      <w:r>
        <w:rPr>
          <w:rFonts w:ascii="宋体" w:eastAsia="方正仿宋_GBK" w:cs="方正仿宋_GBK" w:hAnsi="宋体" w:hint="eastAsia"/>
          <w:sz w:val="32"/>
          <w:szCs w:val="32"/>
        </w:rPr>
        <w:t>联系电话：023-47520067</w:t>
      </w:r>
    </w:p>
    <w:sectPr>
      <w:footerReference w:type="default" r:id="rId2"/>
      <w:footerReference w:type="even" r:id="rId3"/>
      <w:pgSz w:w="11906" w:h="16838"/>
      <w:pgMar w:top="1587" w:right="1474" w:bottom="1474" w:left="1587" w:header="851" w:footer="1474"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方正楷体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tabs>
        <w:tab w:val="center" w:pos="4153"/>
        <w:tab w:val="right" w:pos="8306"/>
      </w:tabs>
      <w:jc w:val="right"/>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7</w:t>
    </w:r>
    <w:r>
      <w:rPr>
        <w:sz w:val="28"/>
        <w:szCs w:val="28"/>
      </w:rPr>
      <w:fldChar w:fldCharType="end"/>
    </w:r>
    <w:r>
      <w:rPr>
        <w:sz w:val="28"/>
        <w:szCs w:val="28"/>
      </w:rPr>
      <w:t xml:space="preserve">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tabs>
        <w:tab w:val="center" w:pos="4153"/>
        <w:tab w:val="right" w:pos="8306"/>
      </w:tabs>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6</w:t>
    </w:r>
    <w:r>
      <w:rPr>
        <w:sz w:val="28"/>
        <w:szCs w:val="28"/>
      </w:rPr>
      <w:fldChar w:fldCharType="end"/>
    </w:r>
    <w:r>
      <w:rPr>
        <w:sz w:val="28"/>
        <w:szCs w:val="28"/>
      </w:rPr>
      <w:t xml:space="preserve"> —</w: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7FC6D37E"/>
    <w:multiLevelType w:val="singleLevel"/>
    <w:tmpl w:val="7FC6D37E"/>
    <w:lvl w:ilvl="0">
      <w:start w:val="2"/>
      <w:numFmt w:val="chineseCounting"/>
      <w:lvlRestart w:val="0"/>
      <w:suff w:val="nothing"/>
      <w:lvlText w:val="（%1）"/>
      <w:lvlJc w:val="left"/>
      <w:pPr>
        <w:tabs>
          <w:tab w:val="num" w:pos="0"/>
        </w:tabs>
        <w:ind w:left="0" w:hanging="0"/>
      </w:pPr>
      <w:rPr>
        <w:rFonts w:hint="eastAsia"/>
      </w:rPr>
    </w:lvl>
  </w:abstractNum>
  <w:abstractNum w:abstractNumId="1">
    <w:nsid w:val="BF018CFE"/>
    <w:multiLevelType w:val="singleLevel"/>
    <w:tmpl w:val="BF018CFE"/>
    <w:lvl w:ilvl="0">
      <w:start w:val="2"/>
      <w:numFmt w:val="chineseCounting"/>
      <w:lvlRestart w:val="0"/>
      <w:suff w:val="nothing"/>
      <w:lvlText w:val="%1、"/>
      <w:lvlJc w:val="left"/>
      <w:pPr>
        <w:tabs>
          <w:tab w:val="num" w:pos="0"/>
        </w:tabs>
        <w:ind w:left="0" w:hanging="0"/>
      </w:pPr>
      <w:rPr>
        <w:rFonts w:hint="eastAsia"/>
      </w:rPr>
    </w:lvl>
  </w:abstractNum>
  <w:abstractNum w:abstractNumId="2">
    <w:nsid w:val="6BB1AE55"/>
    <w:multiLevelType w:val="singleLevel"/>
    <w:tmpl w:val="6BB1AE55"/>
    <w:lvl w:ilvl="0">
      <w:start w:val="1"/>
      <w:numFmt w:val="chineseCounting"/>
      <w:lvlRestart w:val="0"/>
      <w:suff w:val="nothing"/>
      <w:lvlText w:val="（%1）"/>
      <w:lvlJc w:val="left"/>
      <w:pPr>
        <w:tabs>
          <w:tab w:val="num" w:pos="0"/>
        </w:tabs>
        <w:ind w:left="0" w:hanging="0"/>
      </w:pPr>
      <w:rPr>
        <w:rFonts w:hint="eastAsia"/>
      </w:rPr>
    </w:lvl>
  </w:abstractNum>
  <w:abstractNum w:abstractNumId="3">
    <w:nsid w:val="170F8B3D"/>
    <w:multiLevelType w:val="singleLevel"/>
    <w:tmpl w:val="170F8B3D"/>
    <w:lvl w:ilvl="0">
      <w:start w:val="1"/>
      <w:numFmt w:val="decimal"/>
      <w:lvlRestart w:val="0"/>
      <w:suff w:val="space"/>
      <w:lvlText w:val="%1."/>
      <w:lvlJc w:val="left"/>
      <w:pPr>
        <w:tabs>
          <w:tab w:val="num" w:pos="0"/>
        </w:tabs>
        <w:ind w:left="0" w:hanging="0"/>
      </w:pPr>
    </w:lvl>
  </w:abstractNum>
  <w:abstractNum w:abstractNumId="4">
    <w:nsid w:val="C7DC43F0"/>
    <w:multiLevelType w:val="singleLevel"/>
    <w:tmpl w:val="C7DC43F0"/>
    <w:lvl w:ilvl="0">
      <w:start w:val="1"/>
      <w:numFmt w:val="decimal"/>
      <w:lvlRestart w:val="0"/>
      <w:suff w:val="space"/>
      <w:lvlText w:val="%1."/>
      <w:lvlJc w:val="left"/>
      <w:pPr>
        <w:tabs>
          <w:tab w:val="num" w:pos="0"/>
        </w:tabs>
        <w:ind w:left="0" w:hanging="0"/>
      </w:pPr>
    </w:lvl>
  </w:abstractNum>
  <w:abstractNum w:abstractNumId="5">
    <w:nsid w:val="FC092FFC"/>
    <w:multiLevelType w:val="singleLevel"/>
    <w:tmpl w:val="FC092FFC"/>
    <w:lvl w:ilvl="0">
      <w:start w:val="1"/>
      <w:numFmt w:val="decimal"/>
      <w:lvlRestart w:val="0"/>
      <w:suff w:val="nothing"/>
      <w:lvlText w:val="（%1）"/>
      <w:lvlJc w:val="left"/>
      <w:pPr>
        <w:tabs>
          <w:tab w:val="num" w:pos="0"/>
        </w:tabs>
        <w:ind w:left="0" w:hanging="0"/>
      </w:pPr>
    </w:lvl>
  </w:abstractNum>
  <w:abstractNum w:abstractNumId="6">
    <w:nsid w:val="36AF54E0"/>
    <w:multiLevelType w:val="singleLevel"/>
    <w:tmpl w:val="36AF54E0"/>
    <w:lvl w:ilvl="0">
      <w:start w:val="2"/>
      <w:numFmt w:val="decimal"/>
      <w:lvlRestart w:val="0"/>
      <w:suff w:val="space"/>
      <w:lvlText w:val="%1."/>
      <w:lvlJc w:val="left"/>
      <w:pPr>
        <w:tabs>
          <w:tab w:val="num" w:pos="0"/>
        </w:tabs>
        <w:ind w:left="0" w:hanging="0"/>
      </w:pPr>
    </w:lvl>
  </w:abstractNum>
  <w:abstractNum w:abstractNumId="7">
    <w:nsid w:val="BE15FB01"/>
    <w:multiLevelType w:val="singleLevel"/>
    <w:tmpl w:val="BE15FB01"/>
    <w:lvl w:ilvl="0">
      <w:start w:val="6"/>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420"/>
  <w:evenAndOddHeaders/>
  <w:drawingGridHorizontalSpacing w:val="210"/>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2"/>
      <w:lang w:val="en-US" w:eastAsia="zh-CN" w:bidi="ar-SA"/>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jc w:val="left"/>
    </w:pPr>
    <w:rPr>
      <w:kern w:val="0"/>
      <w:sz w:val="18"/>
      <w:szCs w:val="18"/>
    </w:rPr>
  </w:style>
  <w:style w:type="paragraph" w:styleId="17">
    <w:name w:val="header"/>
    <w:basedOn w:val="0"/>
    <w:pPr>
      <w:pBdr>
        <w:bottom w:val="single" w:sz="6" w:space="1" w:color="auto"/>
      </w:pBdr>
      <w:tabs>
        <w:tab w:val="center" w:pos="4153"/>
        <w:tab w:val="right" w:pos="8306"/>
      </w:tabs>
      <w:snapToGrid w:val="0"/>
      <w:jc w:val="center"/>
    </w:pPr>
    <w:rPr>
      <w:kern w:val="0"/>
      <w:sz w:val="18"/>
      <w:szCs w:val="18"/>
    </w:rPr>
  </w:style>
  <w:style w:type="paragraph" w:styleId="18">
    <w:name w:val="Normal (Web)"/>
    <w:basedOn w:val="0"/>
    <w:pPr>
      <w:spacing w:before="100" w:beforeAutospacing="1" w:after="100" w:afterAutospacing="1"/>
      <w:jc w:val="left"/>
    </w:pPr>
    <w:rPr>
      <w:kern w:val="0"/>
      <w:sz w:val="24"/>
    </w:rPr>
  </w:style>
  <w:style w:type="character" w:styleId="19">
    <w:name w:val="Strong"/>
    <w:basedOn w:val="10"/>
    <w:rPr>
      <w:b/>
    </w:rPr>
  </w:style>
  <w:style w:type="paragraph" w:customStyle="1" w:styleId="20">
    <w:name w:val="List Paragraph"/>
    <w:basedOn w:val="0"/>
    <w:pPr>
      <w:ind w:firstLineChars="200" w:firstLine="200"/>
    </w:pPr>
  </w:style>
  <w:style w:type="paragraph" w:customStyle="1" w:styleId="21">
    <w:name w:val="普通(网站) Char"/>
    <w:basedOn w:val="0"/>
    <w:pPr>
      <w:spacing w:before="100" w:beforeAutospacing="1" w:after="100" w:afterAutospacing="1"/>
      <w:jc w:val="left"/>
    </w:pPr>
    <w:rPr>
      <w:rFonts w:ascii="宋体"/>
      <w:kern w:val="0"/>
      <w:sz w:val="24"/>
      <w:szCs w:val="24"/>
    </w:rPr>
  </w:style>
  <w:style w:type="character" w:customStyle="1" w:styleId="22">
    <w:name w:val="23"/>
    <w:basedOn w:val="10"/>
    <w:rPr>
      <w:rFonts w:ascii="Times New Roman" w:cs="Times New Roman" w:hAnsi="Times New Roman"/>
      <w:b/>
    </w:rPr>
  </w:style>
  <w:style w:type="character" w:customStyle="1" w:styleId="23">
    <w:name w:val="页脚 Char"/>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75</TotalTime>
  <Application>Yozo_Office</Application>
  <Pages>10</Pages>
  <Words>4079</Words>
  <Characters>4572</Characters>
  <Lines>316</Lines>
  <Paragraphs>186</Paragraphs>
  <CharactersWithSpaces>4585</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acer</cp:lastModifiedBy>
  <cp:revision>6</cp:revision>
  <cp:lastPrinted>2025-08-14T09:07:00Z</cp:lastPrinted>
  <dcterms:created xsi:type="dcterms:W3CDTF">2021-07-06T14:32:00Z</dcterms:created>
  <dcterms:modified xsi:type="dcterms:W3CDTF">2025-08-22T03:27:04Z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C5C051BE58ED47B681D748640379E264</vt:lpwstr>
  </property>
  <property fmtid="{D5CDD505-2E9C-101B-9397-08002B2CF9AE}" pid="4" name="KSOTemplateDocerSaveRecord">
    <vt:lpwstr>eyJoZGlkIjoiNTM4MGZhZTBlNjAyZmE4NTdiYjk0YTdmNjA5YmY0M2QiLCJ1c2VySWQiOiI3NjIxMjU0NjkifQ==</vt:lpwstr>
  </property>
</Properties>
</file>