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01" w:rsidRDefault="00230901">
      <w:pPr>
        <w:spacing w:line="579" w:lineRule="exact"/>
        <w:rPr>
          <w:rFonts w:ascii="宋体" w:eastAsia="方正仿宋_GBK" w:hAnsi="宋体" w:cs="方正仿宋_GBK"/>
          <w:sz w:val="44"/>
          <w:szCs w:val="44"/>
        </w:rPr>
      </w:pPr>
      <w:bookmarkStart w:id="0" w:name="_GoBack"/>
      <w:bookmarkEnd w:id="0"/>
    </w:p>
    <w:p w:rsidR="00230901" w:rsidRDefault="00B0215C">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重庆市江津区乡村发展服务中心</w:t>
      </w:r>
    </w:p>
    <w:p w:rsidR="00230901" w:rsidRDefault="00B0215C">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2024</w:t>
      </w:r>
      <w:r>
        <w:rPr>
          <w:rFonts w:ascii="宋体" w:eastAsia="方正小标宋_GBK" w:hAnsi="宋体" w:cs="方正小标宋_GBK" w:hint="eastAsia"/>
          <w:sz w:val="44"/>
          <w:szCs w:val="44"/>
        </w:rPr>
        <w:t>年度决算公开说明</w:t>
      </w:r>
    </w:p>
    <w:p w:rsidR="00230901" w:rsidRDefault="00230901">
      <w:pPr>
        <w:spacing w:line="579" w:lineRule="exact"/>
        <w:ind w:firstLineChars="250" w:firstLine="1100"/>
        <w:rPr>
          <w:rFonts w:ascii="宋体" w:eastAsia="方正仿宋_GBK" w:hAnsi="宋体" w:cs="方正仿宋_GBK"/>
          <w:sz w:val="44"/>
          <w:szCs w:val="44"/>
        </w:rPr>
      </w:pPr>
    </w:p>
    <w:p w:rsidR="00230901" w:rsidRDefault="00B0215C">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230901" w:rsidRDefault="00B0215C">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（一）职能职责</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1.宣传贯彻落实农业农村、乡村振兴、现代农业园区等方面的政策规定，开展有关政策研究工作。</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2.负责全区乡村振兴和现代农业园区的规划设计、产业布局等事务性工作。</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3.负责推进乡村产业、人才、文化、生态、组织等事务性工作。</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4.负责全区现代农业发展、农村社会事业、农田基础设施建设、耕地质量保护、城乡融合发展等事务性工作。</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5.负责推进富硒农产品的品牌创建、技术指导、营销推介等事务性工作。</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6.负责全区农业招商引资、农业项目策划包装管理、基础设施建设、土地利用、企业服务、安全、环保、稳定等事务性工作。</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7.负责协调国家农业科技园区建设，开展农业科技研发和推广。</w:t>
      </w:r>
    </w:p>
    <w:p w:rsidR="00230901" w:rsidRDefault="00B0215C">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8.完成主管部门交办的其他任务。</w:t>
      </w:r>
    </w:p>
    <w:p w:rsidR="00230901" w:rsidRDefault="00230901">
      <w:pPr>
        <w:snapToGrid w:val="0"/>
        <w:spacing w:line="520" w:lineRule="exact"/>
        <w:ind w:firstLineChars="200" w:firstLine="640"/>
        <w:rPr>
          <w:rFonts w:ascii="仿宋_GB2312" w:eastAsia="仿宋_GB2312" w:hAnsi="仿宋"/>
          <w:sz w:val="32"/>
          <w:szCs w:val="32"/>
        </w:rPr>
      </w:pPr>
    </w:p>
    <w:p w:rsidR="00230901" w:rsidRDefault="00B0215C">
      <w:pPr>
        <w:numPr>
          <w:ilvl w:val="0"/>
          <w:numId w:val="1"/>
        </w:num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230901" w:rsidRDefault="00B0215C">
      <w:pPr>
        <w:pStyle w:val="2"/>
        <w:ind w:firstLineChars="200" w:firstLine="640"/>
        <w:rPr>
          <w:rFonts w:ascii="宋体" w:eastAsia="方正仿宋_GBK" w:hAnsi="宋体" w:cs="方正仿宋_GBK"/>
          <w:b w:val="0"/>
          <w:szCs w:val="32"/>
        </w:rPr>
      </w:pPr>
      <w:r>
        <w:rPr>
          <w:rFonts w:ascii="宋体" w:eastAsia="方正仿宋_GBK" w:hAnsi="宋体" w:cs="方正仿宋_GBK" w:hint="eastAsia"/>
          <w:b w:val="0"/>
          <w:szCs w:val="32"/>
        </w:rPr>
        <w:lastRenderedPageBreak/>
        <w:t>重庆市江津区乡村发展服务中心为重庆市江津区农业农村委员会管理的正处级全额拨款公益一类事业单位。</w:t>
      </w:r>
      <w:r>
        <w:rPr>
          <w:rFonts w:ascii="宋体" w:eastAsia="方正仿宋_GBK" w:hAnsi="宋体" w:cs="方正仿宋_GBK" w:hint="eastAsia"/>
          <w:b w:val="0"/>
          <w:szCs w:val="32"/>
        </w:rPr>
        <w:t>2024</w:t>
      </w:r>
      <w:r>
        <w:rPr>
          <w:rFonts w:ascii="宋体" w:eastAsia="方正仿宋_GBK" w:hAnsi="宋体" w:cs="方正仿宋_GBK" w:hint="eastAsia"/>
          <w:b w:val="0"/>
          <w:szCs w:val="32"/>
        </w:rPr>
        <w:t>年重庆市江津区农业工程建设服务中心机构改革合并到重庆市江津区乡村发展服务中心，区乡村发展服务中心设置</w:t>
      </w:r>
      <w:r>
        <w:rPr>
          <w:rFonts w:ascii="宋体" w:eastAsia="方正仿宋_GBK" w:hAnsi="宋体" w:cs="方正仿宋_GBK" w:hint="eastAsia"/>
          <w:b w:val="0"/>
          <w:szCs w:val="32"/>
        </w:rPr>
        <w:t>14</w:t>
      </w:r>
      <w:r>
        <w:rPr>
          <w:rFonts w:ascii="宋体" w:eastAsia="方正仿宋_GBK" w:hAnsi="宋体" w:cs="方正仿宋_GBK" w:hint="eastAsia"/>
          <w:b w:val="0"/>
          <w:szCs w:val="32"/>
        </w:rPr>
        <w:t>个内设机构</w:t>
      </w:r>
      <w:r>
        <w:rPr>
          <w:rFonts w:ascii="宋体" w:eastAsia="方正仿宋_GBK" w:hAnsi="宋体" w:cs="方正仿宋_GBK" w:hint="eastAsia"/>
          <w:b w:val="0"/>
          <w:szCs w:val="32"/>
        </w:rPr>
        <w:t>:</w:t>
      </w:r>
      <w:r>
        <w:rPr>
          <w:rFonts w:ascii="宋体" w:eastAsia="方正仿宋_GBK" w:hAnsi="宋体" w:cs="方正仿宋_GBK" w:hint="eastAsia"/>
          <w:b w:val="0"/>
          <w:szCs w:val="32"/>
        </w:rPr>
        <w:t>（一）综合科（安全信访环保科）。（二）发展规划服务科。（三）富硒产业发展服务科。（四）花椒产业服务科。</w:t>
      </w:r>
      <w:r>
        <w:rPr>
          <w:rFonts w:ascii="宋体" w:eastAsia="方正仿宋_GBK" w:hAnsi="宋体" w:cs="方正仿宋_GBK" w:hint="eastAsia"/>
          <w:b w:val="0"/>
          <w:szCs w:val="32"/>
        </w:rPr>
        <w:t xml:space="preserve"> </w:t>
      </w:r>
      <w:r>
        <w:rPr>
          <w:rFonts w:ascii="宋体" w:eastAsia="方正仿宋_GBK" w:hAnsi="宋体" w:cs="方正仿宋_GBK" w:hint="eastAsia"/>
          <w:b w:val="0"/>
          <w:szCs w:val="32"/>
        </w:rPr>
        <w:t>（五）工程建设管理服务科。（六）农业机械服务科。（七）企业发展服务科。（八）招商引资服务科（九）项目管理服务科。（十）城乡融合发展服务科。（十一）土地管理服务科。（十二）农村经济发展服务科。（十三）农村社会事业服务科。（十四）乡村人才服务科。</w:t>
      </w:r>
    </w:p>
    <w:p w:rsidR="00230901" w:rsidRDefault="00B0215C">
      <w:p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二、部门决算情况</w:t>
      </w:r>
    </w:p>
    <w:p w:rsidR="00230901" w:rsidRDefault="00B0215C">
      <w:pPr>
        <w:numPr>
          <w:ilvl w:val="0"/>
          <w:numId w:val="2"/>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部门收支总体情况</w:t>
      </w:r>
    </w:p>
    <w:p w:rsidR="00230901" w:rsidRDefault="00B0215C">
      <w:pPr>
        <w:numPr>
          <w:ilvl w:val="0"/>
          <w:numId w:val="3"/>
        </w:numPr>
        <w:spacing w:line="579" w:lineRule="exact"/>
        <w:ind w:firstLineChars="200" w:firstLine="643"/>
        <w:rPr>
          <w:rFonts w:ascii="宋体" w:eastAsia="方正仿宋_GBK" w:hAnsi="宋体" w:cs="方正仿宋_GBK"/>
          <w:sz w:val="32"/>
          <w:szCs w:val="32"/>
        </w:rPr>
      </w:pPr>
      <w:r>
        <w:rPr>
          <w:rFonts w:ascii="宋体" w:eastAsia="方正仿宋_GBK" w:hAnsi="宋体" w:cs="方正仿宋_GBK" w:hint="eastAsia"/>
          <w:b/>
          <w:bCs/>
          <w:sz w:val="32"/>
          <w:szCs w:val="32"/>
        </w:rPr>
        <w:t>收入支出总体情况。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年度收入总计</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万元，支出总计</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万元。收支较上年增加</w:t>
      </w:r>
      <w:r>
        <w:rPr>
          <w:rFonts w:ascii="宋体" w:eastAsia="方正仿宋_GBK" w:hAnsi="宋体" w:cs="方正仿宋_GBK" w:hint="eastAsia"/>
          <w:sz w:val="32"/>
          <w:szCs w:val="32"/>
        </w:rPr>
        <w:t>1,109.23</w:t>
      </w:r>
      <w:r>
        <w:rPr>
          <w:rFonts w:ascii="宋体" w:eastAsia="方正仿宋_GBK" w:hAnsi="宋体" w:cs="方正仿宋_GBK" w:hint="eastAsia"/>
          <w:sz w:val="32"/>
          <w:szCs w:val="32"/>
        </w:rPr>
        <w:t>万元，增长</w:t>
      </w:r>
      <w:r>
        <w:rPr>
          <w:rFonts w:ascii="宋体" w:eastAsia="方正仿宋_GBK" w:hAnsi="宋体" w:cs="方正仿宋_GBK" w:hint="eastAsia"/>
          <w:sz w:val="32"/>
          <w:szCs w:val="32"/>
        </w:rPr>
        <w:t>192.79%</w:t>
      </w:r>
      <w:r>
        <w:rPr>
          <w:rFonts w:ascii="宋体" w:eastAsia="方正仿宋_GBK" w:hAnsi="宋体" w:cs="方正仿宋_GBK" w:hint="eastAsia"/>
          <w:sz w:val="32"/>
          <w:szCs w:val="32"/>
        </w:rPr>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年区农业工程建设服务中心机构改革合并到区乡村发展服务中心预算增加以及年中有追加政府性基金。</w:t>
      </w:r>
    </w:p>
    <w:p w:rsidR="00230901" w:rsidRDefault="00B0215C">
      <w:pPr>
        <w:numPr>
          <w:ilvl w:val="0"/>
          <w:numId w:val="3"/>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年度本年收入合计</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万元，较上年增加</w:t>
      </w:r>
      <w:r>
        <w:rPr>
          <w:rFonts w:ascii="宋体" w:eastAsia="方正仿宋_GBK" w:hAnsi="宋体" w:cs="方正仿宋_GBK" w:hint="eastAsia"/>
          <w:sz w:val="32"/>
          <w:szCs w:val="32"/>
        </w:rPr>
        <w:t>1,109.23</w:t>
      </w:r>
      <w:r>
        <w:rPr>
          <w:rFonts w:ascii="宋体" w:eastAsia="方正仿宋_GBK" w:hAnsi="宋体" w:cs="方正仿宋_GBK" w:hint="eastAsia"/>
          <w:sz w:val="32"/>
          <w:szCs w:val="32"/>
        </w:rPr>
        <w:t>万元，增长</w:t>
      </w:r>
      <w:r>
        <w:rPr>
          <w:rFonts w:ascii="宋体" w:eastAsia="方正仿宋_GBK" w:hAnsi="宋体" w:cs="方正仿宋_GBK" w:hint="eastAsia"/>
          <w:sz w:val="32"/>
          <w:szCs w:val="32"/>
        </w:rPr>
        <w:t>192.79%</w:t>
      </w:r>
      <w:r>
        <w:rPr>
          <w:rFonts w:ascii="宋体" w:eastAsia="方正仿宋_GBK" w:hAnsi="宋体" w:cs="方正仿宋_GBK" w:hint="eastAsia"/>
          <w:sz w:val="32"/>
          <w:szCs w:val="32"/>
        </w:rPr>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年区农业工程建设服务中心机构改革合并到区乡村发展服务中心预算</w:t>
      </w:r>
      <w:r>
        <w:rPr>
          <w:rFonts w:ascii="宋体" w:eastAsia="方正仿宋_GBK" w:hAnsi="宋体" w:cs="方正仿宋_GBK" w:hint="eastAsia"/>
          <w:sz w:val="32"/>
          <w:szCs w:val="32"/>
        </w:rPr>
        <w:lastRenderedPageBreak/>
        <w:t>增加以及年中有追加政府性基金。其中：财政拨款收入</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；事业收入</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0%</w:t>
      </w:r>
      <w:r>
        <w:rPr>
          <w:rFonts w:ascii="宋体" w:eastAsia="方正仿宋_GBK" w:hAnsi="宋体" w:cs="方正仿宋_GBK" w:hint="eastAsia"/>
          <w:sz w:val="32"/>
          <w:szCs w:val="32"/>
        </w:rPr>
        <w:t>；其他收入</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0%</w:t>
      </w:r>
      <w:r>
        <w:rPr>
          <w:rFonts w:ascii="宋体" w:eastAsia="方正仿宋_GBK" w:hAnsi="宋体" w:cs="方正仿宋_GBK" w:hint="eastAsia"/>
          <w:sz w:val="32"/>
          <w:szCs w:val="32"/>
        </w:rPr>
        <w:t>。</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hint="eastAsia"/>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230901" w:rsidRDefault="00B0215C">
      <w:pPr>
        <w:numPr>
          <w:ilvl w:val="0"/>
          <w:numId w:val="3"/>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年度本年支出合计</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w:t>
      </w:r>
      <w:r>
        <w:rPr>
          <w:rFonts w:ascii="宋体" w:eastAsia="方正仿宋_GBK" w:hAnsi="宋体" w:cs="方正仿宋_GBK" w:hint="eastAsia"/>
          <w:sz w:val="32"/>
        </w:rPr>
        <w:t>较上年增加</w:t>
      </w:r>
      <w:r>
        <w:rPr>
          <w:rFonts w:ascii="宋体" w:eastAsia="方正仿宋_GBK" w:hAnsi="宋体" w:cs="方正仿宋_GBK" w:hint="eastAsia"/>
          <w:sz w:val="32"/>
          <w:szCs w:val="32"/>
        </w:rPr>
        <w:t>1,109.23</w:t>
      </w:r>
      <w:r>
        <w:rPr>
          <w:rFonts w:ascii="宋体" w:eastAsia="方正仿宋_GBK" w:hAnsi="宋体" w:cs="方正仿宋_GBK" w:hint="eastAsia"/>
          <w:sz w:val="32"/>
        </w:rPr>
        <w:t>万元，</w:t>
      </w:r>
      <w:r>
        <w:rPr>
          <w:rFonts w:ascii="宋体" w:eastAsia="方正仿宋_GBK" w:hAnsi="宋体" w:cs="方正仿宋_GBK" w:hint="eastAsia"/>
          <w:sz w:val="32"/>
          <w:szCs w:val="32"/>
        </w:rPr>
        <w:t>增长</w:t>
      </w:r>
      <w:r>
        <w:rPr>
          <w:rFonts w:ascii="宋体" w:eastAsia="方正仿宋_GBK" w:hAnsi="宋体" w:cs="方正仿宋_GBK" w:hint="eastAsia"/>
          <w:sz w:val="32"/>
          <w:szCs w:val="32"/>
        </w:rPr>
        <w:t>192.79%</w:t>
      </w:r>
      <w:r>
        <w:rPr>
          <w:rFonts w:ascii="宋体" w:eastAsia="方正仿宋_GBK" w:hAnsi="宋体" w:cs="方正仿宋_GBK" w:hint="eastAsia"/>
          <w:sz w:val="32"/>
          <w:szCs w:val="32"/>
        </w:rPr>
        <w:t>，</w:t>
      </w:r>
      <w:r>
        <w:rPr>
          <w:rFonts w:ascii="宋体" w:eastAsia="方正仿宋_GBK" w:hAnsi="宋体" w:cs="方正仿宋_GBK" w:hint="eastAsia"/>
          <w:sz w:val="32"/>
        </w:rPr>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年区农业工程建设服务中心机构改革合并到区乡村发展服务中心预算增加以及年中有追加政府性基金</w:t>
      </w:r>
      <w:r>
        <w:rPr>
          <w:rFonts w:ascii="宋体" w:eastAsia="方正仿宋_GBK" w:hAnsi="宋体" w:cs="方正仿宋_GBK" w:hint="eastAsia"/>
          <w:sz w:val="32"/>
        </w:rPr>
        <w:t>。</w:t>
      </w:r>
      <w:r>
        <w:rPr>
          <w:rFonts w:ascii="宋体" w:eastAsia="方正仿宋_GBK" w:hAnsi="宋体" w:cs="方正仿宋_GBK" w:hint="eastAsia"/>
          <w:sz w:val="32"/>
          <w:szCs w:val="32"/>
        </w:rPr>
        <w:t>其中：基本支出</w:t>
      </w:r>
      <w:r>
        <w:rPr>
          <w:rFonts w:ascii="宋体" w:eastAsia="方正仿宋_GBK" w:hAnsi="宋体" w:cs="方正仿宋_GBK" w:hint="eastAsia"/>
          <w:sz w:val="32"/>
          <w:szCs w:val="32"/>
        </w:rPr>
        <w:t>670.48</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39.8%</w:t>
      </w:r>
      <w:r>
        <w:rPr>
          <w:rFonts w:ascii="宋体" w:eastAsia="方正仿宋_GBK" w:hAnsi="宋体" w:cs="方正仿宋_GBK" w:hint="eastAsia"/>
          <w:sz w:val="32"/>
          <w:szCs w:val="32"/>
        </w:rPr>
        <w:t>；项目支出</w:t>
      </w:r>
      <w:r>
        <w:rPr>
          <w:rFonts w:ascii="宋体" w:eastAsia="方正仿宋_GBK" w:hAnsi="宋体" w:cs="方正仿宋_GBK" w:hint="eastAsia"/>
          <w:sz w:val="32"/>
          <w:szCs w:val="32"/>
        </w:rPr>
        <w:t>1,014.13</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60.2%</w:t>
      </w:r>
      <w:r>
        <w:rPr>
          <w:rFonts w:ascii="宋体" w:eastAsia="方正仿宋_GBK" w:hAnsi="宋体" w:cs="方正仿宋_GBK" w:hint="eastAsia"/>
          <w:sz w:val="32"/>
          <w:szCs w:val="32"/>
        </w:rPr>
        <w:t>。</w:t>
      </w:r>
    </w:p>
    <w:p w:rsidR="00230901" w:rsidRDefault="00B0215C">
      <w:pPr>
        <w:numPr>
          <w:ilvl w:val="0"/>
          <w:numId w:val="3"/>
        </w:numPr>
        <w:spacing w:line="579" w:lineRule="exact"/>
        <w:ind w:firstLineChars="200" w:firstLine="643"/>
        <w:rPr>
          <w:rFonts w:ascii="宋体" w:eastAsia="方正仿宋_GBK" w:hAnsi="宋体" w:cs="方正仿宋_GBK"/>
          <w:kern w:val="0"/>
          <w:sz w:val="32"/>
          <w:szCs w:val="32"/>
        </w:rPr>
      </w:pPr>
      <w:r>
        <w:rPr>
          <w:rFonts w:ascii="宋体" w:eastAsia="方正仿宋_GBK" w:hAnsi="宋体" w:cs="方正仿宋_GBK" w:hint="eastAsia"/>
          <w:b/>
          <w:bCs/>
          <w:sz w:val="32"/>
          <w:szCs w:val="32"/>
        </w:rPr>
        <w:t>结转结余情况。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年度年末结转和结余</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年度年末结转和结余</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p>
    <w:p w:rsidR="00230901" w:rsidRDefault="00B0215C">
      <w:pPr>
        <w:numPr>
          <w:ilvl w:val="0"/>
          <w:numId w:val="2"/>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财政拨款收支总体情况</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rPr>
        <w:t>2024</w:t>
      </w:r>
      <w:r>
        <w:rPr>
          <w:rFonts w:ascii="宋体" w:eastAsia="方正仿宋_GBK" w:hAnsi="宋体" w:cs="方正仿宋_GBK" w:hint="eastAsia"/>
          <w:sz w:val="32"/>
        </w:rPr>
        <w:t>年度财政</w:t>
      </w:r>
      <w:r>
        <w:rPr>
          <w:rFonts w:ascii="宋体" w:eastAsia="方正仿宋_GBK" w:hAnsi="宋体" w:cs="方正仿宋_GBK" w:hint="eastAsia"/>
          <w:sz w:val="32"/>
          <w:szCs w:val="32"/>
        </w:rPr>
        <w:t>拨款收入总计</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万元，支出总计</w:t>
      </w:r>
      <w:r>
        <w:rPr>
          <w:rFonts w:ascii="宋体" w:eastAsia="方正仿宋_GBK" w:hAnsi="宋体" w:cs="方正仿宋_GBK" w:hint="eastAsia"/>
          <w:sz w:val="32"/>
          <w:szCs w:val="32"/>
        </w:rPr>
        <w:t>1684.60</w:t>
      </w:r>
      <w:r>
        <w:rPr>
          <w:rFonts w:ascii="宋体" w:eastAsia="方正仿宋_GBK" w:hAnsi="宋体" w:cs="方正仿宋_GBK" w:hint="eastAsia"/>
          <w:sz w:val="32"/>
          <w:szCs w:val="32"/>
        </w:rPr>
        <w:t>万元。收支较上年增加</w:t>
      </w:r>
      <w:r>
        <w:rPr>
          <w:rFonts w:ascii="宋体" w:eastAsia="方正仿宋_GBK" w:hAnsi="宋体" w:cs="方正仿宋_GBK" w:hint="eastAsia"/>
          <w:sz w:val="32"/>
          <w:szCs w:val="32"/>
        </w:rPr>
        <w:t>1,109.23</w:t>
      </w:r>
      <w:r>
        <w:rPr>
          <w:rFonts w:ascii="宋体" w:eastAsia="方正仿宋_GBK" w:hAnsi="宋体" w:cs="方正仿宋_GBK" w:hint="eastAsia"/>
          <w:sz w:val="32"/>
          <w:szCs w:val="32"/>
        </w:rPr>
        <w:t>万元，增长</w:t>
      </w:r>
      <w:r>
        <w:rPr>
          <w:rFonts w:ascii="宋体" w:eastAsia="方正仿宋_GBK" w:hAnsi="宋体" w:cs="方正仿宋_GBK" w:hint="eastAsia"/>
          <w:sz w:val="32"/>
          <w:szCs w:val="32"/>
        </w:rPr>
        <w:t>192.79%</w:t>
      </w:r>
      <w:r>
        <w:rPr>
          <w:rFonts w:ascii="宋体" w:eastAsia="方正仿宋_GBK" w:hAnsi="宋体" w:cs="方正仿宋_GBK" w:hint="eastAsia"/>
          <w:sz w:val="32"/>
          <w:szCs w:val="32"/>
        </w:rPr>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年区农业工程建设服务中心机构改革合并到区乡村发展服务中心预算增加以及年中有追加政府性基金</w:t>
      </w:r>
      <w:r>
        <w:rPr>
          <w:rFonts w:ascii="宋体" w:eastAsia="方正仿宋_GBK" w:hAnsi="宋体" w:cs="方正仿宋_GBK" w:hint="eastAsia"/>
          <w:sz w:val="32"/>
        </w:rPr>
        <w:t>。</w:t>
      </w:r>
    </w:p>
    <w:p w:rsidR="00230901" w:rsidRDefault="00B0215C">
      <w:pPr>
        <w:numPr>
          <w:ilvl w:val="0"/>
          <w:numId w:val="2"/>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230901" w:rsidRDefault="00B0215C">
      <w:pPr>
        <w:numPr>
          <w:ilvl w:val="0"/>
          <w:numId w:val="4"/>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收入情况。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年度一般公共预算财政拨款收入</w:t>
      </w:r>
      <w:r>
        <w:rPr>
          <w:rFonts w:ascii="宋体" w:eastAsia="方正仿宋_GBK" w:hAnsi="宋体" w:cs="方正仿宋_GBK" w:hint="eastAsia"/>
          <w:sz w:val="32"/>
        </w:rPr>
        <w:t>684.6</w:t>
      </w:r>
      <w:r>
        <w:rPr>
          <w:rFonts w:ascii="宋体" w:eastAsia="方正仿宋_GBK" w:hAnsi="宋体" w:cs="方正仿宋_GBK" w:hint="eastAsia"/>
          <w:sz w:val="32"/>
        </w:rPr>
        <w:t>万元，较上年决算数增加</w:t>
      </w:r>
      <w:r>
        <w:rPr>
          <w:rFonts w:ascii="宋体" w:eastAsia="方正仿宋_GBK" w:hAnsi="宋体" w:cs="方正仿宋_GBK" w:hint="eastAsia"/>
          <w:sz w:val="32"/>
        </w:rPr>
        <w:t>109.23</w:t>
      </w:r>
      <w:r>
        <w:rPr>
          <w:rFonts w:ascii="宋体" w:eastAsia="方正仿宋_GBK" w:hAnsi="宋体" w:cs="方正仿宋_GBK" w:hint="eastAsia"/>
          <w:sz w:val="32"/>
        </w:rPr>
        <w:t>万元，增长</w:t>
      </w:r>
      <w:r>
        <w:rPr>
          <w:rFonts w:ascii="宋体" w:eastAsia="方正仿宋_GBK" w:hAnsi="宋体" w:cs="方正仿宋_GBK" w:hint="eastAsia"/>
          <w:sz w:val="32"/>
        </w:rPr>
        <w:t>18.98%</w:t>
      </w:r>
      <w:r>
        <w:rPr>
          <w:rFonts w:ascii="宋体" w:eastAsia="方正仿宋_GBK" w:hAnsi="宋体" w:cs="方正仿宋_GBK" w:hint="eastAsia"/>
          <w:sz w:val="32"/>
        </w:rPr>
        <w:t>，主要原因为</w:t>
      </w:r>
      <w:r>
        <w:rPr>
          <w:rFonts w:ascii="宋体" w:eastAsia="方正仿宋_GBK" w:hAnsi="宋体" w:cs="方正仿宋_GBK" w:hint="eastAsia"/>
          <w:sz w:val="32"/>
        </w:rPr>
        <w:t>2024</w:t>
      </w:r>
      <w:r>
        <w:rPr>
          <w:rFonts w:ascii="宋体" w:eastAsia="方正仿宋_GBK" w:hAnsi="宋体" w:cs="方正仿宋_GBK" w:hint="eastAsia"/>
          <w:sz w:val="32"/>
        </w:rPr>
        <w:t>年区农业工程建设服务中心机构改革合并到区乡村发展服务中心预算增加。较年初预算数增加</w:t>
      </w:r>
      <w:r>
        <w:rPr>
          <w:rFonts w:ascii="宋体" w:eastAsia="方正仿宋_GBK" w:hAnsi="宋体" w:cs="方正仿宋_GBK" w:hint="eastAsia"/>
          <w:sz w:val="32"/>
        </w:rPr>
        <w:t>20.3</w:t>
      </w:r>
      <w:r>
        <w:rPr>
          <w:rFonts w:ascii="宋体" w:eastAsia="方正仿宋_GBK" w:hAnsi="宋体" w:cs="方正仿宋_GBK" w:hint="eastAsia"/>
          <w:sz w:val="32"/>
        </w:rPr>
        <w:t>万元，增长</w:t>
      </w:r>
      <w:r>
        <w:rPr>
          <w:rFonts w:ascii="宋体" w:eastAsia="方正仿宋_GBK" w:hAnsi="宋体" w:cs="方正仿宋_GBK" w:hint="eastAsia"/>
          <w:sz w:val="32"/>
        </w:rPr>
        <w:t>3.06%</w:t>
      </w:r>
      <w:r>
        <w:rPr>
          <w:rFonts w:ascii="宋体" w:eastAsia="方正仿宋_GBK" w:hAnsi="宋体" w:cs="方正仿宋_GBK" w:hint="eastAsia"/>
          <w:sz w:val="32"/>
        </w:rPr>
        <w:t>，主要原因是年中追加社保预算。此外，年初财政拨款结转和结余</w:t>
      </w:r>
      <w:r>
        <w:rPr>
          <w:rFonts w:ascii="宋体" w:eastAsia="方正仿宋_GBK" w:hAnsi="宋体" w:cs="方正仿宋_GBK" w:hint="eastAsia"/>
          <w:sz w:val="32"/>
        </w:rPr>
        <w:t>0</w:t>
      </w:r>
      <w:r>
        <w:rPr>
          <w:rFonts w:ascii="宋体" w:eastAsia="方正仿宋_GBK" w:hAnsi="宋体" w:cs="方正仿宋_GBK" w:hint="eastAsia"/>
          <w:sz w:val="32"/>
        </w:rPr>
        <w:t>万元</w:t>
      </w:r>
      <w:r>
        <w:rPr>
          <w:rFonts w:ascii="方正仿宋_GBK" w:eastAsia="方正仿宋_GBK" w:hAnsi="方正仿宋_GBK" w:cs="方正仿宋_GBK"/>
          <w:sz w:val="32"/>
          <w:szCs w:val="32"/>
          <w:shd w:val="clear" w:color="auto" w:fill="FFFFFF"/>
        </w:rPr>
        <w:t>。</w:t>
      </w:r>
    </w:p>
    <w:p w:rsidR="00230901" w:rsidRDefault="00B0215C">
      <w:pPr>
        <w:numPr>
          <w:ilvl w:val="0"/>
          <w:numId w:val="4"/>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lastRenderedPageBreak/>
        <w:t>支出情况。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w:t>
      </w:r>
      <w:r>
        <w:rPr>
          <w:rFonts w:ascii="宋体" w:eastAsia="方正仿宋_GBK" w:hAnsi="宋体" w:cs="方正仿宋_GBK" w:hint="eastAsia"/>
          <w:sz w:val="32"/>
        </w:rPr>
        <w:t>684.6</w:t>
      </w:r>
      <w:r>
        <w:rPr>
          <w:rFonts w:ascii="宋体" w:eastAsia="方正仿宋_GBK" w:hAnsi="宋体" w:cs="方正仿宋_GBK" w:hint="eastAsia"/>
          <w:sz w:val="32"/>
        </w:rPr>
        <w:t>万元，较上年决算数增加</w:t>
      </w:r>
      <w:r>
        <w:rPr>
          <w:rFonts w:ascii="宋体" w:eastAsia="方正仿宋_GBK" w:hAnsi="宋体" w:cs="方正仿宋_GBK" w:hint="eastAsia"/>
          <w:sz w:val="32"/>
        </w:rPr>
        <w:t>109.23</w:t>
      </w:r>
      <w:r>
        <w:rPr>
          <w:rFonts w:ascii="宋体" w:eastAsia="方正仿宋_GBK" w:hAnsi="宋体" w:cs="方正仿宋_GBK" w:hint="eastAsia"/>
          <w:sz w:val="32"/>
        </w:rPr>
        <w:t>万元，增长</w:t>
      </w:r>
      <w:r>
        <w:rPr>
          <w:rFonts w:ascii="宋体" w:eastAsia="方正仿宋_GBK" w:hAnsi="宋体" w:cs="方正仿宋_GBK" w:hint="eastAsia"/>
          <w:sz w:val="32"/>
        </w:rPr>
        <w:t>18.98%</w:t>
      </w:r>
      <w:r>
        <w:rPr>
          <w:rFonts w:ascii="宋体" w:eastAsia="方正仿宋_GBK" w:hAnsi="宋体" w:cs="方正仿宋_GBK" w:hint="eastAsia"/>
          <w:sz w:val="32"/>
        </w:rPr>
        <w:t>，主要原因是</w:t>
      </w:r>
      <w:r>
        <w:rPr>
          <w:rFonts w:ascii="宋体" w:eastAsia="方正仿宋_GBK" w:hAnsi="宋体" w:cs="方正仿宋_GBK" w:hint="eastAsia"/>
          <w:sz w:val="32"/>
        </w:rPr>
        <w:t>2024</w:t>
      </w:r>
      <w:r>
        <w:rPr>
          <w:rFonts w:ascii="宋体" w:eastAsia="方正仿宋_GBK" w:hAnsi="宋体" w:cs="方正仿宋_GBK" w:hint="eastAsia"/>
          <w:sz w:val="32"/>
        </w:rPr>
        <w:t>年区农业工程建设服务中心机构改革合并到区乡村发展服务中心预算增加。较年初预算数增加</w:t>
      </w:r>
      <w:r>
        <w:rPr>
          <w:rFonts w:ascii="宋体" w:eastAsia="方正仿宋_GBK" w:hAnsi="宋体" w:cs="方正仿宋_GBK" w:hint="eastAsia"/>
          <w:sz w:val="32"/>
        </w:rPr>
        <w:t>20.3</w:t>
      </w:r>
      <w:r>
        <w:rPr>
          <w:rFonts w:ascii="宋体" w:eastAsia="方正仿宋_GBK" w:hAnsi="宋体" w:cs="方正仿宋_GBK" w:hint="eastAsia"/>
          <w:sz w:val="32"/>
        </w:rPr>
        <w:t>万元，增长</w:t>
      </w:r>
      <w:r>
        <w:rPr>
          <w:rFonts w:ascii="宋体" w:eastAsia="方正仿宋_GBK" w:hAnsi="宋体" w:cs="方正仿宋_GBK" w:hint="eastAsia"/>
          <w:sz w:val="32"/>
        </w:rPr>
        <w:t>3.06%</w:t>
      </w:r>
      <w:r>
        <w:rPr>
          <w:rFonts w:ascii="宋体" w:eastAsia="方正仿宋_GBK" w:hAnsi="宋体" w:cs="方正仿宋_GBK" w:hint="eastAsia"/>
          <w:sz w:val="32"/>
        </w:rPr>
        <w:t>，主要原因是年中追加社保预算。</w:t>
      </w:r>
    </w:p>
    <w:p w:rsidR="00230901" w:rsidRDefault="00B0215C">
      <w:pPr>
        <w:numPr>
          <w:ilvl w:val="0"/>
          <w:numId w:val="4"/>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结转结余情况。</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年度年末结转和结余</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r>
        <w:rPr>
          <w:rFonts w:ascii="方正仿宋_GBK" w:eastAsia="方正仿宋_GBK" w:hAnsi="方正仿宋_GBK" w:cs="方正仿宋_GBK" w:hint="eastAsia"/>
          <w:sz w:val="32"/>
          <w:szCs w:val="32"/>
          <w:shd w:val="clear" w:color="auto" w:fill="FFFFFF"/>
        </w:rPr>
        <w:t>。</w:t>
      </w:r>
    </w:p>
    <w:p w:rsidR="00230901" w:rsidRDefault="00B0215C">
      <w:pPr>
        <w:pStyle w:val="a6"/>
        <w:widowControl/>
        <w:numPr>
          <w:ilvl w:val="0"/>
          <w:numId w:val="4"/>
        </w:numPr>
        <w:spacing w:before="0" w:beforeAutospacing="0" w:after="0" w:afterAutospacing="0" w:line="579" w:lineRule="exact"/>
        <w:ind w:firstLineChars="200" w:firstLine="643"/>
        <w:jc w:val="both"/>
        <w:rPr>
          <w:rFonts w:ascii="宋体" w:eastAsia="方正仿宋_GBK" w:hAnsi="宋体" w:cs="方正仿宋_GBK"/>
          <w:sz w:val="32"/>
        </w:rPr>
      </w:pPr>
      <w:r>
        <w:rPr>
          <w:rFonts w:ascii="宋体" w:eastAsia="方正仿宋_GBK" w:hAnsi="宋体" w:cs="方正仿宋_GBK" w:hint="eastAsia"/>
          <w:b/>
          <w:bCs/>
          <w:kern w:val="2"/>
          <w:sz w:val="32"/>
        </w:rPr>
        <w:t>比较情况。</w:t>
      </w:r>
      <w:r>
        <w:rPr>
          <w:rFonts w:ascii="宋体" w:eastAsia="方正仿宋_GBK" w:hAnsi="宋体" w:cs="方正仿宋_GBK" w:hint="eastAsia"/>
          <w:sz w:val="32"/>
        </w:rPr>
        <w:t>本部门</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年度一般公共预算财政拨款支出主要用于以下几个方面：</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1</w:t>
      </w:r>
      <w:r>
        <w:rPr>
          <w:rFonts w:ascii="宋体" w:eastAsia="方正仿宋_GBK" w:hAnsi="宋体" w:cs="方正仿宋_GBK" w:hint="eastAsia"/>
          <w:sz w:val="32"/>
        </w:rPr>
        <w:t>）教育支出</w:t>
      </w:r>
      <w:r>
        <w:rPr>
          <w:rFonts w:ascii="宋体" w:eastAsia="方正仿宋_GBK" w:hAnsi="宋体" w:cs="方正仿宋_GBK" w:hint="eastAsia"/>
          <w:sz w:val="32"/>
        </w:rPr>
        <w:t>3.59</w:t>
      </w:r>
      <w:r>
        <w:rPr>
          <w:rFonts w:ascii="宋体" w:eastAsia="方正仿宋_GBK" w:hAnsi="宋体" w:cs="方正仿宋_GBK" w:hint="eastAsia"/>
          <w:sz w:val="32"/>
        </w:rPr>
        <w:t>万元，占比</w:t>
      </w:r>
      <w:r>
        <w:rPr>
          <w:rFonts w:ascii="宋体" w:eastAsia="方正仿宋_GBK" w:hAnsi="宋体" w:cs="方正仿宋_GBK" w:hint="eastAsia"/>
          <w:sz w:val="32"/>
        </w:rPr>
        <w:t>0.52%</w:t>
      </w:r>
      <w:r>
        <w:rPr>
          <w:rFonts w:ascii="宋体" w:eastAsia="方正仿宋_GBK" w:hAnsi="宋体" w:cs="方正仿宋_GBK" w:hint="eastAsia"/>
          <w:sz w:val="32"/>
        </w:rPr>
        <w:t>。与年初预算数一致。</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2</w:t>
      </w:r>
      <w:r>
        <w:rPr>
          <w:rFonts w:ascii="宋体" w:eastAsia="方正仿宋_GBK" w:hAnsi="宋体" w:cs="方正仿宋_GBK" w:hint="eastAsia"/>
          <w:sz w:val="32"/>
        </w:rPr>
        <w:t>）社会保障和就业支出</w:t>
      </w:r>
      <w:r>
        <w:rPr>
          <w:rFonts w:ascii="宋体" w:eastAsia="方正仿宋_GBK" w:hAnsi="宋体" w:cs="方正仿宋_GBK" w:hint="eastAsia"/>
          <w:sz w:val="32"/>
        </w:rPr>
        <w:t>94.32</w:t>
      </w:r>
      <w:r>
        <w:rPr>
          <w:rFonts w:ascii="宋体" w:eastAsia="方正仿宋_GBK" w:hAnsi="宋体" w:cs="方正仿宋_GBK" w:hint="eastAsia"/>
          <w:sz w:val="32"/>
        </w:rPr>
        <w:t>万元，占比</w:t>
      </w:r>
      <w:r>
        <w:rPr>
          <w:rFonts w:ascii="宋体" w:eastAsia="方正仿宋_GBK" w:hAnsi="宋体" w:cs="方正仿宋_GBK" w:hint="eastAsia"/>
          <w:sz w:val="32"/>
        </w:rPr>
        <w:t>13.78%</w:t>
      </w:r>
      <w:r>
        <w:rPr>
          <w:rFonts w:ascii="宋体" w:eastAsia="方正仿宋_GBK" w:hAnsi="宋体" w:cs="方正仿宋_GBK" w:hint="eastAsia"/>
          <w:sz w:val="32"/>
        </w:rPr>
        <w:t>。较年初预算数增加</w:t>
      </w:r>
      <w:r>
        <w:rPr>
          <w:rFonts w:ascii="宋体" w:eastAsia="方正仿宋_GBK" w:hAnsi="宋体" w:cs="方正仿宋_GBK" w:hint="eastAsia"/>
          <w:sz w:val="32"/>
        </w:rPr>
        <w:t>30.96</w:t>
      </w:r>
      <w:r>
        <w:rPr>
          <w:rFonts w:ascii="宋体" w:eastAsia="方正仿宋_GBK" w:hAnsi="宋体" w:cs="方正仿宋_GBK" w:hint="eastAsia"/>
          <w:sz w:val="32"/>
        </w:rPr>
        <w:t>万元，增长</w:t>
      </w:r>
      <w:r>
        <w:rPr>
          <w:rFonts w:ascii="宋体" w:eastAsia="方正仿宋_GBK" w:hAnsi="宋体" w:cs="方正仿宋_GBK" w:hint="eastAsia"/>
          <w:sz w:val="32"/>
        </w:rPr>
        <w:t>48.86%</w:t>
      </w:r>
      <w:r>
        <w:rPr>
          <w:rFonts w:ascii="宋体" w:eastAsia="方正仿宋_GBK" w:hAnsi="宋体" w:cs="方正仿宋_GBK" w:hint="eastAsia"/>
          <w:sz w:val="32"/>
        </w:rPr>
        <w:t>，主要原因是年中追加社保预算。</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3</w:t>
      </w:r>
      <w:r>
        <w:rPr>
          <w:rFonts w:ascii="宋体" w:eastAsia="方正仿宋_GBK" w:hAnsi="宋体" w:cs="方正仿宋_GBK" w:hint="eastAsia"/>
          <w:sz w:val="32"/>
        </w:rPr>
        <w:t>）卫生健康支出</w:t>
      </w:r>
      <w:r>
        <w:rPr>
          <w:rFonts w:ascii="宋体" w:eastAsia="方正仿宋_GBK" w:hAnsi="宋体" w:cs="方正仿宋_GBK" w:hint="eastAsia"/>
          <w:sz w:val="32"/>
        </w:rPr>
        <w:t>33.80</w:t>
      </w:r>
      <w:r>
        <w:rPr>
          <w:rFonts w:ascii="宋体" w:eastAsia="方正仿宋_GBK" w:hAnsi="宋体" w:cs="方正仿宋_GBK" w:hint="eastAsia"/>
          <w:sz w:val="32"/>
        </w:rPr>
        <w:t>万元，占比</w:t>
      </w:r>
      <w:r>
        <w:rPr>
          <w:rFonts w:ascii="宋体" w:eastAsia="方正仿宋_GBK" w:hAnsi="宋体" w:cs="方正仿宋_GBK" w:hint="eastAsia"/>
          <w:sz w:val="32"/>
        </w:rPr>
        <w:t>4.94%</w:t>
      </w:r>
      <w:r>
        <w:rPr>
          <w:rFonts w:ascii="宋体" w:eastAsia="方正仿宋_GBK" w:hAnsi="宋体" w:cs="方正仿宋_GBK" w:hint="eastAsia"/>
          <w:sz w:val="32"/>
        </w:rPr>
        <w:t>。与年初预算数一致。</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4</w:t>
      </w:r>
      <w:r>
        <w:rPr>
          <w:rFonts w:ascii="宋体" w:eastAsia="方正仿宋_GBK" w:hAnsi="宋体" w:cs="方正仿宋_GBK" w:hint="eastAsia"/>
          <w:sz w:val="32"/>
        </w:rPr>
        <w:t>）农林水支出</w:t>
      </w:r>
      <w:r>
        <w:rPr>
          <w:rFonts w:ascii="宋体" w:eastAsia="方正仿宋_GBK" w:hAnsi="宋体" w:cs="方正仿宋_GBK" w:hint="eastAsia"/>
          <w:sz w:val="32"/>
        </w:rPr>
        <w:t>524.14</w:t>
      </w:r>
      <w:r>
        <w:rPr>
          <w:rFonts w:ascii="宋体" w:eastAsia="方正仿宋_GBK" w:hAnsi="宋体" w:cs="方正仿宋_GBK" w:hint="eastAsia"/>
          <w:sz w:val="32"/>
        </w:rPr>
        <w:t>万元，占比</w:t>
      </w:r>
      <w:r>
        <w:rPr>
          <w:rFonts w:ascii="宋体" w:eastAsia="方正仿宋_GBK" w:hAnsi="宋体" w:cs="方正仿宋_GBK" w:hint="eastAsia"/>
          <w:sz w:val="32"/>
        </w:rPr>
        <w:t>76.56%</w:t>
      </w:r>
      <w:r>
        <w:rPr>
          <w:rFonts w:ascii="宋体" w:eastAsia="方正仿宋_GBK" w:hAnsi="宋体" w:cs="方正仿宋_GBK" w:hint="eastAsia"/>
          <w:sz w:val="32"/>
        </w:rPr>
        <w:t>。较年初预算数减少</w:t>
      </w:r>
      <w:r>
        <w:rPr>
          <w:rFonts w:ascii="宋体" w:eastAsia="方正仿宋_GBK" w:hAnsi="宋体" w:cs="方正仿宋_GBK" w:hint="eastAsia"/>
          <w:sz w:val="32"/>
        </w:rPr>
        <w:t>10.65</w:t>
      </w:r>
      <w:r>
        <w:rPr>
          <w:rFonts w:ascii="宋体" w:eastAsia="方正仿宋_GBK" w:hAnsi="宋体" w:cs="方正仿宋_GBK" w:hint="eastAsia"/>
          <w:sz w:val="32"/>
        </w:rPr>
        <w:t>万元，减少</w:t>
      </w:r>
      <w:r>
        <w:rPr>
          <w:rFonts w:ascii="方正仿宋_GBK" w:eastAsia="方正仿宋_GBK" w:hAnsi="方正仿宋_GBK" w:cs="方正仿宋_GBK"/>
          <w:sz w:val="32"/>
          <w:szCs w:val="32"/>
          <w:shd w:val="clear" w:color="auto" w:fill="FFFFFF"/>
        </w:rPr>
        <w:t>1.99</w:t>
      </w:r>
      <w:r>
        <w:rPr>
          <w:rFonts w:ascii="宋体" w:eastAsia="方正仿宋_GBK" w:hAnsi="宋体" w:cs="方正仿宋_GBK" w:hint="eastAsia"/>
          <w:sz w:val="32"/>
        </w:rPr>
        <w:t>%</w:t>
      </w:r>
      <w:r>
        <w:rPr>
          <w:rFonts w:ascii="宋体" w:eastAsia="方正仿宋_GBK" w:hAnsi="宋体" w:cs="方正仿宋_GBK" w:hint="eastAsia"/>
          <w:sz w:val="32"/>
        </w:rPr>
        <w:t>，主要原因是人员减少追减预算、项目经费追减预算。</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5</w:t>
      </w:r>
      <w:r>
        <w:rPr>
          <w:rFonts w:ascii="宋体" w:eastAsia="方正仿宋_GBK" w:hAnsi="宋体" w:cs="方正仿宋_GBK" w:hint="eastAsia"/>
          <w:sz w:val="32"/>
        </w:rPr>
        <w:t>）住房保障支出</w:t>
      </w:r>
      <w:r>
        <w:rPr>
          <w:rFonts w:ascii="宋体" w:eastAsia="方正仿宋_GBK" w:hAnsi="宋体" w:cs="方正仿宋_GBK" w:hint="eastAsia"/>
          <w:sz w:val="32"/>
        </w:rPr>
        <w:t>28.75</w:t>
      </w:r>
      <w:r>
        <w:rPr>
          <w:rFonts w:ascii="宋体" w:eastAsia="方正仿宋_GBK" w:hAnsi="宋体" w:cs="方正仿宋_GBK" w:hint="eastAsia"/>
          <w:sz w:val="32"/>
        </w:rPr>
        <w:t>万元，占比</w:t>
      </w:r>
      <w:r>
        <w:rPr>
          <w:rFonts w:ascii="宋体" w:eastAsia="方正仿宋_GBK" w:hAnsi="宋体" w:cs="方正仿宋_GBK" w:hint="eastAsia"/>
          <w:sz w:val="32"/>
        </w:rPr>
        <w:t>4.2%</w:t>
      </w:r>
      <w:r>
        <w:rPr>
          <w:rFonts w:ascii="宋体" w:eastAsia="方正仿宋_GBK" w:hAnsi="宋体" w:cs="方正仿宋_GBK" w:hint="eastAsia"/>
          <w:sz w:val="32"/>
        </w:rPr>
        <w:t>。与年初预算数一致。</w:t>
      </w:r>
    </w:p>
    <w:p w:rsidR="00230901" w:rsidRDefault="00B0215C">
      <w:pPr>
        <w:numPr>
          <w:ilvl w:val="0"/>
          <w:numId w:val="2"/>
        </w:numPr>
        <w:spacing w:line="579" w:lineRule="exact"/>
        <w:ind w:firstLineChars="200" w:firstLine="640"/>
        <w:outlineLvl w:val="1"/>
        <w:rPr>
          <w:rFonts w:ascii="宋体" w:eastAsia="方正楷体_GBK" w:hAnsi="宋体" w:cs="方正楷体_GBK"/>
          <w:sz w:val="32"/>
          <w:szCs w:val="32"/>
        </w:rPr>
      </w:pPr>
      <w:r>
        <w:rPr>
          <w:rStyle w:val="23"/>
          <w:rFonts w:ascii="宋体" w:eastAsia="方正楷体_GBK" w:hAnsi="宋体" w:cs="方正楷体_GBK" w:hint="eastAsia"/>
          <w:b w:val="0"/>
          <w:bCs/>
          <w:sz w:val="32"/>
          <w:szCs w:val="32"/>
          <w:shd w:val="clear" w:color="auto" w:fill="FFFFFF"/>
        </w:rPr>
        <w:t>一般公共预算财政拨款基本支出情况</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年度一般公共预算财政拨款基本支出</w:t>
      </w:r>
      <w:r>
        <w:rPr>
          <w:rFonts w:ascii="宋体" w:eastAsia="方正仿宋_GBK" w:hAnsi="宋体" w:cs="方正仿宋_GBK" w:hint="eastAsia"/>
          <w:sz w:val="32"/>
        </w:rPr>
        <w:t>670.48</w:t>
      </w:r>
      <w:r>
        <w:rPr>
          <w:rFonts w:ascii="宋体" w:eastAsia="方正仿宋_GBK" w:hAnsi="宋体" w:cs="方正仿宋_GBK" w:hint="eastAsia"/>
          <w:sz w:val="32"/>
        </w:rPr>
        <w:t>万元。其中：人员经费</w:t>
      </w:r>
      <w:r>
        <w:rPr>
          <w:rFonts w:ascii="宋体" w:eastAsia="方正仿宋_GBK" w:hAnsi="宋体" w:cs="方正仿宋_GBK" w:hint="eastAsia"/>
          <w:sz w:val="32"/>
        </w:rPr>
        <w:t>576.91</w:t>
      </w:r>
      <w:r>
        <w:rPr>
          <w:rFonts w:ascii="宋体" w:eastAsia="方正仿宋_GBK" w:hAnsi="宋体" w:cs="方正仿宋_GBK" w:hint="eastAsia"/>
          <w:sz w:val="32"/>
        </w:rPr>
        <w:t>万元，主要用于工资、社会保障缴费、住</w:t>
      </w:r>
      <w:r>
        <w:rPr>
          <w:rFonts w:ascii="宋体" w:eastAsia="方正仿宋_GBK" w:hAnsi="宋体" w:cs="方正仿宋_GBK" w:hint="eastAsia"/>
          <w:sz w:val="32"/>
        </w:rPr>
        <w:lastRenderedPageBreak/>
        <w:t>房公积金等，较上年决算数增加</w:t>
      </w:r>
      <w:r>
        <w:rPr>
          <w:rFonts w:ascii="宋体" w:eastAsia="方正仿宋_GBK" w:hAnsi="宋体" w:cs="方正仿宋_GBK" w:hint="eastAsia"/>
          <w:sz w:val="32"/>
        </w:rPr>
        <w:t>79.57</w:t>
      </w:r>
      <w:r>
        <w:rPr>
          <w:rFonts w:ascii="宋体" w:eastAsia="方正仿宋_GBK" w:hAnsi="宋体" w:cs="方正仿宋_GBK" w:hint="eastAsia"/>
          <w:sz w:val="32"/>
        </w:rPr>
        <w:t>万元，增长</w:t>
      </w:r>
      <w:r>
        <w:rPr>
          <w:rFonts w:ascii="宋体" w:eastAsia="方正仿宋_GBK" w:hAnsi="宋体" w:cs="方正仿宋_GBK" w:hint="eastAsia"/>
          <w:sz w:val="32"/>
        </w:rPr>
        <w:t>16%</w:t>
      </w:r>
      <w:r>
        <w:rPr>
          <w:rFonts w:ascii="宋体" w:eastAsia="方正仿宋_GBK" w:hAnsi="宋体" w:cs="方正仿宋_GBK" w:hint="eastAsia"/>
          <w:sz w:val="32"/>
        </w:rPr>
        <w:t>，主要原因是</w:t>
      </w:r>
      <w:r>
        <w:rPr>
          <w:rFonts w:ascii="宋体" w:eastAsia="方正仿宋_GBK" w:hAnsi="宋体" w:cs="方正仿宋_GBK" w:hint="eastAsia"/>
          <w:sz w:val="32"/>
        </w:rPr>
        <w:t>2024</w:t>
      </w:r>
      <w:r>
        <w:rPr>
          <w:rFonts w:ascii="宋体" w:eastAsia="方正仿宋_GBK" w:hAnsi="宋体" w:cs="方正仿宋_GBK" w:hint="eastAsia"/>
          <w:sz w:val="32"/>
        </w:rPr>
        <w:t>年区农业工程建设服务中心机构改革合并到区乡村发展服务中心，人员经费增加。公用经费</w:t>
      </w:r>
      <w:r>
        <w:rPr>
          <w:rFonts w:ascii="宋体" w:eastAsia="方正仿宋_GBK" w:hAnsi="宋体" w:cs="方正仿宋_GBK" w:hint="eastAsia"/>
          <w:sz w:val="32"/>
        </w:rPr>
        <w:t>93.57</w:t>
      </w:r>
      <w:r>
        <w:rPr>
          <w:rFonts w:ascii="宋体" w:eastAsia="方正仿宋_GBK" w:hAnsi="宋体" w:cs="方正仿宋_GBK" w:hint="eastAsia"/>
          <w:sz w:val="32"/>
        </w:rPr>
        <w:t>万元，主要用于办公费、水费、电费、邮电费、劳务费、维修（护）费等，较上年决算数增加</w:t>
      </w:r>
      <w:r>
        <w:rPr>
          <w:rFonts w:ascii="宋体" w:eastAsia="方正仿宋_GBK" w:hAnsi="宋体" w:cs="方正仿宋_GBK" w:hint="eastAsia"/>
          <w:sz w:val="32"/>
        </w:rPr>
        <w:t>15.54</w:t>
      </w:r>
      <w:r>
        <w:rPr>
          <w:rFonts w:ascii="宋体" w:eastAsia="方正仿宋_GBK" w:hAnsi="宋体" w:cs="方正仿宋_GBK" w:hint="eastAsia"/>
          <w:sz w:val="32"/>
        </w:rPr>
        <w:t>万元，增加</w:t>
      </w:r>
      <w:r>
        <w:rPr>
          <w:rFonts w:ascii="宋体" w:eastAsia="方正仿宋_GBK" w:hAnsi="宋体" w:cs="方正仿宋_GBK" w:hint="eastAsia"/>
          <w:sz w:val="32"/>
        </w:rPr>
        <w:t>19.92%</w:t>
      </w:r>
      <w:r>
        <w:rPr>
          <w:rFonts w:ascii="宋体" w:eastAsia="方正仿宋_GBK" w:hAnsi="宋体" w:cs="方正仿宋_GBK" w:hint="eastAsia"/>
          <w:sz w:val="32"/>
        </w:rPr>
        <w:t>，主要原因是</w:t>
      </w:r>
      <w:r>
        <w:rPr>
          <w:rFonts w:ascii="宋体" w:eastAsia="方正仿宋_GBK" w:hAnsi="宋体" w:cs="方正仿宋_GBK" w:hint="eastAsia"/>
          <w:sz w:val="32"/>
        </w:rPr>
        <w:t>2024</w:t>
      </w:r>
      <w:r>
        <w:rPr>
          <w:rFonts w:ascii="宋体" w:eastAsia="方正仿宋_GBK" w:hAnsi="宋体" w:cs="方正仿宋_GBK" w:hint="eastAsia"/>
          <w:sz w:val="32"/>
        </w:rPr>
        <w:t>年区农业工程建设服务中心机构改革合并到区乡村发展服务中心，公用经费增加。</w:t>
      </w:r>
    </w:p>
    <w:p w:rsidR="00230901" w:rsidRDefault="00B0215C">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（五）政府性基金预算收支决算情况</w:t>
      </w:r>
    </w:p>
    <w:p w:rsidR="00230901" w:rsidRDefault="00B0215C">
      <w:pPr>
        <w:ind w:firstLine="709"/>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度政府性基金预算财政拨款年初结转结余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hint="eastAsia"/>
          <w:sz w:val="32"/>
          <w:szCs w:val="32"/>
        </w:rPr>
        <w:t>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hint="eastAsia"/>
          <w:sz w:val="32"/>
          <w:szCs w:val="32"/>
        </w:rPr>
        <w:t>1000</w:t>
      </w:r>
      <w:r>
        <w:rPr>
          <w:rFonts w:ascii="方正仿宋_GBK" w:eastAsia="方正仿宋_GBK" w:hAnsi="方正仿宋_GBK" w:cs="方正仿宋_GBK"/>
          <w:sz w:val="32"/>
          <w:szCs w:val="32"/>
          <w:shd w:val="clear" w:color="auto" w:fill="FFFFFF"/>
        </w:rPr>
        <w:t>万元，与2023年度相比</w:t>
      </w:r>
      <w:r>
        <w:rPr>
          <w:rFonts w:ascii="方正仿宋_GBK" w:eastAsia="方正仿宋_GBK" w:hAnsi="方正仿宋_GBK" w:cs="方正仿宋_GBK" w:hint="eastAsia"/>
          <w:sz w:val="32"/>
          <w:szCs w:val="32"/>
          <w:shd w:val="clear" w:color="auto" w:fill="FFFFFF"/>
        </w:rPr>
        <w:t>增加1000万元</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年中追加</w:t>
      </w:r>
      <w:r>
        <w:rPr>
          <w:rFonts w:ascii="方正仿宋_GBK" w:eastAsia="方正仿宋_GBK" w:hAnsi="方正仿宋_GBK" w:cs="方正仿宋_GBK"/>
          <w:sz w:val="32"/>
          <w:szCs w:val="32"/>
          <w:shd w:val="clear" w:color="auto" w:fill="FFFFFF"/>
        </w:rPr>
        <w:t>政府性基金1000万元</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hint="eastAsia"/>
          <w:sz w:val="32"/>
          <w:szCs w:val="32"/>
        </w:rPr>
        <w:t>1000</w:t>
      </w:r>
      <w:r>
        <w:rPr>
          <w:rFonts w:ascii="方正仿宋_GBK" w:eastAsia="方正仿宋_GBK" w:hAnsi="方正仿宋_GBK" w:cs="方正仿宋_GBK"/>
          <w:sz w:val="32"/>
          <w:szCs w:val="32"/>
          <w:shd w:val="clear" w:color="auto" w:fill="FFFFFF"/>
        </w:rPr>
        <w:t>万元，与2023年度相比</w:t>
      </w:r>
      <w:r>
        <w:rPr>
          <w:rFonts w:ascii="方正仿宋_GBK" w:eastAsia="方正仿宋_GBK" w:hAnsi="方正仿宋_GBK" w:cs="方正仿宋_GBK" w:hint="eastAsia"/>
          <w:sz w:val="32"/>
          <w:szCs w:val="32"/>
          <w:shd w:val="clear" w:color="auto" w:fill="FFFFFF"/>
        </w:rPr>
        <w:t>增加1000万元</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年中追加</w:t>
      </w:r>
      <w:r>
        <w:rPr>
          <w:rFonts w:ascii="方正仿宋_GBK" w:eastAsia="方正仿宋_GBK" w:hAnsi="方正仿宋_GBK" w:cs="方正仿宋_GBK"/>
          <w:sz w:val="32"/>
          <w:szCs w:val="32"/>
          <w:shd w:val="clear" w:color="auto" w:fill="FFFFFF"/>
        </w:rPr>
        <w:t>政府性基金1000万元</w:t>
      </w:r>
      <w:r>
        <w:rPr>
          <w:rFonts w:ascii="方正仿宋_GBK" w:eastAsia="方正仿宋_GBK" w:hAnsi="方正仿宋_GBK" w:cs="方正仿宋_GBK" w:hint="eastAsia"/>
          <w:sz w:val="32"/>
          <w:szCs w:val="32"/>
          <w:shd w:val="clear" w:color="auto" w:fill="FFFFFF"/>
        </w:rPr>
        <w:t>。</w:t>
      </w:r>
    </w:p>
    <w:p w:rsidR="00230901" w:rsidRDefault="00B0215C">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（六）国有资本经营预算财政拨款支出决算情况</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度无国有资本经营预算财政拨款支出。</w:t>
      </w:r>
    </w:p>
    <w:p w:rsidR="00230901" w:rsidRDefault="00B0215C">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三、“三公”经费情况</w:t>
      </w:r>
    </w:p>
    <w:p w:rsidR="00230901" w:rsidRDefault="00B0215C">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Pr>
          <w:rFonts w:ascii="宋体" w:eastAsia="方正仿宋_GBK" w:hAnsi="宋体" w:cs="方正仿宋_GBK" w:hint="eastAsia"/>
          <w:sz w:val="32"/>
        </w:rPr>
        <w:t>9.53</w:t>
      </w:r>
      <w:r>
        <w:rPr>
          <w:rFonts w:ascii="宋体" w:eastAsia="方正仿宋_GBK" w:hAnsi="宋体" w:cs="方正仿宋_GBK" w:hint="eastAsia"/>
          <w:sz w:val="32"/>
        </w:rPr>
        <w:t>万元，较年初预算数减少</w:t>
      </w:r>
      <w:r>
        <w:rPr>
          <w:rFonts w:ascii="宋体" w:eastAsia="方正仿宋_GBK" w:hAnsi="宋体" w:cs="方正仿宋_GBK" w:hint="eastAsia"/>
          <w:sz w:val="32"/>
        </w:rPr>
        <w:t>2.97</w:t>
      </w:r>
      <w:r>
        <w:rPr>
          <w:rFonts w:ascii="宋体" w:eastAsia="方正仿宋_GBK" w:hAnsi="宋体" w:cs="方正仿宋_GBK" w:hint="eastAsia"/>
          <w:sz w:val="32"/>
        </w:rPr>
        <w:t>万元，下降</w:t>
      </w:r>
      <w:r>
        <w:rPr>
          <w:rFonts w:ascii="宋体" w:eastAsia="方正仿宋_GBK" w:hAnsi="宋体" w:cs="方正仿宋_GBK" w:hint="eastAsia"/>
          <w:sz w:val="32"/>
        </w:rPr>
        <w:t>23.76%</w:t>
      </w:r>
      <w:r>
        <w:rPr>
          <w:rFonts w:ascii="宋体" w:eastAsia="方正仿宋_GBK" w:hAnsi="宋体" w:cs="方正仿宋_GBK" w:hint="eastAsia"/>
          <w:sz w:val="32"/>
        </w:rPr>
        <w:t>，主要原因是单位加强管理，厉行节约，严控费用。较上年支出数增加</w:t>
      </w:r>
      <w:r>
        <w:rPr>
          <w:rFonts w:ascii="宋体" w:eastAsia="方正仿宋_GBK" w:hAnsi="宋体" w:cs="方正仿宋_GBK" w:hint="eastAsia"/>
          <w:sz w:val="32"/>
        </w:rPr>
        <w:t>6.71</w:t>
      </w:r>
      <w:r>
        <w:rPr>
          <w:rFonts w:ascii="宋体" w:eastAsia="方正仿宋_GBK" w:hAnsi="宋体" w:cs="方正仿宋_GBK" w:hint="eastAsia"/>
          <w:sz w:val="32"/>
        </w:rPr>
        <w:t>万元，增加</w:t>
      </w:r>
      <w:r>
        <w:rPr>
          <w:rFonts w:ascii="方正仿宋_GBK" w:eastAsia="方正仿宋_GBK" w:hAnsi="方正仿宋_GBK" w:cs="方正仿宋_GBK"/>
          <w:sz w:val="32"/>
          <w:szCs w:val="32"/>
          <w:shd w:val="clear" w:color="auto" w:fill="FFFFFF"/>
        </w:rPr>
        <w:t>237.94</w:t>
      </w:r>
      <w:r>
        <w:rPr>
          <w:rFonts w:ascii="宋体" w:eastAsia="方正仿宋_GBK" w:hAnsi="宋体" w:cs="方正仿宋_GBK" w:hint="eastAsia"/>
          <w:sz w:val="32"/>
        </w:rPr>
        <w:t>%</w:t>
      </w:r>
      <w:r>
        <w:rPr>
          <w:rFonts w:ascii="宋体" w:eastAsia="方正仿宋_GBK" w:hAnsi="宋体" w:cs="方正仿宋_GBK" w:hint="eastAsia"/>
          <w:sz w:val="32"/>
        </w:rPr>
        <w:t>，主要原因是</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年区农业工程建设服务中心机构改革合并到区乡村发展服务中心，三公经费增加</w:t>
      </w:r>
      <w:r>
        <w:rPr>
          <w:rFonts w:ascii="宋体" w:eastAsia="方正仿宋_GBK" w:hAnsi="宋体" w:cs="方正仿宋_GBK" w:hint="eastAsia"/>
          <w:sz w:val="32"/>
        </w:rPr>
        <w:t>。</w:t>
      </w:r>
    </w:p>
    <w:p w:rsidR="00230901" w:rsidRDefault="00B0215C">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lastRenderedPageBreak/>
        <w:t>（二）“三公”经费分项支出情况</w:t>
      </w:r>
    </w:p>
    <w:p w:rsidR="00230901" w:rsidRDefault="00B0215C">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因公出国（境）费用</w:t>
      </w:r>
      <w:r>
        <w:rPr>
          <w:rFonts w:ascii="宋体" w:eastAsia="方正仿宋_GBK" w:hAnsi="宋体" w:cs="方正仿宋_GBK" w:hint="eastAsia"/>
          <w:sz w:val="32"/>
        </w:rPr>
        <w:t>0</w:t>
      </w:r>
      <w:r>
        <w:rPr>
          <w:rFonts w:ascii="宋体" w:eastAsia="方正仿宋_GBK" w:hAnsi="宋体" w:cs="方正仿宋_GBK" w:hint="eastAsia"/>
          <w:sz w:val="32"/>
        </w:rPr>
        <w:t>万元，与年初预算数一致。</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hint="eastAsia"/>
          <w:sz w:val="32"/>
          <w:szCs w:val="32"/>
          <w:shd w:val="clear" w:color="auto" w:fill="FFFFFF"/>
        </w:rPr>
        <w:t>。</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宋体" w:eastAsia="方正仿宋_GBK" w:hAnsi="宋体" w:cs="方正仿宋_GBK" w:hint="eastAsia"/>
          <w:sz w:val="32"/>
        </w:rPr>
        <w:t>公务车购置费用</w:t>
      </w:r>
      <w:r>
        <w:rPr>
          <w:rFonts w:ascii="宋体" w:eastAsia="方正仿宋_GBK" w:hAnsi="宋体" w:cs="方正仿宋_GBK" w:hint="eastAsia"/>
          <w:sz w:val="32"/>
        </w:rPr>
        <w:t>0</w:t>
      </w:r>
      <w:r>
        <w:rPr>
          <w:rFonts w:ascii="宋体" w:eastAsia="方正仿宋_GBK" w:hAnsi="宋体" w:cs="方正仿宋_GBK" w:hint="eastAsia"/>
          <w:sz w:val="32"/>
        </w:rPr>
        <w:t>万元，与年初预算数一致。</w:t>
      </w:r>
      <w:r>
        <w:rPr>
          <w:rFonts w:ascii="方正仿宋_GBK" w:eastAsia="方正仿宋_GBK" w:hAnsi="方正仿宋_GBK" w:cs="方正仿宋_GBK"/>
          <w:sz w:val="32"/>
          <w:szCs w:val="32"/>
          <w:shd w:val="clear" w:color="auto" w:fill="FFFFFF"/>
        </w:rPr>
        <w:t> 较上年支出数无增减</w:t>
      </w:r>
      <w:r>
        <w:rPr>
          <w:rFonts w:ascii="方正仿宋_GBK" w:eastAsia="方正仿宋_GBK" w:hAnsi="方正仿宋_GBK" w:cs="方正仿宋_GBK" w:hint="eastAsia"/>
          <w:sz w:val="32"/>
          <w:szCs w:val="32"/>
          <w:shd w:val="clear" w:color="auto" w:fill="FFFFFF"/>
        </w:rPr>
        <w:t>。</w:t>
      </w:r>
    </w:p>
    <w:p w:rsidR="00230901" w:rsidRDefault="00B0215C">
      <w:pPr>
        <w:pStyle w:val="a6"/>
        <w:snapToGrid w:val="0"/>
        <w:spacing w:before="0" w:beforeAutospacing="0" w:after="0" w:afterAutospacing="0" w:line="600"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公务车运行维护费</w:t>
      </w:r>
      <w:r>
        <w:rPr>
          <w:rFonts w:ascii="宋体" w:eastAsia="方正仿宋_GBK" w:hAnsi="宋体" w:cs="方正仿宋_GBK" w:hint="eastAsia"/>
          <w:sz w:val="32"/>
        </w:rPr>
        <w:t>8.57</w:t>
      </w:r>
      <w:r>
        <w:rPr>
          <w:rFonts w:ascii="宋体" w:eastAsia="方正仿宋_GBK" w:hAnsi="宋体" w:cs="方正仿宋_GBK" w:hint="eastAsia"/>
          <w:sz w:val="32"/>
        </w:rPr>
        <w:t>万元，主要用于因公出行产生的公务车燃油、充电、维修、停车路桥等运行费用。费用支出较年初预算数减少</w:t>
      </w:r>
      <w:r>
        <w:rPr>
          <w:rFonts w:ascii="宋体" w:eastAsia="方正仿宋_GBK" w:hAnsi="宋体" w:cs="方正仿宋_GBK" w:hint="eastAsia"/>
          <w:sz w:val="32"/>
        </w:rPr>
        <w:t>1.43</w:t>
      </w:r>
      <w:r>
        <w:rPr>
          <w:rFonts w:ascii="宋体" w:eastAsia="方正仿宋_GBK" w:hAnsi="宋体" w:cs="方正仿宋_GBK" w:hint="eastAsia"/>
          <w:sz w:val="32"/>
        </w:rPr>
        <w:t>万元，下降</w:t>
      </w:r>
      <w:r>
        <w:rPr>
          <w:rFonts w:ascii="宋体" w:eastAsia="方正仿宋_GBK" w:hAnsi="宋体" w:cs="方正仿宋_GBK" w:hint="eastAsia"/>
          <w:sz w:val="32"/>
        </w:rPr>
        <w:t>14.30%</w:t>
      </w:r>
      <w:r>
        <w:rPr>
          <w:rFonts w:ascii="宋体" w:eastAsia="方正仿宋_GBK" w:hAnsi="宋体" w:cs="方正仿宋_GBK" w:hint="eastAsia"/>
          <w:sz w:val="32"/>
        </w:rPr>
        <w:t>，主要原因是严格加强公务车运行管理。较上年支出数增加</w:t>
      </w:r>
      <w:r>
        <w:rPr>
          <w:rFonts w:ascii="宋体" w:eastAsia="方正仿宋_GBK" w:hAnsi="宋体" w:cs="方正仿宋_GBK" w:hint="eastAsia"/>
          <w:sz w:val="32"/>
        </w:rPr>
        <w:t>5.80</w:t>
      </w:r>
      <w:r>
        <w:rPr>
          <w:rFonts w:ascii="宋体" w:eastAsia="方正仿宋_GBK" w:hAnsi="宋体" w:cs="方正仿宋_GBK" w:hint="eastAsia"/>
          <w:sz w:val="32"/>
        </w:rPr>
        <w:t>万元，增长</w:t>
      </w:r>
      <w:r>
        <w:rPr>
          <w:rFonts w:ascii="宋体" w:eastAsia="方正仿宋_GBK" w:hAnsi="宋体" w:cs="方正仿宋_GBK" w:hint="eastAsia"/>
          <w:sz w:val="32"/>
        </w:rPr>
        <w:t>209.39%</w:t>
      </w:r>
      <w:r>
        <w:rPr>
          <w:rFonts w:ascii="宋体" w:eastAsia="方正仿宋_GBK" w:hAnsi="宋体" w:cs="方正仿宋_GBK" w:hint="eastAsia"/>
          <w:sz w:val="32"/>
        </w:rPr>
        <w:t>，主要原因是</w:t>
      </w:r>
      <w:r>
        <w:rPr>
          <w:rFonts w:ascii="宋体" w:eastAsia="方正仿宋_GBK" w:hAnsi="宋体" w:cs="方正仿宋_GBK" w:hint="eastAsia"/>
          <w:sz w:val="32"/>
        </w:rPr>
        <w:t>2024</w:t>
      </w:r>
      <w:r>
        <w:rPr>
          <w:rFonts w:ascii="宋体" w:eastAsia="方正仿宋_GBK" w:hAnsi="宋体" w:cs="方正仿宋_GBK" w:hint="eastAsia"/>
          <w:sz w:val="32"/>
        </w:rPr>
        <w:t>年区农业工程建设服务中心机构改革合并到区乡村发展服务中心，增加</w:t>
      </w:r>
      <w:r>
        <w:rPr>
          <w:rFonts w:ascii="宋体" w:eastAsia="方正仿宋_GBK" w:hAnsi="宋体" w:cs="方正仿宋_GBK" w:hint="eastAsia"/>
          <w:sz w:val="32"/>
        </w:rPr>
        <w:t>1</w:t>
      </w:r>
      <w:r>
        <w:rPr>
          <w:rFonts w:ascii="宋体" w:eastAsia="方正仿宋_GBK" w:hAnsi="宋体" w:cs="方正仿宋_GBK" w:hint="eastAsia"/>
          <w:sz w:val="32"/>
        </w:rPr>
        <w:t>辆公务用车。</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宋体" w:eastAsia="方正仿宋_GBK" w:hAnsi="宋体" w:cs="方正仿宋_GBK" w:hint="eastAsia"/>
          <w:sz w:val="32"/>
        </w:rPr>
        <w:t>公务接待费</w:t>
      </w:r>
      <w:r>
        <w:rPr>
          <w:rFonts w:ascii="宋体" w:eastAsia="方正仿宋_GBK" w:hAnsi="宋体" w:cs="方正仿宋_GBK" w:hint="eastAsia"/>
          <w:sz w:val="32"/>
        </w:rPr>
        <w:t>0.96</w:t>
      </w:r>
      <w:r>
        <w:rPr>
          <w:rFonts w:ascii="宋体" w:eastAsia="方正仿宋_GBK" w:hAnsi="宋体" w:cs="方正仿宋_GBK" w:hint="eastAsia"/>
          <w:sz w:val="32"/>
        </w:rPr>
        <w:t>万元，主要用于相关单位检查指导工作和调研乡村发展发生的接待支出等。费用支出较年初预算数减少</w:t>
      </w:r>
      <w:r>
        <w:rPr>
          <w:rFonts w:ascii="宋体" w:eastAsia="方正仿宋_GBK" w:hAnsi="宋体" w:cs="方正仿宋_GBK" w:hint="eastAsia"/>
          <w:sz w:val="32"/>
        </w:rPr>
        <w:t>1.54</w:t>
      </w:r>
      <w:r>
        <w:rPr>
          <w:rFonts w:ascii="宋体" w:eastAsia="方正仿宋_GBK" w:hAnsi="宋体" w:cs="方正仿宋_GBK" w:hint="eastAsia"/>
          <w:sz w:val="32"/>
        </w:rPr>
        <w:t>万元，下降</w:t>
      </w:r>
      <w:r>
        <w:rPr>
          <w:rFonts w:ascii="宋体" w:eastAsia="方正仿宋_GBK" w:hAnsi="宋体" w:cs="方正仿宋_GBK" w:hint="eastAsia"/>
          <w:sz w:val="32"/>
        </w:rPr>
        <w:t>61.60%</w:t>
      </w:r>
      <w:r>
        <w:rPr>
          <w:rFonts w:ascii="宋体" w:eastAsia="方正仿宋_GBK" w:hAnsi="宋体" w:cs="方正仿宋_GBK" w:hint="eastAsia"/>
          <w:sz w:val="32"/>
        </w:rPr>
        <w:t>，主要原因是严格加强公务接待管理。</w:t>
      </w:r>
      <w:r>
        <w:rPr>
          <w:rFonts w:ascii="方正仿宋_GBK" w:eastAsia="方正仿宋_GBK" w:hAnsi="方正仿宋_GBK" w:cs="方正仿宋_GBK"/>
          <w:sz w:val="32"/>
          <w:szCs w:val="32"/>
          <w:shd w:val="clear" w:color="auto" w:fill="FFFFFF"/>
        </w:rPr>
        <w:t>较上年支出数增加0.92万元，增长2300.00%，主要原因是</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年区农业工程建设服务中心机构改革合并到区乡村发展服务中心，公用接待次数增加</w:t>
      </w:r>
      <w:r>
        <w:rPr>
          <w:rFonts w:ascii="宋体" w:eastAsia="方正仿宋_GBK" w:hAnsi="宋体" w:cs="方正仿宋_GBK" w:hint="eastAsia"/>
          <w:sz w:val="32"/>
        </w:rPr>
        <w:t>。</w:t>
      </w:r>
    </w:p>
    <w:p w:rsidR="00230901" w:rsidRDefault="00B0215C">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（三）“三公”经费实物量情况</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106</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本单位人均接待费</w:t>
      </w:r>
      <w:r>
        <w:rPr>
          <w:rFonts w:ascii="方正仿宋_GBK" w:eastAsia="方正仿宋_GBK" w:hAnsi="方正仿宋_GBK" w:cs="方正仿宋_GBK"/>
          <w:sz w:val="32"/>
          <w:szCs w:val="32"/>
        </w:rPr>
        <w:t>90.25</w:t>
      </w:r>
      <w:r>
        <w:rPr>
          <w:rFonts w:ascii="方正仿宋_GBK" w:eastAsia="方正仿宋_GBK" w:hAnsi="方正仿宋_GBK" w:cs="方正仿宋_GBK"/>
          <w:sz w:val="32"/>
          <w:szCs w:val="32"/>
          <w:shd w:val="clear" w:color="auto" w:fill="FFFFFF"/>
        </w:rPr>
        <w:t>元，车均购置</w:t>
      </w:r>
      <w:r>
        <w:rPr>
          <w:rFonts w:ascii="方正仿宋_GBK" w:eastAsia="方正仿宋_GBK" w:hAnsi="方正仿宋_GBK" w:cs="方正仿宋_GBK"/>
          <w:sz w:val="32"/>
          <w:szCs w:val="32"/>
          <w:shd w:val="clear" w:color="auto" w:fill="FFFFFF"/>
        </w:rPr>
        <w:lastRenderedPageBreak/>
        <w:t>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4.29</w:t>
      </w:r>
      <w:r>
        <w:rPr>
          <w:rFonts w:ascii="方正仿宋_GBK" w:eastAsia="方正仿宋_GBK" w:hAnsi="方正仿宋_GBK" w:cs="方正仿宋_GBK"/>
          <w:sz w:val="32"/>
          <w:szCs w:val="32"/>
          <w:shd w:val="clear" w:color="auto" w:fill="FFFFFF"/>
        </w:rPr>
        <w:t>万元。</w:t>
      </w:r>
    </w:p>
    <w:p w:rsidR="00230901" w:rsidRDefault="00230901">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p>
    <w:p w:rsidR="00230901" w:rsidRDefault="00B0215C">
      <w:pPr>
        <w:pStyle w:val="Char2"/>
        <w:widowControl/>
        <w:numPr>
          <w:ilvl w:val="0"/>
          <w:numId w:val="5"/>
        </w:numPr>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其他需要说明的事项</w:t>
      </w:r>
    </w:p>
    <w:p w:rsidR="00230901" w:rsidRDefault="00B0215C" w:rsidP="000701C2">
      <w:pPr>
        <w:pStyle w:val="1"/>
        <w:autoSpaceDE w:val="0"/>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（一）财政拨款会议费和培训费情况说明</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2.39</w:t>
      </w:r>
      <w:r>
        <w:rPr>
          <w:rFonts w:ascii="方正仿宋_GBK" w:eastAsia="方正仿宋_GBK" w:hAnsi="方正仿宋_GBK" w:cs="方正仿宋_GBK"/>
          <w:sz w:val="32"/>
          <w:szCs w:val="32"/>
          <w:shd w:val="clear" w:color="auto" w:fill="FFFFFF"/>
        </w:rPr>
        <w:t>万元，与2023年度相比，增加1.83万元，增长326.79%，主要原因是</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年区农业工程建设服务中心机构改革合并到区乡村发展服务中心，会议次数增加</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3.71</w:t>
      </w:r>
      <w:r>
        <w:rPr>
          <w:rFonts w:ascii="方正仿宋_GBK" w:eastAsia="方正仿宋_GBK" w:hAnsi="方正仿宋_GBK" w:cs="方正仿宋_GBK"/>
          <w:sz w:val="32"/>
          <w:szCs w:val="32"/>
          <w:shd w:val="clear" w:color="auto" w:fill="FFFFFF"/>
        </w:rPr>
        <w:t>万元，与2023年度相比，减少0.54万元，下降12.71%，主要原因是</w:t>
      </w:r>
      <w:r>
        <w:rPr>
          <w:rFonts w:ascii="方正仿宋_GBK" w:eastAsia="方正仿宋_GBK" w:hAnsi="方正仿宋_GBK" w:cs="方正仿宋_GBK" w:hint="eastAsia"/>
          <w:sz w:val="32"/>
          <w:szCs w:val="32"/>
          <w:shd w:val="clear" w:color="auto" w:fill="FFFFFF"/>
        </w:rPr>
        <w:t>严控培训次数</w:t>
      </w:r>
      <w:r>
        <w:rPr>
          <w:rFonts w:ascii="方正仿宋_GBK" w:eastAsia="方正仿宋_GBK" w:hAnsi="方正仿宋_GBK" w:cs="方正仿宋_GBK"/>
          <w:sz w:val="32"/>
          <w:szCs w:val="32"/>
          <w:shd w:val="clear" w:color="auto" w:fill="FFFFFF"/>
        </w:rPr>
        <w:t>。</w:t>
      </w:r>
    </w:p>
    <w:p w:rsidR="00230901" w:rsidRDefault="00B0215C" w:rsidP="000701C2">
      <w:pPr>
        <w:pStyle w:val="1"/>
        <w:autoSpaceDE w:val="0"/>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（二）机关运行经费情况说明</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按照部门决算列报口径，我单位不在机关运行经费统计范围之内。</w:t>
      </w:r>
    </w:p>
    <w:p w:rsidR="00230901" w:rsidRDefault="00B0215C" w:rsidP="000701C2">
      <w:pPr>
        <w:pStyle w:val="1"/>
        <w:autoSpaceDE w:val="0"/>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（三）国有资产占用情况说明</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截至</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12月31日，本单位共有车辆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230901" w:rsidRDefault="00B0215C" w:rsidP="000701C2">
      <w:pPr>
        <w:pStyle w:val="1"/>
        <w:autoSpaceDE w:val="0"/>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（四）政府采购支出情况说明</w:t>
      </w:r>
    </w:p>
    <w:p w:rsidR="00230901" w:rsidRDefault="00B0215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度本单位政府采购支出总额</w:t>
      </w:r>
      <w:r>
        <w:rPr>
          <w:rFonts w:ascii="方正仿宋_GBK" w:eastAsia="方正仿宋_GBK" w:hAnsi="方正仿宋_GBK" w:cs="方正仿宋_GBK"/>
          <w:sz w:val="32"/>
          <w:szCs w:val="32"/>
        </w:rPr>
        <w:t>14792.91</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14792.91</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14792.91</w:t>
      </w:r>
      <w:r>
        <w:rPr>
          <w:rFonts w:ascii="方正仿宋_GBK" w:eastAsia="方正仿宋_GBK" w:hAnsi="方正仿宋_GBK" w:cs="方正仿宋_GBK"/>
          <w:sz w:val="32"/>
          <w:szCs w:val="32"/>
        </w:rPr>
        <w:lastRenderedPageBreak/>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 xml:space="preserve"> %。主要用</w:t>
      </w:r>
      <w:r>
        <w:rPr>
          <w:rFonts w:ascii="方正仿宋_GBK" w:eastAsia="方正仿宋_GBK" w:hAnsi="方正仿宋_GBK" w:cs="方正仿宋_GBK"/>
          <w:sz w:val="32"/>
          <w:szCs w:val="32"/>
        </w:rPr>
        <w:t>于高标准农田项目资金工程采购。</w:t>
      </w:r>
    </w:p>
    <w:p w:rsidR="00230901" w:rsidRDefault="00B0215C">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t>五、预算绩效管理情况</w:t>
      </w:r>
    </w:p>
    <w:p w:rsidR="00230901" w:rsidRDefault="00B0215C">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230901" w:rsidRDefault="00B0215C">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根据预算绩效管理要求，我单位对</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个项目开展了绩效自评，其中，以填报目标自评表形式开展自评</w:t>
      </w:r>
      <w:r>
        <w:rPr>
          <w:rFonts w:ascii="宋体" w:eastAsia="方正仿宋_GBK" w:hAnsi="宋体" w:cs="方正仿宋_GBK" w:hint="eastAsia"/>
          <w:sz w:val="32"/>
          <w:szCs w:val="32"/>
        </w:rPr>
        <w:t>1</w:t>
      </w:r>
      <w:r>
        <w:rPr>
          <w:rFonts w:ascii="宋体" w:eastAsia="方正仿宋_GBK" w:hAnsi="宋体" w:cs="方正仿宋_GBK" w:hint="eastAsia"/>
          <w:sz w:val="32"/>
          <w:szCs w:val="32"/>
        </w:rPr>
        <w:t>项，涉及资金</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万元。</w:t>
      </w:r>
    </w:p>
    <w:p w:rsidR="00230901" w:rsidRDefault="00B0215C">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230901" w:rsidRDefault="00B0215C">
      <w:pPr>
        <w:pStyle w:val="a6"/>
        <w:widowControl/>
        <w:adjustRightInd w:val="0"/>
        <w:spacing w:before="0" w:beforeAutospacing="0" w:after="0" w:afterAutospacing="0"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230901" w:rsidRDefault="00B0215C">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color w:val="000000"/>
          <w:kern w:val="0"/>
          <w:sz w:val="32"/>
          <w:szCs w:val="32"/>
        </w:rPr>
        <w:t>（</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）公开范围。对</w:t>
      </w:r>
      <w:r>
        <w:rPr>
          <w:rFonts w:ascii="宋体" w:eastAsia="方正仿宋_GBK" w:hAnsi="宋体" w:cs="方正仿宋_GBK" w:hint="eastAsia"/>
          <w:kern w:val="0"/>
          <w:sz w:val="32"/>
          <w:szCs w:val="32"/>
        </w:rPr>
        <w:t>1</w:t>
      </w:r>
      <w:r>
        <w:rPr>
          <w:rFonts w:ascii="宋体" w:eastAsia="方正仿宋_GBK" w:hAnsi="宋体" w:cs="方正仿宋_GBK" w:hint="eastAsia"/>
          <w:kern w:val="0"/>
          <w:sz w:val="32"/>
          <w:szCs w:val="32"/>
        </w:rPr>
        <w:t>个一般性项目绩效自评表进行公开。</w:t>
      </w:r>
    </w:p>
    <w:p w:rsidR="00230901" w:rsidRDefault="00B0215C">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）公开内容。</w:t>
      </w:r>
    </w:p>
    <w:p w:rsidR="00230901" w:rsidRDefault="00230901">
      <w:pPr>
        <w:pStyle w:val="a8"/>
        <w:tabs>
          <w:tab w:val="center" w:pos="4153"/>
          <w:tab w:val="left" w:pos="7275"/>
        </w:tabs>
        <w:spacing w:line="579" w:lineRule="exact"/>
        <w:ind w:firstLineChars="0" w:firstLine="0"/>
        <w:rPr>
          <w:rFonts w:ascii="宋体" w:eastAsia="方正仿宋_GBK" w:hAnsi="宋体" w:cs="方正仿宋_GBK"/>
          <w:color w:val="000000"/>
          <w:kern w:val="0"/>
          <w:sz w:val="36"/>
          <w:szCs w:val="36"/>
        </w:rPr>
      </w:pPr>
    </w:p>
    <w:p w:rsidR="00230901" w:rsidRDefault="00B0215C">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2024年度项目绩效自评表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756"/>
        <w:gridCol w:w="708"/>
        <w:gridCol w:w="709"/>
        <w:gridCol w:w="366"/>
        <w:gridCol w:w="478"/>
        <w:gridCol w:w="684"/>
        <w:gridCol w:w="288"/>
        <w:gridCol w:w="948"/>
        <w:gridCol w:w="1080"/>
        <w:gridCol w:w="1092"/>
        <w:gridCol w:w="938"/>
        <w:gridCol w:w="346"/>
        <w:gridCol w:w="892"/>
      </w:tblGrid>
      <w:tr w:rsidR="00230901">
        <w:trPr>
          <w:trHeight w:val="469"/>
          <w:jc w:val="center"/>
        </w:trPr>
        <w:tc>
          <w:tcPr>
            <w:tcW w:w="847"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701" w:type="dxa"/>
            <w:gridSpan w:val="6"/>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非在编人员经费</w:t>
            </w:r>
          </w:p>
        </w:tc>
        <w:tc>
          <w:tcPr>
            <w:tcW w:w="1236"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总分</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4348" w:type="dxa"/>
            <w:gridSpan w:val="5"/>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r>
      <w:tr w:rsidR="00230901">
        <w:trPr>
          <w:trHeight w:val="469"/>
          <w:jc w:val="center"/>
        </w:trPr>
        <w:tc>
          <w:tcPr>
            <w:tcW w:w="847"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项目主管</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464"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重庆市江津区农业农村委员会</w:t>
            </w:r>
          </w:p>
        </w:tc>
        <w:tc>
          <w:tcPr>
            <w:tcW w:w="1075"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财政归口科室</w:t>
            </w:r>
          </w:p>
        </w:tc>
        <w:tc>
          <w:tcPr>
            <w:tcW w:w="1162"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农业农村科</w:t>
            </w:r>
          </w:p>
        </w:tc>
        <w:tc>
          <w:tcPr>
            <w:tcW w:w="1236"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联系人</w:t>
            </w:r>
          </w:p>
        </w:tc>
        <w:tc>
          <w:tcPr>
            <w:tcW w:w="1080"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叶永昶</w:t>
            </w:r>
          </w:p>
        </w:tc>
        <w:tc>
          <w:tcPr>
            <w:tcW w:w="1092"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联系电话</w:t>
            </w:r>
          </w:p>
        </w:tc>
        <w:tc>
          <w:tcPr>
            <w:tcW w:w="2176" w:type="dxa"/>
            <w:gridSpan w:val="3"/>
            <w:tcBorders>
              <w:tl2br w:val="nil"/>
              <w:tr2bl w:val="nil"/>
            </w:tcBorders>
            <w:noWrap/>
            <w:vAlign w:val="center"/>
          </w:tcPr>
          <w:p w:rsidR="00230901" w:rsidRDefault="008415C4">
            <w:pPr>
              <w:widowControl/>
              <w:spacing w:line="579" w:lineRule="exact"/>
              <w:rPr>
                <w:rFonts w:ascii="宋体" w:eastAsia="方正仿宋_GBK" w:hAnsi="宋体" w:cs="方正仿宋_GBK"/>
                <w:color w:val="000000"/>
                <w:kern w:val="0"/>
                <w:sz w:val="24"/>
                <w:szCs w:val="24"/>
              </w:rPr>
            </w:pPr>
            <w:r>
              <w:rPr>
                <w:rFonts w:ascii="微软雅黑" w:eastAsia="微软雅黑" w:hAnsi="微软雅黑" w:hint="eastAsia"/>
                <w:color w:val="171A1D"/>
                <w:sz w:val="16"/>
                <w:szCs w:val="16"/>
                <w:shd w:val="clear" w:color="auto" w:fill="FFFFFF"/>
              </w:rPr>
              <w:t>47588190</w:t>
            </w:r>
          </w:p>
        </w:tc>
      </w:tr>
      <w:tr w:rsidR="00230901">
        <w:trPr>
          <w:trHeight w:val="469"/>
          <w:jc w:val="center"/>
        </w:trPr>
        <w:tc>
          <w:tcPr>
            <w:tcW w:w="847" w:type="dxa"/>
            <w:vMerge w:val="restart"/>
            <w:tcBorders>
              <w:tl2br w:val="nil"/>
              <w:tr2bl w:val="nil"/>
            </w:tcBorders>
            <w:noWrap/>
            <w:textDirection w:val="tbRlV"/>
            <w:vAlign w:val="center"/>
          </w:tcPr>
          <w:p w:rsidR="00230901" w:rsidRDefault="00B0215C">
            <w:pPr>
              <w:widowControl/>
              <w:spacing w:line="579" w:lineRule="exact"/>
              <w:ind w:left="113" w:right="113"/>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项目资金（万元）</w:t>
            </w:r>
          </w:p>
        </w:tc>
        <w:tc>
          <w:tcPr>
            <w:tcW w:w="1464" w:type="dxa"/>
            <w:gridSpan w:val="2"/>
            <w:vMerge w:val="restart"/>
            <w:tcBorders>
              <w:tl2br w:val="nil"/>
              <w:tr2bl w:val="nil"/>
            </w:tcBorders>
            <w:noWrap/>
            <w:vAlign w:val="center"/>
          </w:tcPr>
          <w:p w:rsidR="00230901" w:rsidRDefault="00B0215C">
            <w:pPr>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075"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162"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316" w:type="dxa"/>
            <w:gridSpan w:val="3"/>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092"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938"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1238"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230901">
        <w:trPr>
          <w:trHeight w:val="469"/>
          <w:jc w:val="center"/>
        </w:trPr>
        <w:tc>
          <w:tcPr>
            <w:tcW w:w="847" w:type="dxa"/>
            <w:vMerge/>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1464" w:type="dxa"/>
            <w:gridSpan w:val="2"/>
            <w:vMerge/>
            <w:tcBorders>
              <w:tl2br w:val="nil"/>
              <w:tr2bl w:val="nil"/>
            </w:tcBorders>
            <w:noWrap/>
            <w:vAlign w:val="center"/>
          </w:tcPr>
          <w:p w:rsidR="00230901" w:rsidRDefault="00230901">
            <w:pPr>
              <w:spacing w:line="579" w:lineRule="exact"/>
              <w:jc w:val="center"/>
              <w:rPr>
                <w:rFonts w:ascii="宋体" w:eastAsia="方正仿宋_GBK" w:hAnsi="宋体" w:cs="方正仿宋_GBK"/>
                <w:color w:val="000000"/>
                <w:kern w:val="0"/>
                <w:sz w:val="24"/>
                <w:szCs w:val="24"/>
              </w:rPr>
            </w:pPr>
          </w:p>
        </w:tc>
        <w:tc>
          <w:tcPr>
            <w:tcW w:w="1075"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162"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2316" w:type="dxa"/>
            <w:gridSpan w:val="3"/>
            <w:tcBorders>
              <w:tl2br w:val="nil"/>
              <w:tr2bl w:val="nil"/>
            </w:tcBorders>
            <w:noWrap/>
            <w:vAlign w:val="center"/>
          </w:tcPr>
          <w:p w:rsidR="00230901" w:rsidRDefault="00582E1A">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092" w:type="dxa"/>
            <w:tcBorders>
              <w:tl2br w:val="nil"/>
              <w:tr2bl w:val="nil"/>
            </w:tcBorders>
            <w:noWrap/>
            <w:vAlign w:val="center"/>
          </w:tcPr>
          <w:p w:rsidR="00230901" w:rsidRDefault="00230901">
            <w:pPr>
              <w:widowControl/>
              <w:spacing w:line="579" w:lineRule="exact"/>
              <w:jc w:val="center"/>
              <w:rPr>
                <w:rFonts w:ascii="宋体" w:eastAsia="方正仿宋_GBK" w:hAnsi="宋体" w:cs="方正仿宋_GBK"/>
                <w:color w:val="000000"/>
                <w:kern w:val="0"/>
                <w:sz w:val="24"/>
                <w:szCs w:val="24"/>
              </w:rPr>
            </w:pPr>
          </w:p>
        </w:tc>
        <w:tc>
          <w:tcPr>
            <w:tcW w:w="938" w:type="dxa"/>
            <w:tcBorders>
              <w:tl2br w:val="nil"/>
              <w:tr2bl w:val="nil"/>
            </w:tcBorders>
            <w:noWrap/>
            <w:vAlign w:val="center"/>
          </w:tcPr>
          <w:p w:rsidR="00230901" w:rsidRDefault="00230901">
            <w:pPr>
              <w:widowControl/>
              <w:spacing w:line="579" w:lineRule="exact"/>
              <w:jc w:val="center"/>
              <w:rPr>
                <w:rFonts w:ascii="宋体" w:eastAsia="方正仿宋_GBK" w:hAnsi="宋体" w:cs="方正仿宋_GBK"/>
                <w:kern w:val="0"/>
                <w:sz w:val="24"/>
                <w:szCs w:val="24"/>
              </w:rPr>
            </w:pPr>
          </w:p>
        </w:tc>
        <w:tc>
          <w:tcPr>
            <w:tcW w:w="1238" w:type="dxa"/>
            <w:gridSpan w:val="2"/>
            <w:tcBorders>
              <w:tl2br w:val="nil"/>
              <w:tr2bl w:val="nil"/>
            </w:tcBorders>
            <w:noWrap/>
            <w:vAlign w:val="center"/>
          </w:tcPr>
          <w:p w:rsidR="00230901" w:rsidRDefault="00230901">
            <w:pPr>
              <w:widowControl/>
              <w:spacing w:line="579" w:lineRule="exact"/>
              <w:jc w:val="center"/>
              <w:rPr>
                <w:rFonts w:ascii="宋体" w:eastAsia="方正仿宋_GBK" w:hAnsi="宋体" w:cs="方正仿宋_GBK"/>
                <w:color w:val="000000"/>
                <w:kern w:val="0"/>
                <w:sz w:val="24"/>
                <w:szCs w:val="24"/>
              </w:rPr>
            </w:pPr>
          </w:p>
        </w:tc>
      </w:tr>
      <w:tr w:rsidR="00230901">
        <w:trPr>
          <w:trHeight w:val="469"/>
          <w:jc w:val="center"/>
        </w:trPr>
        <w:tc>
          <w:tcPr>
            <w:tcW w:w="847" w:type="dxa"/>
            <w:vMerge/>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146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075"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162"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2316" w:type="dxa"/>
            <w:gridSpan w:val="3"/>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092"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38"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38"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r>
      <w:tr w:rsidR="00230901">
        <w:trPr>
          <w:trHeight w:val="469"/>
          <w:jc w:val="center"/>
        </w:trPr>
        <w:tc>
          <w:tcPr>
            <w:tcW w:w="847" w:type="dxa"/>
            <w:vMerge w:val="restart"/>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3017" w:type="dxa"/>
            <w:gridSpan w:val="5"/>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3000" w:type="dxa"/>
            <w:gridSpan w:val="4"/>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3268" w:type="dxa"/>
            <w:gridSpan w:val="4"/>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230901">
        <w:trPr>
          <w:trHeight w:val="1055"/>
          <w:jc w:val="center"/>
        </w:trPr>
        <w:tc>
          <w:tcPr>
            <w:tcW w:w="847" w:type="dxa"/>
            <w:vMerge/>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3017" w:type="dxa"/>
            <w:gridSpan w:val="5"/>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保障司勤人员待遇</w:t>
            </w:r>
          </w:p>
        </w:tc>
        <w:tc>
          <w:tcPr>
            <w:tcW w:w="3000" w:type="dxa"/>
            <w:gridSpan w:val="4"/>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保障司勤人员待遇，保障车辆正常运转</w:t>
            </w:r>
          </w:p>
        </w:tc>
        <w:tc>
          <w:tcPr>
            <w:tcW w:w="3268" w:type="dxa"/>
            <w:gridSpan w:val="4"/>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保障司勤人员待遇，保障车辆正常运转</w:t>
            </w:r>
          </w:p>
        </w:tc>
      </w:tr>
      <w:tr w:rsidR="00230901">
        <w:trPr>
          <w:trHeight w:val="469"/>
          <w:jc w:val="center"/>
        </w:trPr>
        <w:tc>
          <w:tcPr>
            <w:tcW w:w="847" w:type="dxa"/>
            <w:vMerge w:val="restart"/>
            <w:tcBorders>
              <w:tl2br w:val="nil"/>
              <w:tr2bl w:val="nil"/>
            </w:tcBorders>
            <w:noWrap/>
            <w:textDirection w:val="tbRlV"/>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绩效指标</w:t>
            </w:r>
          </w:p>
        </w:tc>
        <w:tc>
          <w:tcPr>
            <w:tcW w:w="756"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708"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709"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844"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972"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948"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80"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92"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284" w:type="dxa"/>
            <w:gridSpan w:val="2"/>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92" w:type="dxa"/>
            <w:tcBorders>
              <w:tl2br w:val="nil"/>
              <w:tr2bl w:val="nil"/>
            </w:tcBorders>
            <w:noWrap/>
            <w:vAlign w:val="center"/>
          </w:tcPr>
          <w:p w:rsidR="00230901" w:rsidRDefault="00B0215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230901">
        <w:trPr>
          <w:trHeight w:val="1323"/>
          <w:jc w:val="center"/>
        </w:trPr>
        <w:tc>
          <w:tcPr>
            <w:tcW w:w="847" w:type="dxa"/>
            <w:vMerge/>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提供就业岗位</w:t>
            </w:r>
          </w:p>
        </w:tc>
        <w:tc>
          <w:tcPr>
            <w:tcW w:w="70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个</w:t>
            </w:r>
          </w:p>
        </w:tc>
        <w:tc>
          <w:tcPr>
            <w:tcW w:w="709"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84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w:t>
            </w:r>
          </w:p>
        </w:tc>
        <w:tc>
          <w:tcPr>
            <w:tcW w:w="972"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w:t>
            </w:r>
          </w:p>
        </w:tc>
        <w:tc>
          <w:tcPr>
            <w:tcW w:w="94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128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892"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r>
      <w:tr w:rsidR="00230901">
        <w:trPr>
          <w:trHeight w:val="408"/>
          <w:jc w:val="center"/>
        </w:trPr>
        <w:tc>
          <w:tcPr>
            <w:tcW w:w="847"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安全驾驶车辆数</w:t>
            </w:r>
          </w:p>
        </w:tc>
        <w:tc>
          <w:tcPr>
            <w:tcW w:w="70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辆</w:t>
            </w:r>
          </w:p>
        </w:tc>
        <w:tc>
          <w:tcPr>
            <w:tcW w:w="709"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84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w:t>
            </w:r>
          </w:p>
        </w:tc>
        <w:tc>
          <w:tcPr>
            <w:tcW w:w="972"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w:t>
            </w:r>
          </w:p>
        </w:tc>
        <w:tc>
          <w:tcPr>
            <w:tcW w:w="94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20</w:t>
            </w:r>
          </w:p>
        </w:tc>
        <w:tc>
          <w:tcPr>
            <w:tcW w:w="128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20</w:t>
            </w:r>
          </w:p>
        </w:tc>
        <w:tc>
          <w:tcPr>
            <w:tcW w:w="892"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r>
      <w:tr w:rsidR="00230901">
        <w:trPr>
          <w:trHeight w:val="408"/>
          <w:jc w:val="center"/>
        </w:trPr>
        <w:tc>
          <w:tcPr>
            <w:tcW w:w="847"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稳定就业人员规模</w:t>
            </w:r>
          </w:p>
        </w:tc>
        <w:tc>
          <w:tcPr>
            <w:tcW w:w="70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人数</w:t>
            </w:r>
          </w:p>
        </w:tc>
        <w:tc>
          <w:tcPr>
            <w:tcW w:w="709"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84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w:t>
            </w:r>
          </w:p>
        </w:tc>
        <w:tc>
          <w:tcPr>
            <w:tcW w:w="972"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w:t>
            </w:r>
          </w:p>
        </w:tc>
        <w:tc>
          <w:tcPr>
            <w:tcW w:w="94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128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892"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r>
      <w:tr w:rsidR="00230901">
        <w:trPr>
          <w:trHeight w:val="408"/>
          <w:jc w:val="center"/>
        </w:trPr>
        <w:tc>
          <w:tcPr>
            <w:tcW w:w="847"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服务单位满意</w:t>
            </w:r>
            <w:r>
              <w:rPr>
                <w:rFonts w:ascii="宋体" w:eastAsia="方正仿宋_GBK" w:hAnsi="宋体" w:cs="方正仿宋_GBK" w:hint="eastAsia"/>
                <w:color w:val="000000"/>
                <w:kern w:val="0"/>
                <w:sz w:val="24"/>
                <w:szCs w:val="24"/>
              </w:rPr>
              <w:lastRenderedPageBreak/>
              <w:t>度</w:t>
            </w:r>
          </w:p>
        </w:tc>
        <w:tc>
          <w:tcPr>
            <w:tcW w:w="70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w:t>
            </w:r>
          </w:p>
        </w:tc>
        <w:tc>
          <w:tcPr>
            <w:tcW w:w="709"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84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72"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48"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11.11</w:t>
            </w:r>
          </w:p>
        </w:tc>
        <w:tc>
          <w:tcPr>
            <w:tcW w:w="1080"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84" w:type="dxa"/>
            <w:gridSpan w:val="2"/>
            <w:tcBorders>
              <w:tl2br w:val="nil"/>
              <w:tr2bl w:val="nil"/>
            </w:tcBorders>
            <w:noWrap/>
            <w:vAlign w:val="center"/>
          </w:tcPr>
          <w:p w:rsidR="00230901" w:rsidRDefault="00B0215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892" w:type="dxa"/>
            <w:tcBorders>
              <w:tl2br w:val="nil"/>
              <w:tr2bl w:val="nil"/>
            </w:tcBorders>
            <w:noWrap/>
            <w:vAlign w:val="center"/>
          </w:tcPr>
          <w:p w:rsidR="00230901" w:rsidRDefault="00230901">
            <w:pPr>
              <w:widowControl/>
              <w:spacing w:line="579" w:lineRule="exact"/>
              <w:rPr>
                <w:rFonts w:ascii="宋体" w:eastAsia="方正仿宋_GBK" w:hAnsi="宋体" w:cs="方正仿宋_GBK"/>
                <w:color w:val="000000"/>
                <w:kern w:val="0"/>
                <w:sz w:val="24"/>
                <w:szCs w:val="24"/>
              </w:rPr>
            </w:pPr>
          </w:p>
        </w:tc>
      </w:tr>
    </w:tbl>
    <w:p w:rsidR="00230901" w:rsidRDefault="00B0215C">
      <w:pPr>
        <w:pStyle w:val="a8"/>
        <w:numPr>
          <w:ilvl w:val="0"/>
          <w:numId w:val="6"/>
        </w:numPr>
        <w:tabs>
          <w:tab w:val="center" w:pos="4153"/>
          <w:tab w:val="left" w:pos="7275"/>
        </w:tabs>
        <w:spacing w:line="579" w:lineRule="exact"/>
        <w:ind w:firstLine="643"/>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lastRenderedPageBreak/>
        <w:t>绩效自评报告或案例</w:t>
      </w:r>
    </w:p>
    <w:p w:rsidR="00230901" w:rsidRDefault="00B0215C">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230901" w:rsidRDefault="00B0215C">
      <w:pPr>
        <w:pStyle w:val="a8"/>
        <w:numPr>
          <w:ilvl w:val="0"/>
          <w:numId w:val="6"/>
        </w:numPr>
        <w:tabs>
          <w:tab w:val="center" w:pos="4153"/>
          <w:tab w:val="left" w:pos="7275"/>
        </w:tabs>
        <w:spacing w:line="579" w:lineRule="exact"/>
        <w:ind w:firstLine="643"/>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230901" w:rsidRDefault="00B0215C" w:rsidP="000701C2">
      <w:pPr>
        <w:pStyle w:val="20"/>
        <w:autoSpaceDE w:val="0"/>
        <w:ind w:firstLine="640"/>
        <w:rPr>
          <w:rFonts w:ascii="方正仿宋_GBK" w:eastAsia="方正仿宋_GBK" w:hAnsi="方正仿宋_GBK" w:cs="方正仿宋_GBK"/>
          <w:sz w:val="32"/>
          <w:szCs w:val="32"/>
          <w:shd w:val="clear" w:color="auto" w:fill="FFFFFF"/>
        </w:rPr>
      </w:pPr>
      <w:r>
        <w:rPr>
          <w:rFonts w:eastAsia="方正仿宋_GBK" w:cs="方正仿宋_GBK" w:hint="eastAsia"/>
          <w:sz w:val="32"/>
          <w:szCs w:val="32"/>
        </w:rPr>
        <w:t>本单位</w:t>
      </w:r>
      <w:r>
        <w:rPr>
          <w:rFonts w:ascii="方正仿宋_GBK" w:eastAsia="方正仿宋_GBK" w:hAnsi="方正仿宋_GBK" w:cs="方正仿宋_GBK" w:hint="eastAsia"/>
          <w:sz w:val="32"/>
          <w:szCs w:val="32"/>
          <w:shd w:val="clear" w:color="auto" w:fill="FFFFFF"/>
        </w:rPr>
        <w:t>对</w:t>
      </w:r>
      <w:r>
        <w:rPr>
          <w:rFonts w:eastAsia="方正仿宋_GBK" w:cs="方正仿宋_GBK" w:hint="eastAsia"/>
          <w:sz w:val="32"/>
          <w:szCs w:val="32"/>
        </w:rPr>
        <w:t>非在编人员经费项目</w:t>
      </w:r>
      <w:r>
        <w:rPr>
          <w:rFonts w:ascii="方正仿宋_GBK" w:eastAsia="方正仿宋_GBK" w:hAnsi="方正仿宋_GBK" w:cs="方正仿宋_GBK" w:hint="eastAsia"/>
          <w:sz w:val="32"/>
          <w:szCs w:val="32"/>
          <w:shd w:val="clear" w:color="auto" w:fill="FFFFFF"/>
        </w:rPr>
        <w:t>开展了绩效评价，涉及财政拨款项目资金10万元，评价得分100分，完成年初设定的绩效目标。</w:t>
      </w:r>
    </w:p>
    <w:p w:rsidR="00230901" w:rsidRDefault="00B0215C">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230901" w:rsidRDefault="00B0215C">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230901" w:rsidRDefault="00B0215C">
      <w:pPr>
        <w:pStyle w:val="a8"/>
        <w:numPr>
          <w:ilvl w:val="0"/>
          <w:numId w:val="7"/>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230901" w:rsidRDefault="00B0215C">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部门应根据实际情况对专业名词进行解释，不得遗漏。示例：</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r>
        <w:rPr>
          <w:rFonts w:ascii="宋体" w:eastAsia="方正仿宋_GBK" w:hAnsi="宋体" w:cs="方正仿宋_GBK" w:hint="eastAsia"/>
          <w:sz w:val="32"/>
          <w:szCs w:val="32"/>
        </w:rPr>
        <w:lastRenderedPageBreak/>
        <w:t>行政单位收到的财政专户管理资金反映在本项内。</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（四）使用非财政拨款结余：指单位在当年的“财政拨款收入”、“事业收入”、“经营收入”、“其他收入”等不足以安排当年支出的情况下，使用以前年度积累的非财政拨款结余弥补本年度收支缺口的资金。</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（五）年初结转和结余：指单位上年结转本年使用的基本支出结转、项目支出结转和结余、经营结余。</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（六）结余分配：指单位按照国家有关规定，缴纳所得税、提取专用基金、转入非财政拨款结余等当年结余的分配情况。</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（七）年末结转和结余：指单位结转下年的基本支出结转、项目支出结转和结余、经营结余。</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（九）项目支出：指在基本支出之外为完成特定行政任务和事业发展目标所发生的支出。</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w:t>
      </w:r>
      <w:r>
        <w:rPr>
          <w:rFonts w:ascii="宋体" w:eastAsia="方正仿宋_GBK" w:hAnsi="宋体" w:cs="方正仿宋_GBK" w:hint="eastAsia"/>
          <w:sz w:val="32"/>
          <w:szCs w:val="32"/>
        </w:rPr>
        <w:lastRenderedPageBreak/>
        <w:t>务用车运行维护费反映单位按规定保留的公务用车燃料费、维修费、过路过桥费、保险费、安全奖励费用等支出；公务接待费反映单位按规定开支的各类公务接待（含外宾接待）支出。</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（十二）工资福利支出（支出经济分类科目类级）：反映单位开支的在职职工和编制外长期聘用人员的各类劳动报酬，以及为上述人员缴纳的各项社会保险费等。</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（十三）商品和服务支出（支出经济分类科目类级）：反映单位购买商品和服务的支出（不包括用于购置固定资产的支出、战略性和应急储备支出）。</w:t>
      </w:r>
    </w:p>
    <w:p w:rsidR="00230901" w:rsidRDefault="00B0215C">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（十四）对个人和家庭的补助（支出经济分类科目类级）：反映用于对个人和家庭的补助支出。</w:t>
      </w:r>
    </w:p>
    <w:p w:rsidR="00230901" w:rsidRDefault="00B0215C">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230901" w:rsidRDefault="00B0215C">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230901" w:rsidRDefault="00B0215C">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本单位决算公开信息反馈和联系方式：</w:t>
      </w:r>
    </w:p>
    <w:p w:rsidR="00230901" w:rsidRDefault="00B0215C">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lastRenderedPageBreak/>
        <w:t>联系人：唐婷婷</w:t>
      </w:r>
      <w:r w:rsidR="0064373D">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联系电话：</w:t>
      </w:r>
      <w:r>
        <w:rPr>
          <w:rFonts w:ascii="宋体" w:eastAsia="方正仿宋_GBK" w:hAnsi="宋体" w:cs="方正仿宋_GBK" w:hint="eastAsia"/>
          <w:sz w:val="32"/>
          <w:szCs w:val="32"/>
        </w:rPr>
        <w:t>023-47522583</w:t>
      </w:r>
    </w:p>
    <w:p w:rsidR="00230901" w:rsidRDefault="00230901">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p>
    <w:sectPr w:rsidR="00230901" w:rsidSect="00230901">
      <w:footerReference w:type="even" r:id="rId7"/>
      <w:footerReference w:type="default" r:id="rId8"/>
      <w:pgSz w:w="11906" w:h="16838"/>
      <w:pgMar w:top="1587" w:right="1474" w:bottom="1474"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0B" w:rsidRDefault="004E3A0B" w:rsidP="00230901">
      <w:r>
        <w:separator/>
      </w:r>
    </w:p>
  </w:endnote>
  <w:endnote w:type="continuationSeparator" w:id="1">
    <w:p w:rsidR="004E3A0B" w:rsidRDefault="004E3A0B" w:rsidP="00230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01" w:rsidRDefault="00B0215C">
    <w:pPr>
      <w:pStyle w:val="a4"/>
    </w:pPr>
    <w:r>
      <w:rPr>
        <w:sz w:val="28"/>
        <w:szCs w:val="28"/>
      </w:rPr>
      <w:t xml:space="preserve">— </w:t>
    </w:r>
    <w:r w:rsidR="009E2543">
      <w:rPr>
        <w:sz w:val="28"/>
        <w:szCs w:val="28"/>
      </w:rPr>
      <w:fldChar w:fldCharType="begin"/>
    </w:r>
    <w:r>
      <w:rPr>
        <w:sz w:val="28"/>
        <w:szCs w:val="28"/>
      </w:rPr>
      <w:instrText>PAGE   \* MERGEFORMAT</w:instrText>
    </w:r>
    <w:r w:rsidR="009E2543">
      <w:rPr>
        <w:sz w:val="28"/>
        <w:szCs w:val="28"/>
      </w:rPr>
      <w:fldChar w:fldCharType="separate"/>
    </w:r>
    <w:r w:rsidR="00582E1A" w:rsidRPr="00582E1A">
      <w:rPr>
        <w:noProof/>
        <w:sz w:val="28"/>
        <w:szCs w:val="28"/>
        <w:lang w:val="zh-CN"/>
      </w:rPr>
      <w:t>8</w:t>
    </w:r>
    <w:r w:rsidR="009E2543">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01" w:rsidRDefault="00B0215C">
    <w:pPr>
      <w:pStyle w:val="a4"/>
      <w:jc w:val="right"/>
    </w:pPr>
    <w:r>
      <w:rPr>
        <w:sz w:val="28"/>
        <w:szCs w:val="28"/>
      </w:rPr>
      <w:t xml:space="preserve">— </w:t>
    </w:r>
    <w:r w:rsidR="009E2543">
      <w:rPr>
        <w:sz w:val="28"/>
        <w:szCs w:val="28"/>
      </w:rPr>
      <w:fldChar w:fldCharType="begin"/>
    </w:r>
    <w:r>
      <w:rPr>
        <w:sz w:val="28"/>
        <w:szCs w:val="28"/>
      </w:rPr>
      <w:instrText>PAGE   \* MERGEFORMAT</w:instrText>
    </w:r>
    <w:r w:rsidR="009E2543">
      <w:rPr>
        <w:sz w:val="28"/>
        <w:szCs w:val="28"/>
      </w:rPr>
      <w:fldChar w:fldCharType="separate"/>
    </w:r>
    <w:r w:rsidR="00582E1A" w:rsidRPr="00582E1A">
      <w:rPr>
        <w:noProof/>
        <w:sz w:val="28"/>
        <w:szCs w:val="28"/>
        <w:lang w:val="zh-CN"/>
      </w:rPr>
      <w:t>9</w:t>
    </w:r>
    <w:r w:rsidR="009E2543">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0B" w:rsidRDefault="004E3A0B" w:rsidP="00230901">
      <w:r>
        <w:separator/>
      </w:r>
    </w:p>
  </w:footnote>
  <w:footnote w:type="continuationSeparator" w:id="1">
    <w:p w:rsidR="004E3A0B" w:rsidRDefault="004E3A0B" w:rsidP="00230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23D06D"/>
    <w:multiLevelType w:val="singleLevel"/>
    <w:tmpl w:val="BC23D06D"/>
    <w:lvl w:ilvl="0">
      <w:start w:val="4"/>
      <w:numFmt w:val="chineseCounting"/>
      <w:suff w:val="nothing"/>
      <w:lvlText w:val="%1、"/>
      <w:lvlJc w:val="left"/>
      <w:rPr>
        <w:rFonts w:hint="eastAsia"/>
      </w:rPr>
    </w:lvl>
  </w:abstractNum>
  <w:abstractNum w:abstractNumId="1">
    <w:nsid w:val="BE15FB01"/>
    <w:multiLevelType w:val="singleLevel"/>
    <w:tmpl w:val="BE15FB01"/>
    <w:lvl w:ilvl="0">
      <w:start w:val="6"/>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170F8B3D"/>
    <w:multiLevelType w:val="singleLevel"/>
    <w:tmpl w:val="170F8B3D"/>
    <w:lvl w:ilvl="0">
      <w:start w:val="1"/>
      <w:numFmt w:val="decimal"/>
      <w:suff w:val="space"/>
      <w:lvlText w:val="%1."/>
      <w:lvlJc w:val="left"/>
    </w:lvl>
  </w:abstractNum>
  <w:abstractNum w:abstractNumId="4">
    <w:nsid w:val="36AF54E0"/>
    <w:multiLevelType w:val="singleLevel"/>
    <w:tmpl w:val="36AF54E0"/>
    <w:lvl w:ilvl="0">
      <w:start w:val="2"/>
      <w:numFmt w:val="decimal"/>
      <w:suff w:val="space"/>
      <w:lvlText w:val="%1."/>
      <w:lvlJc w:val="left"/>
    </w:lvl>
  </w:abstractNum>
  <w:abstractNum w:abstractNumId="5">
    <w:nsid w:val="6BB1AE55"/>
    <w:multiLevelType w:val="singleLevel"/>
    <w:tmpl w:val="6BB1AE55"/>
    <w:lvl w:ilvl="0">
      <w:start w:val="1"/>
      <w:numFmt w:val="chineseCounting"/>
      <w:suff w:val="nothing"/>
      <w:lvlText w:val="（%1）"/>
      <w:lvlJc w:val="left"/>
      <w:rPr>
        <w:rFonts w:hint="eastAsia"/>
      </w:rPr>
    </w:lvl>
  </w:abstractNum>
  <w:abstractNum w:abstractNumId="6">
    <w:nsid w:val="7FC6D37E"/>
    <w:multiLevelType w:val="singleLevel"/>
    <w:tmpl w:val="7FC6D37E"/>
    <w:lvl w:ilvl="0">
      <w:start w:val="2"/>
      <w:numFmt w:val="chineseCounting"/>
      <w:suff w:val="nothing"/>
      <w:lvlText w:val="（%1）"/>
      <w:lvlJc w:val="left"/>
      <w:rPr>
        <w:rFonts w:hint="eastAsia"/>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NotTrackMoves/>
  <w:defaultTabStop w:val="420"/>
  <w:evenAndOddHeaders/>
  <w:drawingGridHorizontalSpacing w:val="21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E12"/>
    <w:rsid w:val="F3FD6B2F"/>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01C2"/>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0901"/>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3A0B"/>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2E1A"/>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3D"/>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5C4"/>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E2543"/>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215C"/>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2C72207"/>
    <w:rsid w:val="038E49EB"/>
    <w:rsid w:val="03A45696"/>
    <w:rsid w:val="03B74B35"/>
    <w:rsid w:val="03D862B6"/>
    <w:rsid w:val="03FB4D0B"/>
    <w:rsid w:val="045B484E"/>
    <w:rsid w:val="047841EE"/>
    <w:rsid w:val="0497336B"/>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8B3C08"/>
    <w:rsid w:val="0F931176"/>
    <w:rsid w:val="0FC0132B"/>
    <w:rsid w:val="0FCF39BD"/>
    <w:rsid w:val="100A1A0C"/>
    <w:rsid w:val="1016071E"/>
    <w:rsid w:val="10325A41"/>
    <w:rsid w:val="10656E2F"/>
    <w:rsid w:val="1084224C"/>
    <w:rsid w:val="10DB232E"/>
    <w:rsid w:val="11121DE4"/>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A00084"/>
    <w:rsid w:val="1ECB269E"/>
    <w:rsid w:val="1EE66C3C"/>
    <w:rsid w:val="1EF96BEA"/>
    <w:rsid w:val="1F116510"/>
    <w:rsid w:val="1F1C3B7B"/>
    <w:rsid w:val="200551AB"/>
    <w:rsid w:val="201C7BDE"/>
    <w:rsid w:val="205932DE"/>
    <w:rsid w:val="20A03801"/>
    <w:rsid w:val="20BC5FF2"/>
    <w:rsid w:val="219D4F8D"/>
    <w:rsid w:val="21CF3F72"/>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B65002"/>
    <w:rsid w:val="2EC6420A"/>
    <w:rsid w:val="2EF3059D"/>
    <w:rsid w:val="2F1C3DF2"/>
    <w:rsid w:val="2F2C0A85"/>
    <w:rsid w:val="2F414FFF"/>
    <w:rsid w:val="2F8D5831"/>
    <w:rsid w:val="2FA6445E"/>
    <w:rsid w:val="2FAC25DB"/>
    <w:rsid w:val="2FAF3097"/>
    <w:rsid w:val="2FB617C0"/>
    <w:rsid w:val="300C6664"/>
    <w:rsid w:val="30450B4E"/>
    <w:rsid w:val="30465275"/>
    <w:rsid w:val="31061102"/>
    <w:rsid w:val="313A1C7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C4D6CFE"/>
    <w:rsid w:val="3C905B70"/>
    <w:rsid w:val="3D7312A1"/>
    <w:rsid w:val="3D8F2FFE"/>
    <w:rsid w:val="3D8F779B"/>
    <w:rsid w:val="3DB31849"/>
    <w:rsid w:val="3E15702B"/>
    <w:rsid w:val="3E247857"/>
    <w:rsid w:val="3E927592"/>
    <w:rsid w:val="3E984240"/>
    <w:rsid w:val="3EAD34C3"/>
    <w:rsid w:val="3EBE7C37"/>
    <w:rsid w:val="3F120426"/>
    <w:rsid w:val="3F1976B6"/>
    <w:rsid w:val="3F5E6431"/>
    <w:rsid w:val="3F8C0907"/>
    <w:rsid w:val="3F9B5E29"/>
    <w:rsid w:val="3FA52EB6"/>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ED7A5B"/>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284D7B"/>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483EC3"/>
    <w:rsid w:val="4FDE358A"/>
    <w:rsid w:val="501832A3"/>
    <w:rsid w:val="50632B28"/>
    <w:rsid w:val="50C63B0F"/>
    <w:rsid w:val="50F36C04"/>
    <w:rsid w:val="51011AC0"/>
    <w:rsid w:val="51086CD3"/>
    <w:rsid w:val="511B035E"/>
    <w:rsid w:val="512B6610"/>
    <w:rsid w:val="517A3160"/>
    <w:rsid w:val="51D53FD0"/>
    <w:rsid w:val="52321E1A"/>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502D42"/>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0E6369"/>
    <w:rsid w:val="5F3F14B1"/>
    <w:rsid w:val="5F4A1944"/>
    <w:rsid w:val="5F736A1C"/>
    <w:rsid w:val="5F7C1524"/>
    <w:rsid w:val="61431576"/>
    <w:rsid w:val="61B07674"/>
    <w:rsid w:val="61D16983"/>
    <w:rsid w:val="6318341B"/>
    <w:rsid w:val="63B16DA6"/>
    <w:rsid w:val="64325BAA"/>
    <w:rsid w:val="6474563E"/>
    <w:rsid w:val="64DD2E2F"/>
    <w:rsid w:val="650C79CC"/>
    <w:rsid w:val="651F0B40"/>
    <w:rsid w:val="654A3BA1"/>
    <w:rsid w:val="65720792"/>
    <w:rsid w:val="65727ED4"/>
    <w:rsid w:val="658D11B9"/>
    <w:rsid w:val="65952718"/>
    <w:rsid w:val="65A15618"/>
    <w:rsid w:val="660467A7"/>
    <w:rsid w:val="66471D7C"/>
    <w:rsid w:val="667D6EFB"/>
    <w:rsid w:val="66FD7813"/>
    <w:rsid w:val="67825ED9"/>
    <w:rsid w:val="67A0385B"/>
    <w:rsid w:val="67B37940"/>
    <w:rsid w:val="686C2A53"/>
    <w:rsid w:val="689C4BB9"/>
    <w:rsid w:val="68A245E2"/>
    <w:rsid w:val="68B0544A"/>
    <w:rsid w:val="690F3CAF"/>
    <w:rsid w:val="6A0C28CE"/>
    <w:rsid w:val="6A102F95"/>
    <w:rsid w:val="6A650A4D"/>
    <w:rsid w:val="6A845731"/>
    <w:rsid w:val="6B7060C6"/>
    <w:rsid w:val="6C60029B"/>
    <w:rsid w:val="6C927168"/>
    <w:rsid w:val="6D8C5247"/>
    <w:rsid w:val="6E904287"/>
    <w:rsid w:val="6EA83056"/>
    <w:rsid w:val="6EB55F1D"/>
    <w:rsid w:val="6EBE51FD"/>
    <w:rsid w:val="6EF364B6"/>
    <w:rsid w:val="6F2540A9"/>
    <w:rsid w:val="700B56BF"/>
    <w:rsid w:val="700F5C73"/>
    <w:rsid w:val="70651B61"/>
    <w:rsid w:val="70817FC6"/>
    <w:rsid w:val="70AF0E0B"/>
    <w:rsid w:val="70C87CAA"/>
    <w:rsid w:val="70CF179B"/>
    <w:rsid w:val="71723BF8"/>
    <w:rsid w:val="71B420D5"/>
    <w:rsid w:val="71B459C5"/>
    <w:rsid w:val="71CB4143"/>
    <w:rsid w:val="721C092E"/>
    <w:rsid w:val="723D7934"/>
    <w:rsid w:val="727266B8"/>
    <w:rsid w:val="72804A5F"/>
    <w:rsid w:val="72C81D24"/>
    <w:rsid w:val="73510736"/>
    <w:rsid w:val="73772C48"/>
    <w:rsid w:val="73B34B68"/>
    <w:rsid w:val="73C87749"/>
    <w:rsid w:val="742C1313"/>
    <w:rsid w:val="742D20BE"/>
    <w:rsid w:val="74300B51"/>
    <w:rsid w:val="74373E1F"/>
    <w:rsid w:val="74376BB8"/>
    <w:rsid w:val="74557B08"/>
    <w:rsid w:val="745909D3"/>
    <w:rsid w:val="74757604"/>
    <w:rsid w:val="756026FD"/>
    <w:rsid w:val="757027FD"/>
    <w:rsid w:val="764C7835"/>
    <w:rsid w:val="76606237"/>
    <w:rsid w:val="76992564"/>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C65AFB"/>
    <w:rsid w:val="7EF23A73"/>
    <w:rsid w:val="7F523D4E"/>
    <w:rsid w:val="7F7D4793"/>
    <w:rsid w:val="7FAC64C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01"/>
    <w:pPr>
      <w:widowControl w:val="0"/>
      <w:jc w:val="both"/>
    </w:pPr>
    <w:rPr>
      <w:kern w:val="2"/>
      <w:sz w:val="21"/>
      <w:szCs w:val="22"/>
    </w:rPr>
  </w:style>
  <w:style w:type="paragraph" w:styleId="2">
    <w:name w:val="heading 2"/>
    <w:basedOn w:val="a"/>
    <w:next w:val="a"/>
    <w:qFormat/>
    <w:rsid w:val="00230901"/>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30901"/>
    <w:rPr>
      <w:sz w:val="18"/>
      <w:szCs w:val="18"/>
      <w:lang/>
    </w:rPr>
  </w:style>
  <w:style w:type="paragraph" w:styleId="a4">
    <w:name w:val="footer"/>
    <w:basedOn w:val="a"/>
    <w:link w:val="Char1"/>
    <w:uiPriority w:val="99"/>
    <w:unhideWhenUsed/>
    <w:qFormat/>
    <w:rsid w:val="00230901"/>
    <w:pPr>
      <w:tabs>
        <w:tab w:val="center" w:pos="4153"/>
        <w:tab w:val="right" w:pos="8306"/>
      </w:tabs>
      <w:snapToGrid w:val="0"/>
      <w:jc w:val="left"/>
    </w:pPr>
    <w:rPr>
      <w:kern w:val="0"/>
      <w:sz w:val="18"/>
      <w:szCs w:val="18"/>
      <w:lang/>
    </w:rPr>
  </w:style>
  <w:style w:type="paragraph" w:styleId="a5">
    <w:name w:val="header"/>
    <w:basedOn w:val="a"/>
    <w:link w:val="Char0"/>
    <w:uiPriority w:val="99"/>
    <w:unhideWhenUsed/>
    <w:qFormat/>
    <w:rsid w:val="00230901"/>
    <w:pPr>
      <w:pBdr>
        <w:bottom w:val="single" w:sz="6" w:space="1" w:color="auto"/>
      </w:pBdr>
      <w:tabs>
        <w:tab w:val="center" w:pos="4153"/>
        <w:tab w:val="right" w:pos="8306"/>
      </w:tabs>
      <w:snapToGrid w:val="0"/>
      <w:jc w:val="center"/>
    </w:pPr>
    <w:rPr>
      <w:kern w:val="0"/>
      <w:sz w:val="18"/>
      <w:szCs w:val="18"/>
      <w:lang/>
    </w:rPr>
  </w:style>
  <w:style w:type="paragraph" w:styleId="a6">
    <w:name w:val="Normal (Web)"/>
    <w:basedOn w:val="a"/>
    <w:qFormat/>
    <w:rsid w:val="00230901"/>
    <w:pPr>
      <w:spacing w:before="100" w:beforeAutospacing="1" w:after="100" w:afterAutospacing="1"/>
      <w:jc w:val="left"/>
    </w:pPr>
    <w:rPr>
      <w:kern w:val="0"/>
      <w:sz w:val="24"/>
    </w:rPr>
  </w:style>
  <w:style w:type="character" w:styleId="a7">
    <w:name w:val="Strong"/>
    <w:basedOn w:val="a0"/>
    <w:qFormat/>
    <w:rsid w:val="00230901"/>
    <w:rPr>
      <w:b/>
    </w:rPr>
  </w:style>
  <w:style w:type="paragraph" w:styleId="a8">
    <w:name w:val="List Paragraph"/>
    <w:basedOn w:val="a"/>
    <w:uiPriority w:val="34"/>
    <w:qFormat/>
    <w:rsid w:val="00230901"/>
    <w:pPr>
      <w:ind w:firstLineChars="200" w:firstLine="420"/>
    </w:pPr>
  </w:style>
  <w:style w:type="paragraph" w:customStyle="1" w:styleId="Char2">
    <w:name w:val="普通(网站) Char"/>
    <w:basedOn w:val="a"/>
    <w:qFormat/>
    <w:rsid w:val="00230901"/>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sid w:val="00230901"/>
    <w:rPr>
      <w:sz w:val="18"/>
      <w:szCs w:val="18"/>
    </w:rPr>
  </w:style>
  <w:style w:type="character" w:customStyle="1" w:styleId="Char1">
    <w:name w:val="页脚 Char1"/>
    <w:link w:val="a4"/>
    <w:uiPriority w:val="99"/>
    <w:qFormat/>
    <w:rsid w:val="00230901"/>
    <w:rPr>
      <w:sz w:val="18"/>
      <w:szCs w:val="18"/>
    </w:rPr>
  </w:style>
  <w:style w:type="character" w:customStyle="1" w:styleId="Char">
    <w:name w:val="批注框文本 Char"/>
    <w:link w:val="a3"/>
    <w:uiPriority w:val="99"/>
    <w:semiHidden/>
    <w:qFormat/>
    <w:rsid w:val="00230901"/>
    <w:rPr>
      <w:kern w:val="2"/>
      <w:sz w:val="18"/>
      <w:szCs w:val="18"/>
    </w:rPr>
  </w:style>
  <w:style w:type="character" w:customStyle="1" w:styleId="23">
    <w:name w:val="23"/>
    <w:basedOn w:val="a0"/>
    <w:qFormat/>
    <w:rsid w:val="00230901"/>
    <w:rPr>
      <w:rFonts w:ascii="Times New Roman" w:hAnsi="Times New Roman" w:cs="Times New Roman" w:hint="default"/>
      <w:b/>
    </w:rPr>
  </w:style>
  <w:style w:type="character" w:customStyle="1" w:styleId="Char3">
    <w:name w:val="页脚 Char"/>
    <w:uiPriority w:val="99"/>
    <w:qFormat/>
    <w:rsid w:val="00230901"/>
    <w:rPr>
      <w:kern w:val="2"/>
      <w:sz w:val="18"/>
      <w:szCs w:val="18"/>
    </w:rPr>
  </w:style>
  <w:style w:type="paragraph" w:customStyle="1" w:styleId="1">
    <w:name w:val="列出段落1"/>
    <w:basedOn w:val="a"/>
    <w:uiPriority w:val="99"/>
    <w:qFormat/>
    <w:rsid w:val="00230901"/>
    <w:pPr>
      <w:ind w:firstLineChars="200" w:firstLine="420"/>
    </w:pPr>
  </w:style>
  <w:style w:type="paragraph" w:customStyle="1" w:styleId="20">
    <w:name w:val="列出段落2"/>
    <w:uiPriority w:val="99"/>
    <w:qFormat/>
    <w:rsid w:val="00230901"/>
    <w:pPr>
      <w:ind w:firstLineChars="200" w:firstLine="420"/>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879</Words>
  <Characters>5012</Characters>
  <Application>Microsoft Office Word</Application>
  <DocSecurity>0</DocSecurity>
  <Lines>41</Lines>
  <Paragraphs>11</Paragraphs>
  <ScaleCrop>false</ScaleCrop>
  <Company>微软中国</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9</cp:revision>
  <cp:lastPrinted>2025-08-18T03:36:00Z</cp:lastPrinted>
  <dcterms:created xsi:type="dcterms:W3CDTF">2021-07-06T14:32:00Z</dcterms:created>
  <dcterms:modified xsi:type="dcterms:W3CDTF">2025-08-18T08:48:00Z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C02B21700C224970836DF3146FD9286C_13</vt:lpwstr>
  </property>
  <property fmtid="{D5CDD505-2E9C-101B-9397-08002B2CF9AE}" pid="4" name="KSOTemplateDocerSaveRecord">
    <vt:lpwstr>eyJoZGlkIjoiNzBlY2NiNzI2Y2MwNTY1ODZhNzAzMTJkY2IwODZhY2QifQ==</vt:lpwstr>
  </property>
</Properties>
</file>