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pacing w:before="0" w:beforeAutospacing="0"/>
        <w:jc w:val="center"/>
        <w:rPr>
          <w:rFonts w:ascii="方正小标宋_GBK" w:eastAsia="方正小标宋_GBK" w:cs="方正小标宋_GBK"/>
          <w:sz w:val="36"/>
          <w:szCs w:val="36"/>
        </w:rPr>
      </w:pPr>
      <w:r>
        <w:rPr>
          <w:rFonts w:ascii="方正小标宋_GBK" w:eastAsia="方正小标宋_GBK" w:cs="方正小标宋_GBK"/>
          <w:sz w:val="36"/>
          <w:szCs w:val="36"/>
        </w:rPr>
        <w:t>重庆市江津区农村经济经营管理站</w:t>
      </w:r>
    </w:p>
    <w:p>
      <w:pPr>
        <w:pStyle w:val="19"/>
        <w:spacing w:before="0" w:beforeAutospacing="0"/>
        <w:jc w:val="center"/>
        <w:rPr>
          <w:rFonts w:ascii="方正小标宋_GBK" w:eastAsia="方正小标宋_GBK" w:cs="方正小标宋_GBK"/>
          <w:sz w:val="36"/>
          <w:szCs w:val="36"/>
          <w:shd w:val="clear" w:color="auto" w:fill="FFFFFF"/>
        </w:rPr>
      </w:pPr>
      <w:r>
        <w:rPr>
          <w:rFonts w:ascii="方正小标宋_GBK" w:eastAsia="方正小标宋_GBK" w:cs="方正小标宋_GBK" w:hint="eastAsia"/>
          <w:sz w:val="36"/>
          <w:szCs w:val="36"/>
          <w:shd w:val="clear" w:color="auto" w:fill="FFFFFF"/>
          <w:lang w:eastAsia="zh-CN"/>
        </w:rPr>
        <w:t>2024年</w:t>
      </w:r>
      <w:r>
        <w:rPr>
          <w:rFonts w:ascii="方正小标宋_GBK" w:eastAsia="方正小标宋_GBK" w:cs="方正小标宋_GBK"/>
          <w:sz w:val="36"/>
          <w:szCs w:val="36"/>
          <w:shd w:val="clear" w:color="auto" w:fill="FFFFFF"/>
        </w:rPr>
        <w:t>度决算公开说明</w:t>
      </w:r>
    </w:p>
    <w:p>
      <w:pPr>
        <w:pStyle w:val="19"/>
        <w:numPr>
          <w:ilvl w:val="0"/>
          <w:numId w:val="1"/>
        </w:numPr>
        <w:shd w:val="clear" w:color="auto" w:fill="FFFFFF"/>
        <w:rPr>
          <w:rFonts w:ascii="方正仿宋_GBK" w:eastAsia="方正仿宋_GBK" w:hint="eastAsia"/>
          <w:sz w:val="32"/>
          <w:szCs w:val="32"/>
        </w:rPr>
      </w:pPr>
      <w:r>
        <w:rPr>
          <w:rStyle w:val="20"/>
          <w:rFonts w:ascii="黑体" w:eastAsia="黑体" w:cs="黑体"/>
          <w:sz w:val="32"/>
          <w:szCs w:val="32"/>
          <w:shd w:val="clear" w:color="auto" w:fill="FFFFFF"/>
        </w:rPr>
        <w:t>单位基本情况</w:t>
      </w:r>
    </w:p>
    <w:p>
      <w:pPr>
        <w:pStyle w:val="19"/>
        <w:shd w:val="clear" w:color="auto" w:fill="FFFFFF"/>
        <w:rPr>
          <w:rFonts w:ascii="方正仿宋_GBK" w:eastAsia="方正仿宋_GBK" w:hint="eastAsia"/>
          <w:sz w:val="32"/>
          <w:szCs w:val="32"/>
        </w:rPr>
      </w:pPr>
      <w:r>
        <w:rPr>
          <w:rFonts w:ascii="方正仿宋_GBK" w:eastAsia="方正仿宋_GBK" w:hint="eastAsia"/>
          <w:sz w:val="32"/>
          <w:szCs w:val="32"/>
        </w:rPr>
        <w:t>(一)单位</w:t>
      </w:r>
      <w:r>
        <w:rPr>
          <w:rFonts w:ascii="方正仿宋_GBK" w:eastAsia="方正仿宋_GBK"/>
          <w:sz w:val="32"/>
          <w:szCs w:val="32"/>
        </w:rPr>
        <w:t>职能职责</w:t>
      </w:r>
      <w:r>
        <w:rPr>
          <w:rFonts w:ascii="方正仿宋_GBK" w:eastAsia="方正仿宋_GBK" w:hint="eastAsia"/>
          <w:sz w:val="32"/>
          <w:szCs w:val="32"/>
        </w:rPr>
        <w:t>。</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重庆市江津区农村经济经营管理站（挂“重庆市江津区农村集体财务审计管理中心”牌子）</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1、负责农村土地承包经营及流转服务，指导农村土地所有权、承包权、经营权分置实施；</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2、承担农村涉农村（社区）、社（组）财务审计业务，提供政策咨询服务；</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3、指导农村新型经营主体培育和发展（农业产业化龙头企业、农民专业合作社、家庭农场、种养大户）、村社集体经济组织建设和发展；</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4、做好农村闲置宅基地和闲置农房利用工作；</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5、农村经济及农民负担数据收集，对农村经济收支、农民收入与农民负担情况进行收集、汇总，为减轻农民负担做好服务工作；</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6、负责一事一议筹资筹劳工作；</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7、负责农村集体三资(资金、资源、资产)管理的业务指导；</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8、负责农村经济统计和全国固定观察点统计；</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9、承办农业保险；</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10、负责设施农业用地备案的审查；</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11、负责农村土地纠纷调解仲裁的材料搜集；</w:t>
      </w:r>
    </w:p>
    <w:p>
      <w:pPr>
        <w:pStyle w:val="25"/>
        <w:tabs>
          <w:tab w:val="center" w:pos="4153"/>
          <w:tab w:val="left" w:pos="7275"/>
        </w:tabs>
        <w:spacing w:line="600" w:lineRule="exact"/>
        <w:jc w:val="left"/>
        <w:rPr>
          <w:rFonts w:ascii="方正仿宋_GBK" w:eastAsia="方正仿宋_GBK" w:hint="eastAsia"/>
          <w:sz w:val="32"/>
          <w:szCs w:val="32"/>
        </w:rPr>
      </w:pPr>
      <w:r>
        <w:rPr>
          <w:rFonts w:ascii="方正仿宋_GBK" w:eastAsia="方正仿宋_GBK" w:hint="eastAsia"/>
          <w:sz w:val="32"/>
          <w:szCs w:val="32"/>
        </w:rPr>
        <w:t>12、完成行政主管部门交办的其他工作。</w:t>
      </w:r>
    </w:p>
    <w:p>
      <w:pPr>
        <w:numPr>
          <w:ilvl w:val="0"/>
          <w:numId w:val="2"/>
        </w:numPr>
        <w:spacing w:line="540" w:lineRule="exact"/>
        <w:ind w:left="0" w:firstLineChars="200" w:firstLine="640"/>
        <w:rPr>
          <w:rFonts w:ascii="方正楷体_GBK" w:eastAsia="方正楷体_GBK" w:hint="eastAsia"/>
          <w:sz w:val="32"/>
          <w:szCs w:val="32"/>
        </w:rPr>
      </w:pPr>
      <w:r>
        <w:rPr>
          <w:rFonts w:ascii="方正楷体_GBK" w:eastAsia="方正楷体_GBK" w:hint="eastAsia"/>
          <w:sz w:val="32"/>
          <w:szCs w:val="32"/>
        </w:rPr>
        <w:t>机构设置</w:t>
      </w:r>
    </w:p>
    <w:p>
      <w:pPr>
        <w:spacing w:line="540" w:lineRule="exact"/>
        <w:ind w:firstLineChars="200" w:firstLine="640"/>
        <w:rPr>
          <w:rStyle w:val="20"/>
          <w:rFonts w:ascii="黑体" w:eastAsia="黑体" w:cs="黑体"/>
          <w:sz w:val="32"/>
          <w:szCs w:val="32"/>
          <w:shd w:val="clear" w:color="auto" w:fill="FFFFFF"/>
        </w:rPr>
      </w:pPr>
      <w:r>
        <w:rPr>
          <w:rFonts w:ascii="方正仿宋_GBK" w:eastAsia="方正仿宋_GBK" w:hint="eastAsia"/>
          <w:sz w:val="32"/>
          <w:szCs w:val="32"/>
        </w:rPr>
        <w:t>本单位属于重庆市江津区农业农村委员会直属全额拨款参公事业单位。编制1</w:t>
      </w:r>
      <w:r>
        <w:rPr>
          <w:rFonts w:ascii="方正仿宋_GBK" w:eastAsia="方正仿宋_GBK" w:hint="eastAsia"/>
          <w:sz w:val="32"/>
          <w:szCs w:val="32"/>
          <w:lang w:val="en-US" w:eastAsia="zh-CN"/>
        </w:rPr>
        <w:t>6</w:t>
      </w:r>
      <w:r>
        <w:rPr>
          <w:rFonts w:ascii="方正仿宋_GBK" w:eastAsia="方正仿宋_GBK" w:hint="eastAsia"/>
          <w:sz w:val="32"/>
          <w:szCs w:val="32"/>
        </w:rPr>
        <w:t>人，在编1</w:t>
      </w:r>
      <w:r>
        <w:rPr>
          <w:rFonts w:ascii="方正仿宋_GBK" w:eastAsia="方正仿宋_GBK" w:hint="eastAsia"/>
          <w:sz w:val="32"/>
          <w:szCs w:val="32"/>
          <w:lang w:val="en-US" w:eastAsia="zh-CN"/>
        </w:rPr>
        <w:t>2</w:t>
      </w:r>
      <w:r>
        <w:rPr>
          <w:rFonts w:ascii="方正仿宋_GBK" w:eastAsia="方正仿宋_GBK" w:hint="eastAsia"/>
          <w:sz w:val="32"/>
          <w:szCs w:val="32"/>
        </w:rPr>
        <w:t>人，退休职工</w:t>
      </w:r>
      <w:r>
        <w:rPr>
          <w:rFonts w:ascii="方正仿宋_GBK" w:eastAsia="方正仿宋_GBK" w:hint="eastAsia"/>
          <w:sz w:val="32"/>
          <w:szCs w:val="32"/>
          <w:lang w:val="en-US" w:eastAsia="zh-CN"/>
        </w:rPr>
        <w:t>9</w:t>
      </w:r>
      <w:r>
        <w:rPr>
          <w:rFonts w:ascii="方正仿宋_GBK" w:eastAsia="方正仿宋_GBK" w:hint="eastAsia"/>
          <w:sz w:val="32"/>
          <w:szCs w:val="32"/>
        </w:rPr>
        <w:t>人。</w:t>
      </w:r>
    </w:p>
    <w:p>
      <w:pPr>
        <w:pStyle w:val="19"/>
        <w:shd w:val="clear" w:color="auto" w:fill="FFFFFF"/>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二、单位决算情况说明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（一）收入支出决算总体情况说明</w:t>
      </w:r>
    </w:p>
    <w:p>
      <w:pPr>
        <w:pStyle w:val="19"/>
        <w:shd w:val="clear" w:color="auto" w:fill="FFFFFF"/>
        <w:ind w:firstLineChars="200" w:firstLine="640"/>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1.总体情况。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度收入总计364.66万元，支出总计</w:t>
      </w:r>
      <w:r>
        <w:rPr>
          <w:rFonts w:ascii="方正仿宋_GBK" w:eastAsia="方正仿宋_GBK" w:cs="方正仿宋_GBK"/>
          <w:sz w:val="32"/>
          <w:szCs w:val="32"/>
        </w:rPr>
        <w:t>364.66</w:t>
      </w:r>
      <w:r>
        <w:rPr>
          <w:rFonts w:ascii="方正仿宋_GBK" w:eastAsia="方正仿宋_GBK" w:cs="方正仿宋_GBK"/>
          <w:sz w:val="32"/>
          <w:szCs w:val="32"/>
          <w:shd w:val="clear" w:color="auto" w:fill="FFFFFF"/>
        </w:rPr>
        <w:t>万元。收、支与2023年度相比，减少52.48万元，下降12.6%，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2.收入情况。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度收入合计364.66万元，与2023年度相比，减少52.48万元，下降12.6%，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r>
        <w:rPr>
          <w:rFonts w:ascii="方正仿宋_GBK" w:eastAsia="方正仿宋_GBK" w:cs="方正仿宋_GBK"/>
          <w:sz w:val="32"/>
          <w:szCs w:val="32"/>
          <w:shd w:val="clear" w:color="auto" w:fill="FFFFFF"/>
        </w:rPr>
        <w:t>其中：财政拨款收入</w:t>
      </w:r>
      <w:r>
        <w:rPr>
          <w:rFonts w:ascii="方正仿宋_GBK" w:eastAsia="方正仿宋_GBK" w:cs="方正仿宋_GBK"/>
          <w:sz w:val="32"/>
          <w:szCs w:val="32"/>
        </w:rPr>
        <w:t>364.66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%；事业收入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万元，占0.00%。此外，使用非财政拨款结余和专用结余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3.支出情况。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度支出合计</w:t>
      </w:r>
      <w:r>
        <w:rPr>
          <w:rFonts w:ascii="方正仿宋_GBK" w:eastAsia="方正仿宋_GBK" w:cs="方正仿宋_GBK"/>
          <w:sz w:val="32"/>
          <w:szCs w:val="32"/>
        </w:rPr>
        <w:t>364.66</w:t>
      </w:r>
      <w:r>
        <w:rPr>
          <w:rFonts w:ascii="方正仿宋_GBK" w:eastAsia="方正仿宋_GBK" w:cs="方正仿宋_GBK"/>
          <w:sz w:val="32"/>
          <w:szCs w:val="32"/>
          <w:shd w:val="clear" w:color="auto" w:fill="FFFFFF"/>
        </w:rPr>
        <w:t>万元，与2023年度相比，减少52.48万元，下降12.6%，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r>
        <w:rPr>
          <w:rFonts w:ascii="方正仿宋_GBK" w:eastAsia="方正仿宋_GBK" w:cs="方正仿宋_GBK"/>
          <w:sz w:val="32"/>
          <w:szCs w:val="32"/>
          <w:shd w:val="clear" w:color="auto" w:fill="FFFFFF"/>
        </w:rPr>
        <w:t>其中：基本支出</w:t>
      </w:r>
      <w:r>
        <w:rPr>
          <w:rFonts w:ascii="方正仿宋_GBK" w:eastAsia="方正仿宋_GBK" w:cs="方正仿宋_GBK"/>
          <w:sz w:val="32"/>
          <w:szCs w:val="32"/>
        </w:rPr>
        <w:t>327.17</w:t>
      </w:r>
      <w:r>
        <w:rPr>
          <w:rFonts w:ascii="方正仿宋_GBK" w:eastAsia="方正仿宋_GBK" w:cs="方正仿宋_GBK"/>
          <w:sz w:val="32"/>
          <w:szCs w:val="32"/>
          <w:shd w:val="clear" w:color="auto" w:fill="FFFFFF"/>
        </w:rPr>
        <w:t>万元，占89.72%；项目支出</w:t>
      </w:r>
      <w:r>
        <w:rPr>
          <w:rFonts w:ascii="方正仿宋_GBK" w:eastAsia="方正仿宋_GBK" w:cs="方正仿宋_GBK"/>
          <w:sz w:val="32"/>
          <w:szCs w:val="32"/>
        </w:rPr>
        <w:t>37.49</w:t>
      </w:r>
      <w:r>
        <w:rPr>
          <w:rFonts w:ascii="方正仿宋_GBK" w:eastAsia="方正仿宋_GBK" w:cs="方正仿宋_GBK"/>
          <w:sz w:val="32"/>
          <w:szCs w:val="32"/>
          <w:shd w:val="clear" w:color="auto" w:fill="FFFFFF"/>
        </w:rPr>
        <w:t>万元，占10.28%；经营支出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万元，占0.00%。此外，结余分配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4.结转结余情况。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r>
        <w:rPr>
          <w:rFonts w:ascii="方正仿宋_GBK" w:eastAsia="方正仿宋_GBK" w:cs="方正仿宋_GBK"/>
          <w:color w:val="FF0000"/>
          <w:sz w:val="32"/>
          <w:szCs w:val="32"/>
          <w:shd w:val="clear" w:color="auto" w:fill="FFFFFF"/>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（二）财政拨款收入支出决算总体情况说明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度财政拨款收、支总计364.66万元。与2022年相比，财政拨款收、支总计各减少52.48万元，下降12.6%。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（三）一般公共预算财政拨款收入支出决算情况说明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1.收入情况。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度一般公共预算财政拨款收入</w:t>
      </w:r>
      <w:r>
        <w:rPr>
          <w:rFonts w:ascii="方正仿宋_GBK" w:eastAsia="方正仿宋_GBK" w:cs="方正仿宋_GBK"/>
          <w:sz w:val="32"/>
          <w:szCs w:val="32"/>
        </w:rPr>
        <w:t>364.66</w:t>
      </w:r>
      <w:r>
        <w:rPr>
          <w:rFonts w:ascii="方正仿宋_GBK" w:eastAsia="方正仿宋_GBK" w:cs="方正仿宋_GBK"/>
          <w:sz w:val="32"/>
          <w:szCs w:val="32"/>
          <w:shd w:val="clear" w:color="auto" w:fill="FFFFFF"/>
        </w:rPr>
        <w:t>万元，与2023年度相比，减少52.48万元，下降12.6%。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r>
        <w:rPr>
          <w:rFonts w:ascii="方正仿宋_GBK" w:eastAsia="方正仿宋_GBK" w:cs="方正仿宋_GBK"/>
          <w:sz w:val="32"/>
          <w:szCs w:val="32"/>
          <w:shd w:val="clear" w:color="auto" w:fill="FFFFFF"/>
        </w:rPr>
        <w:t>较年初预算数减少259.23万元，下降41.6%。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r>
        <w:rPr>
          <w:rFonts w:ascii="方正仿宋_GBK" w:eastAsia="方正仿宋_GBK" w:cs="方正仿宋_GBK"/>
          <w:sz w:val="32"/>
          <w:szCs w:val="32"/>
          <w:shd w:val="clear" w:color="auto" w:fill="FFFFFF"/>
        </w:rPr>
        <w:t>此外，年初财政拨款结转和结余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2.支出情况。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度一般公共预算财政拨款支出</w:t>
      </w:r>
      <w:r>
        <w:rPr>
          <w:rFonts w:ascii="方正仿宋_GBK" w:eastAsia="方正仿宋_GBK" w:cs="方正仿宋_GBK"/>
          <w:sz w:val="32"/>
          <w:szCs w:val="32"/>
        </w:rPr>
        <w:t>364.66</w:t>
      </w:r>
      <w:r>
        <w:rPr>
          <w:rFonts w:ascii="方正仿宋_GBK" w:eastAsia="方正仿宋_GBK" w:cs="方正仿宋_GBK"/>
          <w:sz w:val="32"/>
          <w:szCs w:val="32"/>
          <w:shd w:val="clear" w:color="auto" w:fill="FFFFFF"/>
        </w:rPr>
        <w:t>万元，与2023年度相比，减少52.48万元，下降12.6%。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r>
        <w:rPr>
          <w:rFonts w:ascii="方正仿宋_GBK" w:eastAsia="方正仿宋_GBK" w:cs="方正仿宋_GBK"/>
          <w:sz w:val="32"/>
          <w:szCs w:val="32"/>
          <w:shd w:val="clear" w:color="auto" w:fill="FFFFFF"/>
        </w:rPr>
        <w:t>较年初预算数减少259.23万元，下降41.6%。</w:t>
      </w:r>
      <w:r>
        <w:rPr>
          <w:rFonts w:ascii="宋体" w:eastAsia="方正仿宋_GBK" w:cs="方正仿宋_GBK" w:hAnsi="宋体" w:hint="eastAsia"/>
          <w:b w:val="0"/>
          <w:bCs w:val="0"/>
          <w:sz w:val="32"/>
          <w:szCs w:val="32"/>
          <w:lang w:val="en-US" w:eastAsia="zh-CN"/>
        </w:rPr>
        <w:t>主要原因为减少村土地承包、流转、仲裁管理，财务审计与监督管理等项目经费。</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shd w:val="clear" w:color="auto" w:fill="FFFFFF"/>
          <w:lang w:eastAsia="zh-CN"/>
        </w:rPr>
      </w:pPr>
      <w:r>
        <w:rPr>
          <w:rStyle w:val="20"/>
          <w:rFonts w:ascii="方正仿宋_GBK" w:eastAsia="方正仿宋_GBK" w:cs="方正仿宋_GBK"/>
          <w:sz w:val="32"/>
          <w:szCs w:val="32"/>
          <w:shd w:val="clear" w:color="auto" w:fill="FFFFFF"/>
        </w:rPr>
        <w:t>3.结转结余情况。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color w:val="FF0000"/>
          <w:sz w:val="32"/>
          <w:szCs w:val="32"/>
          <w:shd w:val="clear" w:color="auto" w:fill="FFFFFF"/>
          <w:lang w:eastAsia="zh-CN"/>
          <w:highlight w:val="cyan"/>
        </w:rPr>
      </w:pPr>
      <w:r>
        <w:rPr>
          <w:rStyle w:val="20"/>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度一般公共预算财政拨款支出主要用于以下几个方面</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1</w:t>
      </w:r>
      <w:r>
        <w:rPr>
          <w:rFonts w:ascii="方正仿宋_GBK" w:eastAsia="方正仿宋_GBK" w:cs="方正仿宋_GBK"/>
          <w:sz w:val="32"/>
          <w:szCs w:val="32"/>
          <w:shd w:val="clear" w:color="auto" w:fill="FFFFFF"/>
        </w:rPr>
        <w:t>）教育支出</w:t>
      </w:r>
      <w:r>
        <w:rPr>
          <w:rFonts w:ascii="方正仿宋_GBK" w:eastAsia="方正仿宋_GBK" w:cs="方正仿宋_GBK"/>
          <w:sz w:val="32"/>
          <w:szCs w:val="32"/>
        </w:rPr>
        <w:t>1.43</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0.39</w:t>
      </w:r>
      <w:r>
        <w:rPr>
          <w:rFonts w:ascii="方正仿宋_GBK" w:eastAsia="方正仿宋_GBK" w:cs="方正仿宋_GBK"/>
          <w:sz w:val="32"/>
          <w:szCs w:val="32"/>
          <w:shd w:val="clear" w:color="auto" w:fill="FFFFFF"/>
        </w:rPr>
        <w:t>%，较年初预算数无增减，主要原因是</w:t>
      </w:r>
      <w:r>
        <w:rPr>
          <w:rFonts w:ascii="宋体" w:eastAsia="方正仿宋_GBK" w:cs="方正仿宋_GBK" w:hAnsi="宋体" w:hint="eastAsia"/>
          <w:color w:val="auto"/>
          <w:sz w:val="32"/>
          <w:lang w:val="en-US" w:eastAsia="zh-CN"/>
        </w:rPr>
        <w:t>较年初预算数一致</w:t>
      </w:r>
      <w:r>
        <w:rPr>
          <w:rFonts w:eastAsia="方正仿宋_GBK" w:cs="方正仿宋_GBK" w:hint="eastAsia"/>
          <w:color w:val="auto"/>
          <w:sz w:val="32"/>
          <w:lang w:val="en-US"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2</w:t>
      </w: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61.36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16.83</w:t>
      </w:r>
      <w:r>
        <w:rPr>
          <w:rFonts w:ascii="方正仿宋_GBK" w:eastAsia="方正仿宋_GBK" w:cs="方正仿宋_GBK"/>
          <w:sz w:val="32"/>
          <w:szCs w:val="32"/>
          <w:shd w:val="clear" w:color="auto" w:fill="FFFFFF"/>
        </w:rPr>
        <w:t>%，较年初预算数增加5.93万元，增长10.7%，主要原因是</w:t>
      </w:r>
      <w:r>
        <w:rPr>
          <w:rFonts w:ascii="方正仿宋_GBK" w:eastAsia="方正仿宋_GBK" w:cs="方正仿宋_GBK" w:hint="eastAsia"/>
          <w:sz w:val="32"/>
          <w:szCs w:val="32"/>
          <w:shd w:val="clear" w:color="auto" w:fill="FFFFFF"/>
          <w:lang w:val="en-US" w:eastAsia="zh-CN"/>
        </w:rPr>
        <w:t>退休人员健康休养费及“中人”一次性补助。</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3</w:t>
      </w:r>
      <w:r>
        <w:rPr>
          <w:rFonts w:ascii="方正仿宋_GBK" w:eastAsia="方正仿宋_GBK" w:cs="方正仿宋_GBK"/>
          <w:sz w:val="32"/>
          <w:szCs w:val="32"/>
          <w:shd w:val="clear" w:color="auto" w:fill="FFFFFF"/>
        </w:rPr>
        <w:t>）卫生健康支出</w:t>
      </w:r>
      <w:r>
        <w:rPr>
          <w:rFonts w:ascii="方正仿宋_GBK" w:eastAsia="方正仿宋_GBK" w:cs="方正仿宋_GBK"/>
          <w:sz w:val="32"/>
          <w:szCs w:val="32"/>
        </w:rPr>
        <w:t>21.16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5.80</w:t>
      </w:r>
      <w:r>
        <w:rPr>
          <w:rFonts w:ascii="方正仿宋_GBK" w:eastAsia="方正仿宋_GBK" w:cs="方正仿宋_GBK"/>
          <w:sz w:val="32"/>
          <w:szCs w:val="32"/>
          <w:shd w:val="clear" w:color="auto" w:fill="FFFFFF"/>
        </w:rPr>
        <w:t>%，较年初预算数无增减，主要原因是</w:t>
      </w:r>
      <w:r>
        <w:rPr>
          <w:rFonts w:ascii="宋体" w:eastAsia="方正仿宋_GBK" w:cs="方正仿宋_GBK" w:hAnsi="宋体" w:hint="eastAsia"/>
          <w:color w:val="auto"/>
          <w:sz w:val="32"/>
          <w:lang w:val="en-US" w:eastAsia="zh-CN"/>
        </w:rPr>
        <w:t>较年初预算数一致</w:t>
      </w:r>
      <w:r>
        <w:rPr>
          <w:rFonts w:eastAsia="方正仿宋_GBK" w:cs="方正仿宋_GBK" w:hint="eastAsia"/>
          <w:color w:val="auto"/>
          <w:sz w:val="32"/>
          <w:lang w:val="en-US"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）农林水支出</w:t>
      </w:r>
      <w:r>
        <w:rPr>
          <w:rFonts w:ascii="方正仿宋_GBK" w:eastAsia="方正仿宋_GBK" w:cs="方正仿宋_GBK"/>
          <w:sz w:val="32"/>
          <w:szCs w:val="32"/>
        </w:rPr>
        <w:t>260.43</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71.42</w:t>
      </w:r>
      <w:r>
        <w:rPr>
          <w:rFonts w:ascii="方正仿宋_GBK" w:eastAsia="方正仿宋_GBK" w:cs="方正仿宋_GBK"/>
          <w:sz w:val="32"/>
          <w:szCs w:val="32"/>
          <w:shd w:val="clear" w:color="auto" w:fill="FFFFFF"/>
        </w:rPr>
        <w:t>%，较年初预算数减少265.16万元，下降50.5%，</w:t>
      </w:r>
      <w:r>
        <w:rPr>
          <w:rFonts w:ascii="宋体" w:eastAsia="方正仿宋_GBK" w:cs="方正仿宋_GBK" w:hAnsi="宋体" w:hint="eastAsia"/>
          <w:color w:val="auto"/>
          <w:sz w:val="32"/>
          <w:lang w:val="en-US" w:eastAsia="zh-CN"/>
        </w:rPr>
        <w:t>主要原因是本年财政资金紧张，土地确权等项目经费减少。</w:t>
      </w:r>
    </w:p>
    <w:p>
      <w:pPr>
        <w:ind w:firstLineChars="200" w:firstLine="640"/>
        <w:rPr>
          <w:rFonts w:ascii="方正仿宋_GBK" w:eastAsia="方正仿宋_GBK" w:cs="方正仿宋_GBK"/>
          <w:color w:val="FF0000"/>
          <w:sz w:val="32"/>
          <w:szCs w:val="32"/>
          <w:shd w:val="clear" w:color="auto" w:fill="FFFFFF"/>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5</w:t>
      </w:r>
      <w:r>
        <w:rPr>
          <w:rFonts w:ascii="方正仿宋_GBK" w:eastAsia="方正仿宋_GBK" w:cs="方正仿宋_GBK"/>
          <w:sz w:val="32"/>
          <w:szCs w:val="32"/>
          <w:shd w:val="clear" w:color="auto" w:fill="FFFFFF"/>
        </w:rPr>
        <w:t>）</w:t>
      </w:r>
      <w:r>
        <w:rPr>
          <w:rFonts w:ascii="方正仿宋_GBK" w:eastAsia="方正仿宋_GBK" w:cs="方正仿宋_GBK"/>
          <w:sz w:val="32"/>
          <w:szCs w:val="32"/>
        </w:rPr>
        <w:t>住房保障支出20.29</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5.56</w:t>
      </w:r>
      <w:r>
        <w:rPr>
          <w:rFonts w:ascii="方正仿宋_GBK" w:eastAsia="方正仿宋_GBK" w:cs="方正仿宋_GBK"/>
          <w:sz w:val="32"/>
          <w:szCs w:val="32"/>
          <w:shd w:val="clear" w:color="auto" w:fill="FFFFFF"/>
        </w:rPr>
        <w:t>%，较年初预算数无增减，主要原因是</w:t>
      </w:r>
      <w:r>
        <w:rPr>
          <w:rFonts w:ascii="宋体" w:eastAsia="方正仿宋_GBK" w:cs="方正仿宋_GBK" w:hAnsi="宋体" w:hint="eastAsia"/>
          <w:color w:val="auto"/>
          <w:sz w:val="32"/>
          <w:lang w:val="en-US" w:eastAsia="zh-CN"/>
        </w:rPr>
        <w:t>较年初预算数一致</w:t>
      </w:r>
      <w:r>
        <w:rPr>
          <w:rFonts w:eastAsia="方正仿宋_GBK" w:cs="方正仿宋_GBK" w:hint="eastAsia"/>
          <w:color w:val="auto"/>
          <w:sz w:val="32"/>
          <w:lang w:val="en-US" w:eastAsia="zh-CN"/>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（四）一般公共预算财政拨款基本支出决算情况说明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度一般公共财政拨款基本支出</w:t>
      </w:r>
      <w:r>
        <w:rPr>
          <w:rFonts w:ascii="方正仿宋_GBK" w:eastAsia="方正仿宋_GBK" w:cs="方正仿宋_GBK"/>
          <w:sz w:val="32"/>
          <w:szCs w:val="32"/>
        </w:rPr>
        <w:t>327.17</w:t>
      </w:r>
      <w:r>
        <w:rPr>
          <w:rFonts w:ascii="方正仿宋_GBK" w:eastAsia="方正仿宋_GBK" w:cs="方正仿宋_GBK"/>
          <w:sz w:val="32"/>
          <w:szCs w:val="32"/>
          <w:shd w:val="clear" w:color="auto" w:fill="FFFFFF"/>
        </w:rPr>
        <w:t>万元。其中：人员经费</w:t>
      </w:r>
      <w:r>
        <w:rPr>
          <w:rFonts w:ascii="方正仿宋_GBK" w:eastAsia="方正仿宋_GBK" w:cs="方正仿宋_GBK"/>
          <w:sz w:val="32"/>
          <w:szCs w:val="32"/>
        </w:rPr>
        <w:t>272.30</w:t>
      </w:r>
      <w:r>
        <w:rPr>
          <w:rFonts w:ascii="方正仿宋_GBK" w:eastAsia="方正仿宋_GBK" w:cs="方正仿宋_GBK"/>
          <w:sz w:val="32"/>
          <w:szCs w:val="32"/>
          <w:shd w:val="clear" w:color="auto" w:fill="FFFFFF"/>
        </w:rPr>
        <w:t>万元，与2023年度相比，增加19.17万元，增长7.6%，主要原因是</w:t>
      </w:r>
      <w:r>
        <w:rPr>
          <w:rFonts w:ascii="宋体" w:eastAsia="方正仿宋_GBK" w:cs="方正仿宋_GBK" w:hAnsi="宋体" w:hint="eastAsia"/>
          <w:color w:val="auto"/>
          <w:sz w:val="32"/>
          <w:lang w:val="en-US" w:eastAsia="zh-CN"/>
        </w:rPr>
        <w:t>人员增加</w:t>
      </w:r>
      <w:r>
        <w:rPr>
          <w:rFonts w:eastAsia="方正仿宋_GBK" w:cs="方正仿宋_GBK" w:hint="eastAsia"/>
          <w:color w:val="auto"/>
          <w:sz w:val="32"/>
          <w:lang w:val="en-US" w:eastAsia="zh-CN"/>
        </w:rPr>
        <w:t>。</w:t>
      </w:r>
      <w:r>
        <w:rPr>
          <w:rFonts w:ascii="方正仿宋_GBK" w:eastAsia="方正仿宋_GBK" w:cs="方正仿宋_GBK"/>
          <w:sz w:val="32"/>
          <w:szCs w:val="32"/>
          <w:shd w:val="clear" w:color="auto" w:fill="FFFFFF"/>
        </w:rPr>
        <w:t>人员经费用途主要包括</w:t>
      </w:r>
      <w:r>
        <w:rPr>
          <w:rFonts w:ascii="方正仿宋_GBK" w:eastAsia="方正仿宋_GBK" w:cs="方正仿宋_GBK" w:hint="eastAsia"/>
          <w:sz w:val="32"/>
          <w:szCs w:val="32"/>
          <w:shd w:val="clear" w:color="auto" w:fill="FFFFFF"/>
          <w:lang w:val="en-US" w:eastAsia="zh-CN"/>
        </w:rPr>
        <w:t>人员工资神福利、和对家庭个人补助。</w:t>
      </w:r>
      <w:r>
        <w:rPr>
          <w:rFonts w:ascii="方正仿宋_GBK" w:eastAsia="方正仿宋_GBK" w:cs="方正仿宋_GBK"/>
          <w:sz w:val="32"/>
          <w:szCs w:val="32"/>
          <w:shd w:val="clear" w:color="auto" w:fill="FFFFFF"/>
        </w:rPr>
        <w:t>公用经费</w:t>
      </w:r>
      <w:r>
        <w:rPr>
          <w:rFonts w:ascii="方正仿宋_GBK" w:eastAsia="方正仿宋_GBK" w:cs="方正仿宋_GBK"/>
          <w:sz w:val="32"/>
          <w:szCs w:val="32"/>
        </w:rPr>
        <w:t>54.87</w:t>
      </w:r>
      <w:r>
        <w:rPr>
          <w:rFonts w:ascii="方正仿宋_GBK" w:eastAsia="方正仿宋_GBK" w:cs="方正仿宋_GBK"/>
          <w:sz w:val="32"/>
          <w:szCs w:val="32"/>
          <w:shd w:val="clear" w:color="auto" w:fill="FFFFFF"/>
        </w:rPr>
        <w:t>万元，与2023年度相比，增加1.74万元，增长3.3%，</w:t>
      </w:r>
      <w:r>
        <w:rPr>
          <w:rFonts w:ascii="宋体" w:eastAsia="方正仿宋_GBK" w:cs="方正仿宋_GBK" w:hAnsi="宋体" w:hint="eastAsia"/>
          <w:color w:val="auto"/>
          <w:sz w:val="32"/>
          <w:lang w:val="en-US" w:eastAsia="zh-CN"/>
        </w:rPr>
        <w:t>主要原因是办公用品物价上涨</w:t>
      </w:r>
      <w:r>
        <w:rPr>
          <w:rFonts w:eastAsia="方正仿宋_GBK" w:cs="方正仿宋_GBK" w:hint="eastAsia"/>
          <w:color w:val="auto"/>
          <w:sz w:val="32"/>
          <w:lang w:val="en-US" w:eastAsia="zh-CN"/>
        </w:rPr>
        <w:t>。</w:t>
      </w:r>
      <w:r>
        <w:rPr>
          <w:rFonts w:ascii="宋体" w:eastAsia="方正仿宋_GBK" w:cs="方正仿宋_GBK" w:hAnsi="宋体" w:hint="eastAsia"/>
          <w:color w:val="auto"/>
          <w:sz w:val="32"/>
          <w:lang w:val="en-US" w:eastAsia="zh-CN"/>
        </w:rPr>
        <w:t>公用经费用途主要包括</w:t>
      </w:r>
      <w:r>
        <w:rPr>
          <w:rFonts w:ascii="宋体" w:eastAsia="方正仿宋_GBK" w:cs="方正仿宋_GBK" w:hAnsi="宋体" w:hint="eastAsia"/>
          <w:color w:val="auto"/>
          <w:sz w:val="32"/>
        </w:rPr>
        <w:t>办公费、印刷费、邮电费、水电费、物管费、差旅费、会议费、培训费及其他商品和服务支出等的支出。机关运行经费主要用于开支机关日常运转的办公费、印刷费、维修（护）费、咨询费、水费、电费、邮电费、差旅费、会议费、培训费、公务接待费、劳务费、公务用车运行维护费、其他商品和服务支出</w:t>
      </w:r>
      <w:r>
        <w:rPr>
          <w:rFonts w:ascii="宋体" w:eastAsia="方正仿宋_GBK" w:cs="方正仿宋_GBK" w:hAnsi="宋体" w:hint="eastAsia"/>
          <w:color w:val="auto"/>
          <w:sz w:val="32"/>
          <w:lang w:val="en-US" w:eastAsia="zh-CN"/>
        </w:rPr>
        <w:t>等。</w:t>
      </w:r>
    </w:p>
    <w:p>
      <w:pPr>
        <w:pStyle w:val="21"/>
        <w:numPr>
          <w:ilvl w:val="0"/>
          <w:numId w:val="3"/>
        </w:numPr>
        <w:autoSpaceDE w:val="0"/>
        <w:ind w:left="0" w:firstLineChars="0" w:firstLine="643"/>
        <w:rPr>
          <w:rFonts w:ascii="楷体" w:eastAsia="楷体" w:cs="楷体" w:hint="eastAsia"/>
          <w:b/>
          <w:bCs/>
          <w:sz w:val="32"/>
          <w:szCs w:val="32"/>
          <w:shd w:val="clear" w:color="auto" w:fill="FFFFFF"/>
        </w:rPr>
      </w:pPr>
      <w:r>
        <w:rPr>
          <w:rFonts w:ascii="楷体" w:eastAsia="楷体" w:cs="楷体" w:hint="eastAsia"/>
          <w:b/>
          <w:bCs/>
          <w:sz w:val="32"/>
          <w:szCs w:val="32"/>
          <w:shd w:val="clear" w:color="auto" w:fill="FFFFFF"/>
        </w:rPr>
        <w:t>政府性基金预算收支决算情况说明</w:t>
      </w:r>
    </w:p>
    <w:p>
      <w:pPr>
        <w:pStyle w:val="21"/>
        <w:autoSpaceDE w:val="0"/>
        <w:ind w:left="0" w:firstLineChars="200" w:firstLine="640"/>
        <w:rPr>
          <w:rFonts w:ascii="方正仿宋_GBK" w:eastAsia="方正仿宋_GBK" w:cs="方正仿宋_GBK" w:hint="eastAsia"/>
          <w:sz w:val="32"/>
          <w:szCs w:val="32"/>
          <w:shd w:val="clear" w:color="auto" w:fill="FFFFFF"/>
          <w:lang w:val="en-US" w:eastAsia="zh-CN" w:bidi="ar-SA"/>
        </w:rPr>
      </w:pPr>
      <w:r>
        <w:rPr>
          <w:rFonts w:ascii="方正仿宋_GBK" w:eastAsia="方正仿宋_GBK" w:cs="方正仿宋_GBK" w:hint="eastAsia"/>
          <w:sz w:val="32"/>
          <w:szCs w:val="32"/>
          <w:shd w:val="clear" w:color="auto" w:fill="FFFFFF"/>
          <w:lang w:val="en-US" w:eastAsia="zh-CN" w:bidi="ar-SA"/>
        </w:rPr>
        <w:t>本单位2024年度无政府性基金预算财政拨款收支。</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（六）国有资本经营预算财政拨款支出决算情况说明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lang w:val="en-US" w:eastAsia="zh-CN" w:bidi="ar-SA"/>
        </w:rPr>
      </w:pPr>
      <w:r>
        <w:rPr>
          <w:rFonts w:ascii="方正仿宋_GBK" w:eastAsia="方正仿宋_GBK" w:cs="方正仿宋_GBK" w:hint="eastAsia"/>
          <w:sz w:val="32"/>
          <w:szCs w:val="32"/>
          <w:shd w:val="clear" w:color="auto" w:fill="FFFFFF"/>
          <w:lang w:val="en-US" w:eastAsia="zh-CN" w:bidi="ar-SA"/>
        </w:rPr>
        <w:t>本单位2024年度无国有资本经营预算财政拨款支出。</w:t>
      </w:r>
    </w:p>
    <w:p>
      <w:pPr>
        <w:pStyle w:val="19"/>
        <w:shd w:val="clear" w:color="auto" w:fill="FFFFFF"/>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三、“三公”经费情况说明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（一）“三公”经费支出总体情况说明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度“三公”经费支出共计</w:t>
      </w:r>
      <w:r>
        <w:rPr>
          <w:rFonts w:ascii="方正仿宋_GBK" w:eastAsia="方正仿宋_GBK" w:cs="方正仿宋_GBK"/>
          <w:sz w:val="32"/>
          <w:szCs w:val="32"/>
        </w:rPr>
        <w:t>0.55</w:t>
      </w:r>
      <w:r>
        <w:rPr>
          <w:rFonts w:ascii="方正仿宋_GBK" w:eastAsia="方正仿宋_GBK" w:cs="方正仿宋_GBK"/>
          <w:sz w:val="32"/>
          <w:szCs w:val="32"/>
          <w:shd w:val="clear" w:color="auto" w:fill="FFFFFF"/>
        </w:rPr>
        <w:t>万元，较年初预算数减少1.45万元，下降72.5%，主要原因是</w:t>
      </w:r>
      <w:r>
        <w:rPr>
          <w:rFonts w:ascii="方正仿宋_GBK" w:eastAsia="方正仿宋_GBK" w:cs="方正仿宋_GBK" w:hint="eastAsia"/>
          <w:sz w:val="32"/>
          <w:szCs w:val="32"/>
          <w:shd w:val="clear" w:color="auto" w:fill="FFFFFF"/>
          <w:lang w:val="en-US" w:eastAsia="zh-CN"/>
        </w:rPr>
        <w:t>严格按公务接待标准执行、厉行节约，减少接待。</w:t>
      </w:r>
      <w:r>
        <w:rPr>
          <w:rFonts w:ascii="方正仿宋_GBK" w:eastAsia="方正仿宋_GBK" w:cs="方正仿宋_GBK"/>
          <w:sz w:val="32"/>
          <w:szCs w:val="32"/>
          <w:shd w:val="clear" w:color="auto" w:fill="FFFFFF"/>
        </w:rPr>
        <w:t>较上年支出数减少2.15万元，下降79.6%，主要原因是</w:t>
      </w:r>
      <w:r>
        <w:rPr>
          <w:rFonts w:ascii="方正仿宋_GBK" w:eastAsia="方正仿宋_GBK" w:cs="方正仿宋_GBK" w:hint="eastAsia"/>
          <w:sz w:val="32"/>
          <w:szCs w:val="32"/>
          <w:shd w:val="clear" w:color="auto" w:fill="FFFFFF"/>
          <w:lang w:val="en-US" w:eastAsia="zh-CN"/>
        </w:rPr>
        <w:t>严格按公务接待标准执行、厉行节约，减少接待。</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（二）“三公”经费分项支出情况</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shd w:val="clear" w:color="auto" w:fill="FFFFFF"/>
          <w:lang w:eastAsia="zh-CN"/>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度本单位因公出国（境）费用</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公务车购置费</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 公务车运行维护费</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公务接待费</w:t>
      </w:r>
      <w:r>
        <w:rPr>
          <w:rFonts w:ascii="方正仿宋_GBK" w:eastAsia="方正仿宋_GBK" w:cs="方正仿宋_GBK"/>
          <w:sz w:val="32"/>
          <w:szCs w:val="32"/>
        </w:rPr>
        <w:t>0.55</w:t>
      </w:r>
      <w:r>
        <w:rPr>
          <w:rFonts w:ascii="方正仿宋_GBK" w:eastAsia="方正仿宋_GBK" w:cs="方正仿宋_GBK"/>
          <w:sz w:val="32"/>
          <w:szCs w:val="32"/>
          <w:shd w:val="clear" w:color="auto" w:fill="FFFFFF"/>
        </w:rPr>
        <w:t>万元，主要用于接待</w:t>
      </w:r>
      <w:r>
        <w:rPr>
          <w:rFonts w:ascii="方正仿宋_GBK" w:eastAsia="方正仿宋_GBK" w:cs="方正仿宋_GBK" w:hint="eastAsia"/>
          <w:sz w:val="32"/>
          <w:szCs w:val="32"/>
          <w:shd w:val="clear" w:color="auto" w:fill="FFFFFF"/>
          <w:lang w:val="en-US" w:eastAsia="zh-CN"/>
        </w:rPr>
        <w:t>上级工作组及友好单位来调研工作。</w:t>
      </w:r>
      <w:r>
        <w:rPr>
          <w:rFonts w:ascii="方正仿宋_GBK" w:eastAsia="方正仿宋_GBK" w:cs="方正仿宋_GBK"/>
          <w:sz w:val="32"/>
          <w:szCs w:val="32"/>
          <w:shd w:val="clear" w:color="auto" w:fill="FFFFFF"/>
        </w:rPr>
        <w:t>费用支出较年初预算数减少1.45万元，下降72.5%，主要原因是</w:t>
      </w:r>
      <w:r>
        <w:rPr>
          <w:rFonts w:ascii="方正仿宋_GBK" w:eastAsia="方正仿宋_GBK" w:cs="方正仿宋_GBK" w:hint="eastAsia"/>
          <w:sz w:val="32"/>
          <w:szCs w:val="32"/>
          <w:shd w:val="clear" w:color="auto" w:fill="FFFFFF"/>
          <w:lang w:val="en-US" w:eastAsia="zh-CN"/>
        </w:rPr>
        <w:t>严格按公务接待标准执行、厉行节约，减少接待。</w:t>
      </w:r>
      <w:r>
        <w:rPr>
          <w:rFonts w:ascii="方正仿宋_GBK" w:eastAsia="方正仿宋_GBK" w:cs="方正仿宋_GBK"/>
          <w:sz w:val="32"/>
          <w:szCs w:val="32"/>
          <w:shd w:val="clear" w:color="auto" w:fill="FFFFFF"/>
        </w:rPr>
        <w:t>较上年支出数减少2.15万元，下降79.6%，主要原因是</w:t>
      </w:r>
      <w:r>
        <w:rPr>
          <w:rFonts w:ascii="方正仿宋_GBK" w:eastAsia="方正仿宋_GBK" w:cs="方正仿宋_GBK" w:hint="eastAsia"/>
          <w:sz w:val="32"/>
          <w:szCs w:val="32"/>
          <w:shd w:val="clear" w:color="auto" w:fill="FFFFFF"/>
          <w:lang w:val="en-US" w:eastAsia="zh-CN"/>
        </w:rPr>
        <w:t>严格按公务接待标准执行、厉行节约，减少接待。</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（三）“三公”经费实物量情况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xml:space="preserve">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12</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55</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本单位人均接待费</w:t>
      </w:r>
      <w:r>
        <w:rPr>
          <w:rFonts w:ascii="方正仿宋_GBK" w:eastAsia="方正仿宋_GBK" w:cs="方正仿宋_GBK"/>
          <w:sz w:val="32"/>
          <w:szCs w:val="32"/>
        </w:rPr>
        <w:t>99.33</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w:t>
      </w:r>
    </w:p>
    <w:p>
      <w:pPr>
        <w:pStyle w:val="19"/>
        <w:shd w:val="clear" w:color="auto" w:fill="FFFFFF"/>
        <w:rPr>
          <w:rStyle w:val="20"/>
          <w:rFonts w:ascii="方正仿宋_GBK" w:eastAsia="方正仿宋_GBK" w:cs="方正仿宋_GBK"/>
          <w:sz w:val="32"/>
          <w:szCs w:val="32"/>
          <w:shd w:val="clear" w:color="auto" w:fill="FFFFFF"/>
        </w:rPr>
      </w:pPr>
      <w:r>
        <w:rPr>
          <w:rStyle w:val="20"/>
          <w:rFonts w:ascii="黑体" w:eastAsia="黑体" w:cs="黑体"/>
          <w:sz w:val="32"/>
          <w:szCs w:val="32"/>
          <w:shd w:val="clear" w:color="auto" w:fill="FFFFFF"/>
        </w:rPr>
        <w:t>四、其他需要说明的事项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（一）财政拨款会议费和培训费情况说明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本年度会议费支出</w:t>
      </w:r>
      <w:r>
        <w:rPr>
          <w:rFonts w:ascii="方正仿宋_GBK" w:eastAsia="方正仿宋_GBK" w:cs="方正仿宋_GBK"/>
          <w:sz w:val="32"/>
          <w:szCs w:val="32"/>
        </w:rPr>
        <w:t>0.61</w:t>
      </w:r>
      <w:r>
        <w:rPr>
          <w:rFonts w:ascii="方正仿宋_GBK" w:eastAsia="方正仿宋_GBK" w:cs="方正仿宋_GBK"/>
          <w:sz w:val="32"/>
          <w:szCs w:val="32"/>
          <w:shd w:val="clear" w:color="auto" w:fill="FFFFFF"/>
        </w:rPr>
        <w:t>万元，与2023年度相比，减少0.09万元，下降12.9%，主要原因是</w:t>
      </w:r>
      <w:r>
        <w:rPr>
          <w:rFonts w:ascii="方正仿宋_GBK" w:eastAsia="方正仿宋_GBK" w:cs="方正仿宋_GBK" w:hint="eastAsia"/>
          <w:sz w:val="32"/>
          <w:szCs w:val="32"/>
          <w:shd w:val="clear" w:color="auto" w:fill="FFFFFF"/>
          <w:lang w:val="en-US" w:eastAsia="zh-CN"/>
        </w:rPr>
        <w:t>厉行节约、多会协调合开，资源共享</w:t>
      </w:r>
      <w:r>
        <w:rPr>
          <w:rFonts w:ascii="方正仿宋_GBK" w:eastAsia="方正仿宋_GBK" w:cs="方正仿宋_GBK"/>
          <w:sz w:val="32"/>
          <w:szCs w:val="32"/>
          <w:shd w:val="clear" w:color="auto" w:fill="FFFFFF"/>
        </w:rPr>
        <w:t>。本年度培训费支出</w:t>
      </w:r>
      <w:r>
        <w:rPr>
          <w:rFonts w:ascii="方正仿宋_GBK" w:eastAsia="方正仿宋_GBK" w:cs="方正仿宋_GBK"/>
          <w:sz w:val="32"/>
          <w:szCs w:val="32"/>
        </w:rPr>
        <w:t>1.43</w:t>
      </w:r>
      <w:r>
        <w:rPr>
          <w:rFonts w:ascii="方正仿宋_GBK" w:eastAsia="方正仿宋_GBK" w:cs="方正仿宋_GBK"/>
          <w:sz w:val="32"/>
          <w:szCs w:val="32"/>
          <w:shd w:val="clear" w:color="auto" w:fill="FFFFFF"/>
        </w:rPr>
        <w:t>万元，与2023年度相比，减少3.37万元，下降70.2%，主要原因是</w:t>
      </w:r>
      <w:r>
        <w:rPr>
          <w:rFonts w:ascii="方正仿宋_GBK" w:eastAsia="方正仿宋_GBK" w:cs="方正仿宋_GBK" w:hint="eastAsia"/>
          <w:sz w:val="32"/>
          <w:szCs w:val="32"/>
          <w:shd w:val="clear" w:color="auto" w:fill="FFFFFF"/>
          <w:lang w:val="en-US" w:eastAsia="zh-CN"/>
        </w:rPr>
        <w:t>厉行节约、减少外出培训</w:t>
      </w:r>
      <w:r>
        <w:rPr>
          <w:rFonts w:ascii="方正仿宋_GBK" w:eastAsia="方正仿宋_GBK" w:cs="方正仿宋_GBK"/>
          <w:sz w:val="32"/>
          <w:szCs w:val="32"/>
          <w:shd w:val="clear" w:color="auto" w:fill="FFFFFF"/>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（二）机关运行经费情况说明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度本单位机关运行经费支出</w:t>
      </w:r>
      <w:r>
        <w:rPr>
          <w:rFonts w:ascii="方正仿宋_GBK" w:eastAsia="方正仿宋_GBK" w:cs="方正仿宋_GBK"/>
          <w:sz w:val="32"/>
          <w:szCs w:val="32"/>
        </w:rPr>
        <w:t>0.85</w:t>
      </w:r>
      <w:r>
        <w:rPr>
          <w:rFonts w:ascii="方正仿宋_GBK" w:eastAsia="方正仿宋_GBK" w:cs="方正仿宋_GBK"/>
          <w:sz w:val="32"/>
          <w:szCs w:val="32"/>
          <w:shd w:val="clear" w:color="auto" w:fill="FFFFFF"/>
        </w:rPr>
        <w:t>万元，机关运行经费主要用于开支</w:t>
      </w:r>
      <w:r>
        <w:rPr>
          <w:rFonts w:ascii="宋体" w:eastAsia="方正仿宋_GBK" w:cs="方正仿宋_GBK" w:hAnsi="宋体" w:hint="eastAsia"/>
          <w:kern w:val="0"/>
          <w:sz w:val="32"/>
          <w:szCs w:val="32"/>
        </w:rPr>
        <w:t>机关运动经费主要用于</w:t>
      </w:r>
      <w:r>
        <w:rPr>
          <w:rFonts w:ascii="方正仿宋_GBK" w:eastAsia="方正仿宋_GBK" w:hint="eastAsia"/>
          <w:sz w:val="32"/>
          <w:szCs w:val="32"/>
        </w:rPr>
        <w:t>办公费、印刷费、邮电费、水电费、物管费、差旅费、会议费、培训费及其他商品和服务支出等的支出</w:t>
      </w:r>
      <w:r>
        <w:rPr>
          <w:rFonts w:eastAsia="方正仿宋_GBK" w:cs="宋体" w:hint="eastAsia"/>
          <w:kern w:val="0"/>
          <w:sz w:val="32"/>
          <w:szCs w:val="32"/>
        </w:rPr>
        <w:t>。机关运行经费主要用于</w:t>
      </w:r>
      <w:r>
        <w:rPr>
          <w:rFonts w:ascii="方正仿宋_GBK" w:eastAsia="方正仿宋_GBK" w:hint="eastAsia"/>
          <w:sz w:val="32"/>
          <w:szCs w:val="32"/>
        </w:rPr>
        <w:t>开支机关日常运转的办公费、印刷费、维修（护）费、咨询费、水费、电费、邮电费、差旅费、会议费、培训费、公务接待费、劳务费、公务用车运行维护费、其他商品和服务支出等。</w:t>
      </w:r>
      <w:r>
        <w:rPr>
          <w:rFonts w:ascii="方正仿宋_GBK" w:eastAsia="方正仿宋_GBK" w:cs="方正仿宋_GBK"/>
          <w:sz w:val="32"/>
          <w:szCs w:val="32"/>
          <w:shd w:val="clear" w:color="auto" w:fill="FFFFFF"/>
        </w:rPr>
        <w:t>机关运行经费较上年支出数增加1.74万元，增长3.3%，主要原因是</w:t>
      </w:r>
      <w:r>
        <w:rPr>
          <w:rFonts w:ascii="宋体" w:eastAsia="方正仿宋_GBK" w:cs="方正仿宋_GBK" w:hAnsi="宋体" w:hint="eastAsia"/>
          <w:color w:val="auto"/>
          <w:sz w:val="32"/>
          <w:lang w:val="en-US" w:eastAsia="zh-CN"/>
        </w:rPr>
        <w:t>办公用品物价上涨</w:t>
      </w:r>
      <w:r>
        <w:rPr>
          <w:rFonts w:eastAsia="方正仿宋_GBK" w:cs="方正仿宋_GBK" w:hint="eastAsia"/>
          <w:color w:val="auto"/>
          <w:sz w:val="32"/>
          <w:lang w:val="en-US" w:eastAsia="zh-CN"/>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（三）国有资产占用情况说明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截至</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12月31日，本单位共有车辆</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（四）政府采购支出情况说明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color w:val="FF0000"/>
          <w:sz w:val="32"/>
          <w:szCs w:val="32"/>
          <w:shd w:val="clear" w:color="auto" w:fill="FFFFFF"/>
          <w:lang w:eastAsia="zh-CN"/>
        </w:rPr>
      </w:pPr>
      <w:r>
        <w:rPr>
          <w:rFonts w:ascii="方正仿宋_GBK" w:eastAsia="方正仿宋_GBK" w:cs="方正仿宋_GBK"/>
          <w:sz w:val="32"/>
          <w:szCs w:val="32"/>
          <w:shd w:val="clear" w:color="auto" w:fill="FFFFFF"/>
        </w:rPr>
        <w:t xml:space="preserve">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度本单位政府采购支出总额</w:t>
      </w:r>
      <w:r>
        <w:rPr>
          <w:rFonts w:ascii="方正仿宋_GBK" w:eastAsia="方正仿宋_GBK" w:cs="方正仿宋_GBK"/>
          <w:sz w:val="32"/>
          <w:szCs w:val="32"/>
        </w:rPr>
        <w:t>0.50</w:t>
      </w:r>
      <w:r>
        <w:rPr>
          <w:rFonts w:ascii="方正仿宋_GBK" w:eastAsia="方正仿宋_GBK" w:cs="方正仿宋_GBK"/>
          <w:sz w:val="32"/>
          <w:szCs w:val="32"/>
          <w:shd w:val="clear" w:color="auto" w:fill="FFFFFF"/>
        </w:rPr>
        <w:t>万元，其中：政府采购货物支出</w:t>
      </w:r>
      <w:r>
        <w:rPr>
          <w:rFonts w:ascii="方正仿宋_GBK" w:eastAsia="方正仿宋_GBK" w:cs="方正仿宋_GBK"/>
          <w:sz w:val="32"/>
          <w:szCs w:val="32"/>
        </w:rPr>
        <w:t>0.50</w:t>
      </w:r>
      <w:r>
        <w:rPr>
          <w:rFonts w:ascii="方正仿宋_GBK" w:eastAsia="方正仿宋_GBK" w:cs="方正仿宋_GBK"/>
          <w:sz w:val="32"/>
          <w:szCs w:val="32"/>
          <w:shd w:val="clear" w:color="auto" w:fill="FFFFFF"/>
        </w:rPr>
        <w:t>万元、政府采购工程支出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万元、政府采购服务支出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万元。授予中小企业合同金额</w:t>
      </w:r>
      <w:r>
        <w:rPr>
          <w:rFonts w:ascii="方正仿宋_GBK" w:eastAsia="方正仿宋_GBK" w:cs="方正仿宋_GBK"/>
          <w:sz w:val="32"/>
          <w:szCs w:val="32"/>
        </w:rPr>
        <w:t>0.50万</w:t>
      </w:r>
      <w:r>
        <w:rPr>
          <w:rFonts w:ascii="方正仿宋_GBK" w:eastAsia="方正仿宋_GBK" w:cs="方正仿宋_GBK"/>
          <w:sz w:val="32"/>
          <w:szCs w:val="32"/>
          <w:shd w:val="clear" w:color="auto" w:fill="FFFFFF"/>
        </w:rPr>
        <w:t>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%，其中：授予小微企业合同金额</w:t>
      </w:r>
      <w:r>
        <w:rPr>
          <w:rFonts w:ascii="方正仿宋_GBK" w:eastAsia="方正仿宋_GBK" w:cs="方正仿宋_GBK"/>
          <w:sz w:val="32"/>
          <w:szCs w:val="32"/>
        </w:rPr>
        <w:t>0.50</w:t>
      </w:r>
      <w:r>
        <w:rPr>
          <w:rFonts w:ascii="方正仿宋_GBK" w:eastAsia="方正仿宋_GBK" w:cs="方正仿宋_GBK"/>
          <w:sz w:val="32"/>
          <w:szCs w:val="32"/>
          <w:shd w:val="clear" w:color="auto" w:fill="FFFFFF"/>
        </w:rPr>
        <w:t>万元，占政府采购支出总额的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 xml:space="preserve"> %。主要用于采购</w:t>
      </w:r>
      <w:r>
        <w:rPr>
          <w:rFonts w:ascii="方正仿宋_GBK" w:eastAsia="方正仿宋_GBK" w:cs="方正仿宋_GBK" w:hint="eastAsia"/>
          <w:sz w:val="32"/>
          <w:szCs w:val="32"/>
          <w:shd w:val="clear" w:color="auto" w:fill="FFFFFF"/>
          <w:lang w:val="en-US" w:eastAsia="zh-CN"/>
        </w:rPr>
        <w:t>人员增加电脑</w:t>
      </w:r>
      <w:r>
        <w:rPr>
          <w:rFonts w:ascii="方正仿宋_GBK" w:eastAsia="方正仿宋_GBK" w:cs="方正仿宋_GBK" w:hint="eastAsia"/>
          <w:color w:val="FF0000"/>
          <w:sz w:val="32"/>
          <w:szCs w:val="32"/>
          <w:shd w:val="clear" w:color="auto" w:fill="FFFFFF"/>
          <w:lang w:eastAsia="zh-CN"/>
        </w:rPr>
        <w:t>。</w:t>
      </w:r>
    </w:p>
    <w:p>
      <w:pPr>
        <w:pStyle w:val="19"/>
        <w:numPr>
          <w:ilvl w:val="0"/>
          <w:numId w:val="4"/>
        </w:numPr>
        <w:shd w:val="clear" w:color="auto" w:fill="FFFFFF"/>
        <w:rPr>
          <w:rStyle w:val="20"/>
          <w:rFonts w:ascii="黑体" w:eastAsia="黑体" w:cs="黑体"/>
          <w:color w:val="auto"/>
          <w:sz w:val="32"/>
          <w:szCs w:val="32"/>
          <w:shd w:val="clear" w:color="auto" w:fill="FFFFFF"/>
        </w:rPr>
      </w:pPr>
      <w:r>
        <w:rPr>
          <w:rStyle w:val="20"/>
          <w:rFonts w:ascii="黑体" w:eastAsia="黑体" w:cs="黑体"/>
          <w:color w:val="auto"/>
          <w:sz w:val="32"/>
          <w:szCs w:val="32"/>
          <w:shd w:val="clear" w:color="auto" w:fill="FFFFFF"/>
        </w:rPr>
        <w:t>预算绩效管理情况说明</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Style w:val="20"/>
          <w:rFonts w:ascii="黑体" w:eastAsia="黑体" w:cs="黑体"/>
          <w:color w:val="30C0B4"/>
          <w:sz w:val="32"/>
          <w:szCs w:val="32"/>
          <w:shd w:val="clear" w:color="auto" w:fill="FFFFFF"/>
          <w14:textFill>
            <w14:solidFill>
              <w14:srgbClr w14:val="30C0B4"/>
            </w14:solidFill>
          </w14:textFill>
        </w:rPr>
      </w:pPr>
      <w:r>
        <w:rPr>
          <w:rStyle w:val="26"/>
          <w:rFonts w:ascii="宋体" w:eastAsia="方正楷体_GBK" w:cs="方正楷体_GBK" w:hAnsi="宋体" w:hint="eastAsia"/>
          <w:b w:val="0"/>
          <w:bCs/>
          <w:kern w:val="2"/>
          <w:sz w:val="32"/>
          <w:szCs w:val="32"/>
          <w:shd w:val="clear" w:color="auto" w:fill="FFFFFF"/>
          <w:lang w:val="en-US" w:eastAsia="zh-CN" w:bidi="ar-SA"/>
        </w:rPr>
        <w:t>（一）预算绩效管理工作开展情况</w:t>
      </w:r>
    </w:p>
    <w:p>
      <w:pPr>
        <w:pStyle w:val="19"/>
        <w:shd w:val="clear" w:color="auto" w:fill="FFFFFF"/>
        <w:ind w:left="0" w:firstLineChars="200" w:firstLine="640"/>
        <w:rPr>
          <w:rFonts w:ascii="宋体" w:eastAsia="方正仿宋_GBK" w:cs="方正仿宋_GBK" w:hAnsi="宋体" w:hint="eastAsia"/>
          <w:kern w:val="0"/>
          <w:sz w:val="32"/>
          <w:szCs w:val="32"/>
          <w:lang w:eastAsia="zh-CN"/>
        </w:rPr>
      </w:pPr>
      <w:r>
        <w:rPr>
          <w:rFonts w:ascii="宋体" w:eastAsia="方正仿宋_GBK" w:cs="方正仿宋_GBK" w:hAnsi="宋体" w:hint="eastAsia"/>
          <w:kern w:val="0"/>
          <w:sz w:val="32"/>
          <w:szCs w:val="32"/>
        </w:rPr>
        <w:t>根据预算绩效管理要求，我</w:t>
      </w:r>
      <w:r>
        <w:rPr>
          <w:rFonts w:ascii="宋体" w:eastAsia="方正仿宋_GBK" w:cs="方正仿宋_GBK" w:hAnsi="宋体" w:hint="eastAsia"/>
          <w:kern w:val="0"/>
          <w:sz w:val="32"/>
          <w:szCs w:val="32"/>
          <w:lang w:eastAsia="zh-CN"/>
        </w:rPr>
        <w:t>站</w:t>
      </w:r>
      <w:r>
        <w:rPr>
          <w:rFonts w:ascii="宋体" w:eastAsia="方正仿宋_GBK" w:cs="方正仿宋_GBK" w:hAnsi="宋体" w:hint="eastAsia"/>
          <w:kern w:val="0"/>
          <w:sz w:val="32"/>
          <w:szCs w:val="32"/>
        </w:rPr>
        <w:t>（部、委、办）对部门整体和</w:t>
      </w:r>
      <w:r>
        <w:rPr>
          <w:rFonts w:ascii="宋体" w:eastAsia="方正仿宋_GBK" w:cs="方正仿宋_GBK" w:hAnsi="宋体" w:hint="eastAsia"/>
          <w:kern w:val="0"/>
          <w:sz w:val="32"/>
          <w:szCs w:val="32"/>
          <w:lang w:val="en-US" w:eastAsia="zh-CN"/>
        </w:rPr>
        <w:t>3</w:t>
      </w:r>
      <w:r>
        <w:rPr>
          <w:rFonts w:ascii="宋体" w:eastAsia="方正仿宋_GBK" w:cs="方正仿宋_GBK" w:hAnsi="宋体" w:hint="eastAsia"/>
          <w:kern w:val="0"/>
          <w:sz w:val="32"/>
          <w:szCs w:val="32"/>
        </w:rPr>
        <w:t>个项目开展了绩效自评，其中，以填报目标自评表形式开展自评</w:t>
      </w:r>
      <w:r>
        <w:rPr>
          <w:rFonts w:ascii="宋体" w:eastAsia="方正仿宋_GBK" w:cs="方正仿宋_GBK" w:hAnsi="宋体" w:hint="eastAsia"/>
          <w:kern w:val="0"/>
          <w:sz w:val="32"/>
          <w:szCs w:val="32"/>
          <w:lang w:val="en-US" w:eastAsia="zh-CN"/>
        </w:rPr>
        <w:t>3</w:t>
      </w:r>
      <w:r>
        <w:rPr>
          <w:rFonts w:ascii="宋体" w:eastAsia="方正仿宋_GBK" w:cs="方正仿宋_GBK" w:hAnsi="宋体" w:hint="eastAsia"/>
          <w:kern w:val="0"/>
          <w:sz w:val="32"/>
          <w:szCs w:val="32"/>
        </w:rPr>
        <w:t>项，涉及资金</w:t>
      </w:r>
      <w:r>
        <w:rPr>
          <w:rFonts w:eastAsia="方正仿宋_GBK" w:cs="方正仿宋_GBK" w:hint="eastAsia"/>
          <w:kern w:val="0"/>
          <w:sz w:val="32"/>
          <w:szCs w:val="32"/>
          <w:lang w:val="en-US" w:eastAsia="zh-CN"/>
        </w:rPr>
        <w:t>37.49</w:t>
      </w:r>
      <w:r>
        <w:rPr>
          <w:rFonts w:ascii="宋体" w:eastAsia="方正仿宋_GBK" w:cs="方正仿宋_GBK" w:hAnsi="宋体" w:hint="eastAsia"/>
          <w:kern w:val="0"/>
          <w:sz w:val="32"/>
          <w:szCs w:val="32"/>
        </w:rPr>
        <w:t>万元；以委托第三方形式开展绩效自评</w:t>
      </w:r>
      <w:r>
        <w:rPr>
          <w:rFonts w:ascii="宋体" w:eastAsia="方正仿宋_GBK" w:cs="方正仿宋_GBK" w:hAnsi="宋体" w:hint="eastAsia"/>
          <w:kern w:val="0"/>
          <w:sz w:val="32"/>
          <w:szCs w:val="32"/>
          <w:lang w:val="en-US" w:eastAsia="zh-CN"/>
        </w:rPr>
        <w:t>3</w:t>
      </w:r>
      <w:r>
        <w:rPr>
          <w:rFonts w:ascii="宋体" w:eastAsia="方正仿宋_GBK" w:cs="方正仿宋_GBK" w:hAnsi="宋体" w:hint="eastAsia"/>
          <w:kern w:val="0"/>
          <w:sz w:val="32"/>
          <w:szCs w:val="32"/>
        </w:rPr>
        <w:t>项，涉及资金</w:t>
      </w:r>
      <w:r>
        <w:rPr>
          <w:rFonts w:eastAsia="方正仿宋_GBK" w:cs="方正仿宋_GBK" w:hint="eastAsia"/>
          <w:kern w:val="0"/>
          <w:sz w:val="32"/>
          <w:szCs w:val="32"/>
          <w:lang w:val="en-US" w:eastAsia="zh-CN"/>
        </w:rPr>
        <w:t>37.49</w:t>
      </w:r>
      <w:r>
        <w:rPr>
          <w:rFonts w:ascii="宋体" w:eastAsia="方正仿宋_GBK" w:cs="方正仿宋_GBK" w:hAnsi="宋体" w:hint="eastAsia"/>
          <w:kern w:val="0"/>
          <w:sz w:val="32"/>
          <w:szCs w:val="32"/>
        </w:rPr>
        <w:t>万元</w:t>
      </w:r>
      <w:r>
        <w:rPr>
          <w:rFonts w:ascii="宋体" w:eastAsia="方正仿宋_GBK" w:cs="方正仿宋_GBK" w:hAnsi="宋体" w:hint="eastAsia"/>
          <w:kern w:val="0"/>
          <w:sz w:val="32"/>
          <w:szCs w:val="32"/>
          <w:lang w:eastAsia="zh-CN"/>
        </w:rPr>
        <w:t>。</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Style w:val="26"/>
          <w:rFonts w:ascii="宋体" w:eastAsia="方正楷体_GBK" w:cs="方正楷体_GBK" w:hAnsi="宋体" w:hint="eastAsia"/>
          <w:b w:val="0"/>
          <w:bCs/>
          <w:kern w:val="2"/>
          <w:sz w:val="32"/>
          <w:szCs w:val="32"/>
          <w:shd w:val="clear" w:color="auto" w:fill="FFFFFF"/>
          <w:lang w:val="en-US" w:eastAsia="zh-CN" w:bidi="ar-SA"/>
        </w:rPr>
      </w:pPr>
      <w:r>
        <w:rPr>
          <w:rStyle w:val="26"/>
          <w:rFonts w:ascii="宋体" w:eastAsia="方正楷体_GBK" w:cs="方正楷体_GBK" w:hAnsi="宋体" w:hint="eastAsia"/>
          <w:b w:val="0"/>
          <w:bCs/>
          <w:kern w:val="2"/>
          <w:sz w:val="32"/>
          <w:szCs w:val="32"/>
          <w:shd w:val="clear" w:color="auto" w:fill="FFFFFF"/>
          <w:lang w:val="en-US" w:eastAsia="zh-CN" w:bidi="ar-SA"/>
        </w:rPr>
        <w:t>（二）绩效自评结果</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宋体" w:eastAsia="方正仿宋_GBK" w:cs="方正仿宋_GBK" w:hAnsi="宋体" w:hint="eastAsia"/>
          <w:b/>
          <w:bCs/>
          <w:color w:val="auto"/>
          <w:sz w:val="32"/>
          <w:lang w:val="en-US" w:eastAsia="zh-CN"/>
        </w:rPr>
      </w:pPr>
      <w:r>
        <w:rPr>
          <w:rFonts w:ascii="宋体" w:eastAsia="方正仿宋_GBK" w:cs="方正仿宋_GBK" w:hAnsi="宋体" w:hint="eastAsia"/>
          <w:b/>
          <w:bCs/>
          <w:color w:val="auto"/>
          <w:sz w:val="32"/>
          <w:lang w:val="en-US" w:eastAsia="zh-CN"/>
        </w:rPr>
        <w:t>1. 绩效目标自评表</w:t>
      </w:r>
    </w:p>
    <w:p>
      <w:pPr>
        <w:pStyle w:val="25"/>
        <w:keepNext w:val="0"/>
        <w:keepLines w:val="0"/>
        <w:pageBreakBefore w:val="0"/>
        <w:tabs>
          <w:tab w:val="center" w:pos="4153"/>
          <w:tab w:val="left" w:pos="7275"/>
        </w:tabs>
        <w:kinsoku/>
        <w:wordWrap/>
        <w:overflowPunct/>
        <w:topLinePunct w:val="0"/>
        <w:autoSpaceDN/>
        <w:bidi w:val="0"/>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color w:val="auto"/>
          <w:kern w:val="0"/>
          <w:sz w:val="32"/>
          <w:szCs w:val="32"/>
          <w:lang w:val="en-US" w:eastAsia="zh-CN"/>
        </w:rPr>
        <w:t>一</w:t>
      </w:r>
      <w:r>
        <w:rPr>
          <w:rFonts w:ascii="宋体" w:eastAsia="方正仿宋_GBK" w:cs="方正仿宋_GBK" w:hAnsi="宋体" w:hint="eastAsia"/>
          <w:color w:val="auto"/>
          <w:kern w:val="0"/>
          <w:sz w:val="32"/>
          <w:szCs w:val="32"/>
        </w:rPr>
        <w:t>个一般性项目绩效自评表进行公开。</w:t>
      </w:r>
    </w:p>
    <w:p>
      <w:pPr>
        <w:pStyle w:val="25"/>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kern w:val="0"/>
          <w:sz w:val="32"/>
          <w:szCs w:val="32"/>
        </w:rPr>
      </w:pPr>
      <w:r>
        <w:rPr>
          <w:rFonts w:ascii="宋体" w:eastAsia="方正仿宋_GBK" w:cs="方正仿宋_GBK" w:hAnsi="宋体" w:hint="eastAsia"/>
          <w:kern w:val="0"/>
          <w:sz w:val="32"/>
          <w:szCs w:val="32"/>
        </w:rPr>
        <w:t>（2）公开内容。详见表格。</w:t>
      </w:r>
    </w:p>
    <w:p>
      <w:pPr>
        <w:pStyle w:val="25"/>
        <w:keepNext w:val="0"/>
        <w:keepLines w:val="0"/>
        <w:pageBreakBefore w:val="0"/>
        <w:tabs>
          <w:tab w:val="center" w:pos="4153"/>
          <w:tab w:val="left" w:pos="7275"/>
        </w:tabs>
        <w:kinsoku/>
        <w:wordWrap/>
        <w:overflowPunct/>
        <w:topLinePunct w:val="0"/>
        <w:autoSpaceDN/>
        <w:bidi w:val="0"/>
        <w:snapToGrid/>
        <w:spacing w:line="579" w:lineRule="exact"/>
        <w:ind w:firstLineChars="0" w:firstLine="0"/>
        <w:jc w:val="center"/>
        <w:textAlignment w:val="auto"/>
        <w:rPr>
          <w:rFonts w:ascii="方正黑体_GBK" w:eastAsia="方正黑体_GBK" w:cs="方正黑体_GBK" w:hint="eastAsia"/>
          <w:b w:val="0"/>
          <w:bCs w:val="0"/>
          <w:color w:val="000000"/>
          <w:kern w:val="0"/>
          <w:sz w:val="36"/>
          <w:szCs w:val="36"/>
        </w:rPr>
      </w:pPr>
      <w:r>
        <w:rPr>
          <w:rFonts w:ascii="方正黑体_GBK" w:eastAsia="方正黑体_GBK" w:cs="方正黑体_GBK" w:hint="eastAsia"/>
          <w:b w:val="0"/>
          <w:bCs w:val="0"/>
          <w:color w:val="000000"/>
          <w:kern w:val="0"/>
          <w:sz w:val="36"/>
          <w:szCs w:val="36"/>
          <w:lang w:val="en-US" w:eastAsia="zh-CN"/>
        </w:rPr>
        <w:t>2024年度项目</w:t>
      </w:r>
      <w:r>
        <w:rPr>
          <w:rFonts w:ascii="方正黑体_GBK" w:eastAsia="方正黑体_GBK" w:cs="方正黑体_GBK" w:hint="eastAsia"/>
          <w:b w:val="0"/>
          <w:bCs w:val="0"/>
          <w:color w:val="000000"/>
          <w:kern w:val="0"/>
          <w:sz w:val="36"/>
          <w:szCs w:val="36"/>
        </w:rPr>
        <w:t>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名称</w:t>
            </w:r>
          </w:p>
        </w:tc>
        <w:tc>
          <w:tcPr>
            <w:tcW w:w="3701" w:type="dxa"/>
            <w:gridSpan w:val="6"/>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深化农村土地确权档案整理及数字化工作</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4348"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100</w:t>
            </w:r>
          </w:p>
        </w:tc>
      </w:tr>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lang w:val="en-US" w:eastAsia="zh-CN"/>
              </w:rPr>
              <w:t>项目</w:t>
            </w:r>
            <w:r>
              <w:rPr>
                <w:rFonts w:ascii="宋体" w:eastAsia="方正仿宋_GBK" w:cs="方正仿宋_GBK" w:hAnsi="宋体" w:hint="eastAsia"/>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部门</w:t>
            </w: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重庆市江津区农业农村委员会</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财政归口科室</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农业农村科</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keepNext w:val="0"/>
              <w:keepLines w:val="0"/>
              <w:pageBreakBefore w:val="0"/>
              <w:widowControl/>
              <w:tabs>
                <w:tab w:val="left" w:pos="257"/>
              </w:tabs>
              <w:kinsoku/>
              <w:wordWrap/>
              <w:overflowPunct/>
              <w:topLinePunct w:val="0"/>
              <w:autoSpaceDN/>
              <w:bidi w:val="0"/>
              <w:snapToGrid/>
              <w:spacing w:line="579" w:lineRule="exact"/>
              <w:jc w:val="left"/>
              <w:textAlignment w:val="auto"/>
              <w:rPr>
                <w:rFonts w:ascii="宋体" w:eastAsia="方正仿宋_GBK" w:cs="方正仿宋_GBK" w:hAnsi="宋体" w:hint="eastAsia"/>
                <w:color w:val="000000"/>
                <w:kern w:val="0"/>
                <w:sz w:val="24"/>
                <w:szCs w:val="24"/>
                <w:lang w:eastAsia="zh-CN"/>
              </w:rPr>
            </w:pPr>
            <w:r>
              <w:rPr>
                <w:rFonts w:ascii="宋体" w:eastAsia="方正仿宋_GBK" w:cs="方正仿宋_GBK" w:hAnsi="宋体" w:hint="eastAsia"/>
                <w:color w:val="000000"/>
                <w:kern w:val="0"/>
                <w:sz w:val="24"/>
                <w:szCs w:val="24"/>
                <w:lang w:eastAsia="zh-CN"/>
              </w:rPr>
              <w:t>方清涛</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keepNext w:val="0"/>
              <w:keepLines w:val="0"/>
              <w:pageBreakBefore w:val="0"/>
              <w:widowControl/>
              <w:tabs>
                <w:tab w:val="left" w:pos="257"/>
              </w:tabs>
              <w:kinsoku/>
              <w:wordWrap/>
              <w:overflowPunct/>
              <w:topLinePunct w:val="0"/>
              <w:autoSpaceDN/>
              <w:snapToGrid/>
              <w:spacing w:line="579" w:lineRule="exact"/>
              <w:rPr>
                <w:rFonts w:ascii="宋体" w:eastAsia="方正仿宋_GBK" w:cs="方正仿宋_GBK" w:hAnsi="宋体" w:hint="eastAsia"/>
                <w:color w:val="000000"/>
                <w:kern w:val="0"/>
                <w:sz w:val="24"/>
                <w:szCs w:val="24"/>
              </w:rPr>
            </w:pPr>
            <w:r>
              <w:rPr>
                <w:rFonts w:eastAsia="方正仿宋_GBK" w:cs="方正仿宋_GBK" w:hint="eastAsia"/>
                <w:color w:val="000000"/>
              </w:rPr>
              <w:t>023-47533371</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项目资金（万元）</w:t>
            </w:r>
          </w:p>
        </w:tc>
        <w:tc>
          <w:tcPr>
            <w:tcW w:w="1464" w:type="dxa"/>
            <w:gridSpan w:val="2"/>
            <w:vMerge w:val="restart"/>
            <w:tcBorders>
              <w:tl2br w:val="nil"/>
              <w:tr2bl w:val="nil"/>
            </w:tcBorders>
            <w:noWrap/>
            <w:vAlign w:val="center"/>
          </w:tcPr>
          <w:p>
            <w:pPr>
              <w:keepNext w:val="0"/>
              <w:keepLines w:val="0"/>
              <w:pageBreakBefore w:val="0"/>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年度总金额</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预算数</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全年（调整）预算数</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color w:val="000000"/>
                <w:kern w:val="0"/>
                <w:sz w:val="24"/>
                <w:szCs w:val="24"/>
                <w:lang w:val="en-US" w:eastAsia="zh-CN"/>
              </w:rPr>
              <w:t>678550</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339275</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339275</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kern w:val="0"/>
                <w:sz w:val="24"/>
                <w:szCs w:val="24"/>
                <w:lang w:val="en-US" w:eastAsia="zh-CN"/>
              </w:rPr>
            </w:pP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财政拨款</w:t>
            </w:r>
          </w:p>
        </w:tc>
        <w:tc>
          <w:tcPr>
            <w:tcW w:w="1075"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bidi="ar-SA"/>
              </w:rPr>
            </w:pPr>
            <w:r>
              <w:rPr>
                <w:rFonts w:ascii="宋体" w:eastAsia="方正仿宋_GBK" w:cs="方正仿宋_GBK" w:hAnsi="宋体"/>
                <w:color w:val="000000"/>
                <w:kern w:val="0"/>
                <w:sz w:val="24"/>
                <w:szCs w:val="24"/>
                <w:lang w:val="en-US" w:eastAsia="zh-CN"/>
              </w:rPr>
              <w:t>678550</w:t>
            </w:r>
          </w:p>
        </w:tc>
        <w:tc>
          <w:tcPr>
            <w:tcW w:w="1162"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bidi="ar-SA"/>
              </w:rPr>
            </w:pPr>
            <w:r>
              <w:rPr>
                <w:rFonts w:eastAsia="方正仿宋_GBK" w:cs="方正仿宋_GBK" w:hint="eastAsia"/>
                <w:color w:val="000000"/>
                <w:kern w:val="0"/>
                <w:sz w:val="24"/>
                <w:szCs w:val="24"/>
                <w:lang w:val="en-US" w:eastAsia="zh-CN"/>
              </w:rPr>
              <w:t>339275</w:t>
            </w:r>
          </w:p>
        </w:tc>
        <w:tc>
          <w:tcPr>
            <w:tcW w:w="2316" w:type="dxa"/>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bidi="ar-SA"/>
              </w:rPr>
            </w:pPr>
            <w:r>
              <w:rPr>
                <w:rFonts w:eastAsia="方正仿宋_GBK" w:cs="方正仿宋_GBK" w:hint="eastAsia"/>
                <w:color w:val="000000"/>
                <w:kern w:val="0"/>
                <w:sz w:val="24"/>
                <w:szCs w:val="24"/>
                <w:lang w:val="en-US" w:eastAsia="zh-CN"/>
              </w:rPr>
              <w:t>339275</w:t>
            </w:r>
          </w:p>
        </w:tc>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bidi="ar-SA"/>
              </w:rPr>
            </w:pPr>
            <w:r>
              <w:rPr>
                <w:rFonts w:ascii="宋体" w:eastAsia="方正仿宋_GBK" w:cs="方正仿宋_GBK" w:hAnsi="宋体" w:hint="eastAsia"/>
                <w:color w:val="000000"/>
                <w:kern w:val="0"/>
                <w:sz w:val="24"/>
                <w:szCs w:val="24"/>
                <w:lang w:val="en-US" w:eastAsia="zh-CN"/>
              </w:rPr>
              <w:t>100</w:t>
            </w:r>
          </w:p>
        </w:tc>
        <w:tc>
          <w:tcPr>
            <w:tcW w:w="93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kern w:val="0"/>
                <w:sz w:val="24"/>
                <w:szCs w:val="24"/>
                <w:lang w:val="en-US" w:eastAsia="zh-CN" w:bidi="ar-SA"/>
              </w:rPr>
            </w:pPr>
            <w:r>
              <w:rPr>
                <w:rFonts w:ascii="宋体" w:eastAsia="方正仿宋_GBK" w:cs="方正仿宋_GBK" w:hAnsi="宋体" w:hint="eastAsia"/>
                <w:kern w:val="0"/>
                <w:sz w:val="24"/>
                <w:szCs w:val="24"/>
                <w:lang w:val="en-US" w:eastAsia="zh-CN"/>
              </w:rPr>
              <w:t>10</w:t>
            </w:r>
          </w:p>
        </w:tc>
        <w:tc>
          <w:tcPr>
            <w:tcW w:w="1238"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bidi="ar-SA"/>
              </w:rPr>
            </w:pPr>
            <w:r>
              <w:rPr>
                <w:rFonts w:ascii="宋体" w:eastAsia="方正仿宋_GBK" w:cs="方正仿宋_GBK" w:hAnsi="宋体" w:hint="eastAsia"/>
                <w:color w:val="000000"/>
                <w:kern w:val="0"/>
                <w:sz w:val="24"/>
                <w:szCs w:val="24"/>
                <w:lang w:val="en-US" w:eastAsia="zh-CN"/>
              </w:rPr>
              <w:t>10</w:t>
            </w:r>
          </w:p>
        </w:tc>
      </w:tr>
      <w:tr>
        <w:trPr>
          <w:trHeight w:val="469"/>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当年绩效目标</w:t>
            </w: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847" w:type="dxa"/>
            <w:vMerge/>
            <w:tcBorders>
              <w:tl2br w:val="nil"/>
              <w:tr2bl w:val="nil"/>
            </w:tcBorders>
            <w:noWrap/>
            <w:vAlign w:val="center"/>
          </w:tcP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农村土地确权档案整理及数字化</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农村土地确权档案整理及数字化</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绩效指标</w:t>
            </w: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偏离度（%）</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说明</w:t>
            </w: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统计抽样数量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个</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r>
      <w:tr>
        <w:trPr>
          <w:trHeight w:val="408"/>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ind w:firstLine="216"/>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统计调查对象数量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lang w:eastAsia="zh-CN"/>
              </w:rPr>
            </w:pPr>
            <w:r>
              <w:rPr>
                <w:rFonts w:ascii="宋体" w:eastAsia="方正仿宋_GBK" w:cs="方正仿宋_GBK" w:hAnsi="宋体" w:hint="eastAsia"/>
                <w:color w:val="000000"/>
                <w:kern w:val="0"/>
                <w:sz w:val="24"/>
                <w:szCs w:val="24"/>
                <w:lang w:eastAsia="zh-CN"/>
              </w:rPr>
              <w:t>个</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r>
      <w:tr>
        <w:trPr>
          <w:trHeight w:val="408"/>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统计调查覆盖率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95</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r>
      <w:tr>
        <w:trPr>
          <w:trHeight w:val="408"/>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成果利用率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95</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3.16</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r>
      <w:tr>
        <w:trPr>
          <w:trHeight w:val="408"/>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审计对象满意度</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95</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900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10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eastAsia="方正仿宋_GBK" w:cs="方正仿宋_GBK"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r>
    </w:tbl>
    <w:p>
      <w:pPr>
        <w:pStyle w:val="25"/>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kern w:val="0"/>
          <w:sz w:val="32"/>
          <w:szCs w:val="32"/>
        </w:rPr>
      </w:pPr>
    </w:p>
    <w:p>
      <w:pPr>
        <w:pStyle w:val="25"/>
        <w:keepNext w:val="0"/>
        <w:keepLines w:val="0"/>
        <w:pageBreakBefore w:val="0"/>
        <w:widowControl w:val="0"/>
        <w:numPr>
          <w:ilvl w:val="0"/>
          <w:numId w:val="5"/>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宋体" w:eastAsia="方正仿宋_GBK" w:cs="方正仿宋_GBK" w:hAnsi="宋体" w:hint="eastAsia"/>
          <w:b/>
          <w:bCs w:val="0"/>
          <w:kern w:val="0"/>
          <w:sz w:val="32"/>
          <w:szCs w:val="32"/>
        </w:rPr>
      </w:pPr>
      <w:r>
        <w:rPr>
          <w:rFonts w:ascii="宋体" w:eastAsia="方正仿宋_GBK" w:cs="方正仿宋_GBK" w:hAnsi="宋体" w:hint="eastAsia"/>
          <w:b/>
          <w:bCs w:val="0"/>
          <w:kern w:val="0"/>
          <w:sz w:val="32"/>
          <w:szCs w:val="32"/>
        </w:rPr>
        <w:t>绩效自评报告或案例</w:t>
      </w:r>
    </w:p>
    <w:p>
      <w:pPr>
        <w:pStyle w:val="25"/>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Chars="200" w:left="480"/>
        <w:textAlignment w:val="auto"/>
        <w:rPr>
          <w:rFonts w:ascii="宋体" w:eastAsia="方正仿宋_GBK" w:cs="方正仿宋_GBK" w:hAnsi="宋体" w:hint="eastAsia"/>
          <w:b/>
          <w:bCs w:val="0"/>
          <w:kern w:val="0"/>
          <w:sz w:val="32"/>
          <w:szCs w:val="32"/>
        </w:rPr>
      </w:pPr>
      <w:r>
        <w:rPr>
          <w:rFonts w:ascii="宋体" w:eastAsia="方正仿宋_GBK" w:cs="方正仿宋_GBK" w:hAnsi="宋体" w:hint="eastAsia"/>
          <w:kern w:val="0"/>
          <w:sz w:val="32"/>
          <w:szCs w:val="32"/>
          <w:lang w:val="en-US" w:eastAsia="zh-CN"/>
        </w:rPr>
        <w:t>本单位无此事项。</w:t>
      </w:r>
    </w:p>
    <w:p>
      <w:pPr>
        <w:pStyle w:val="25"/>
        <w:keepNext w:val="0"/>
        <w:keepLines w:val="0"/>
        <w:pageBreakBefore w:val="0"/>
        <w:widowControl w:val="0"/>
        <w:numPr>
          <w:ilvl w:val="0"/>
          <w:numId w:val="5"/>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宋体" w:eastAsia="方正仿宋_GBK" w:cs="方正仿宋_GBK" w:hAnsi="宋体" w:hint="eastAsia"/>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5"/>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Chars="400" w:firstLine="1280"/>
        <w:textAlignment w:val="auto"/>
        <w:rPr>
          <w:rFonts w:ascii="宋体" w:eastAsia="方正仿宋_GBK" w:cs="方正仿宋_GBK" w:hAnsi="宋体" w:hint="eastAsia"/>
          <w:kern w:val="0"/>
          <w:sz w:val="32"/>
          <w:szCs w:val="32"/>
        </w:rPr>
      </w:pPr>
      <w:r>
        <w:rPr>
          <w:rFonts w:eastAsia="方正仿宋_GBK" w:cs="方正仿宋_GBK" w:hint="eastAsia"/>
          <w:kern w:val="0"/>
          <w:sz w:val="32"/>
          <w:szCs w:val="32"/>
          <w:lang w:val="en-US" w:eastAsia="zh-CN"/>
        </w:rPr>
        <w:t>本单位</w:t>
      </w:r>
      <w:r>
        <w:rPr>
          <w:rFonts w:ascii="宋体" w:eastAsia="方正仿宋_GBK" w:cs="方正仿宋_GBK" w:hAnsi="宋体" w:hint="eastAsia"/>
          <w:kern w:val="0"/>
          <w:sz w:val="32"/>
          <w:szCs w:val="32"/>
        </w:rPr>
        <w:t>完成</w:t>
      </w:r>
      <w:r>
        <w:rPr>
          <w:rFonts w:eastAsia="方正仿宋_GBK" w:cs="方正仿宋_GBK" w:hint="eastAsia"/>
          <w:kern w:val="0"/>
          <w:sz w:val="32"/>
          <w:szCs w:val="32"/>
          <w:lang w:val="en-US" w:eastAsia="zh-CN"/>
        </w:rPr>
        <w:t>了</w:t>
      </w:r>
      <w:r>
        <w:rPr>
          <w:rFonts w:ascii="宋体" w:eastAsia="方正仿宋_GBK" w:cs="方正仿宋_GBK" w:hAnsi="宋体" w:hint="eastAsia"/>
          <w:kern w:val="0"/>
          <w:sz w:val="32"/>
          <w:szCs w:val="32"/>
        </w:rPr>
        <w:t>年度绩效目标。</w:t>
      </w:r>
    </w:p>
    <w:p>
      <w:pPr>
        <w:pStyle w:val="25"/>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color w:val="333333"/>
          <w:sz w:val="32"/>
          <w:szCs w:val="32"/>
        </w:rPr>
      </w:pPr>
      <w:r>
        <w:rPr>
          <w:rFonts w:ascii="宋体" w:eastAsia="方正楷体_GBK" w:cs="方正楷体_GBK" w:hAnsi="宋体" w:hint="eastAsia"/>
          <w:color w:val="333333"/>
          <w:sz w:val="32"/>
          <w:szCs w:val="32"/>
        </w:rPr>
        <w:t>重点绩效评价结果</w:t>
      </w:r>
    </w:p>
    <w:p>
      <w:pPr>
        <w:pStyle w:val="25"/>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Chars="200" w:left="480" w:firstLineChars="300" w:firstLine="960"/>
        <w:textAlignment w:val="auto"/>
        <w:outlineLvl w:val="1"/>
        <w:rPr>
          <w:rFonts w:ascii="宋体" w:eastAsia="方正仿宋_GBK" w:cs="方正仿宋_GBK" w:hAnsi="宋体"/>
          <w:kern w:val="0"/>
          <w:sz w:val="32"/>
          <w:szCs w:val="32"/>
          <w:lang w:eastAsia="zh-CN"/>
        </w:rPr>
      </w:pPr>
      <w:r>
        <w:rPr>
          <w:rFonts w:ascii="宋体" w:eastAsia="方正仿宋_GBK" w:cs="方正仿宋_GBK" w:hAnsi="宋体" w:hint="eastAsia"/>
          <w:kern w:val="0"/>
          <w:sz w:val="32"/>
          <w:szCs w:val="32"/>
          <w:lang w:val="en-US" w:eastAsia="zh-CN"/>
        </w:rPr>
        <w:t>本单位无此事项。</w:t>
      </w:r>
    </w:p>
    <w:p>
      <w:pPr>
        <w:pStyle w:val="19"/>
        <w:shd w:val="clear" w:color="auto" w:fill="FFFFFF"/>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xml:space="preserve">  </w:t>
      </w:r>
      <w:r>
        <w:rPr>
          <w:rStyle w:val="20"/>
          <w:rFonts w:ascii="黑体" w:eastAsia="黑体" w:cs="黑体"/>
          <w:sz w:val="32"/>
          <w:szCs w:val="32"/>
          <w:shd w:val="clear" w:color="auto" w:fill="FFFFFF"/>
        </w:rPr>
        <w:t>六、专业名词解释</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b/>
          <w:bCs/>
          <w:sz w:val="32"/>
          <w:szCs w:val="32"/>
          <w:shd w:val="clear" w:color="auto" w:fill="FFFFFF"/>
        </w:rPr>
        <w:t> </w:t>
      </w:r>
      <w:r>
        <w:rPr>
          <w:rFonts w:ascii="楷体" w:eastAsia="楷体" w:cs="楷体"/>
          <w:b/>
          <w:bCs/>
          <w:sz w:val="32"/>
          <w:szCs w:val="32"/>
          <w:shd w:val="clear" w:color="auto" w:fill="FFFFFF"/>
        </w:rPr>
        <w:t>（一）财政拨款收入：</w:t>
      </w:r>
      <w:r>
        <w:rPr>
          <w:rFonts w:asci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（二）事业收入</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（三）经营收入</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指事业单位在专业业务活动及其辅助活动之外开展非独立核算经营活动取得的现金流入。</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（四）其他收入</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楷体" w:eastAsia="楷体" w:cs="楷体"/>
          <w:sz w:val="32"/>
          <w:szCs w:val="32"/>
          <w:shd w:val="clear" w:color="auto" w:fill="FFFFFF"/>
        </w:rPr>
        <w:t>（五）使用非财政拨款结余</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（六）年初结转和结余</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指单位上年结转本年使用的基本支出结转、项目支出结转和结余、经营结余。</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（七）结余分配</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（八）年末结转和结余</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指单位结转下年的基本支出结转、项目支出结转和结余、经营结余。</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（九）基本支出</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（十）项目支出</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指在基本支出之外为完成特定行政任务和事业发展目标所发生的支出。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（十一）经营支出</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指事业单位在专业业务活动及其辅助活动之外开展非独立核算经营活动发生的支出。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（十二）“三公”经费</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（十三）机关运行经费</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（十四）工资福利支出（支出经济分类科目类级）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（十五）商品和服务支出（支出经济分类科目类级）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反映单位购买商品和服务的支出（不包括用于购置固定资产的支出、战略性和应急储备支出）。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楷体" w:eastAsia="楷体" w:cs="楷体"/>
          <w:sz w:val="32"/>
          <w:szCs w:val="32"/>
          <w:shd w:val="clear" w:color="auto" w:fill="FFFFFF"/>
        </w:rPr>
        <w:t> （十六）对个人和家庭的补助（支出经济分类科目类级）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反映用于对个人和家庭的补助支出。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（十七）其他资本性支出（支出经济分类科目类级）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9"/>
        <w:shd w:val="clear" w:color="auto" w:fill="FFFFFF"/>
        <w:rPr>
          <w:rStyle w:val="20"/>
          <w:rFonts w:ascii="黑体" w:eastAsia="黑体" w:cs="黑体"/>
          <w:sz w:val="32"/>
          <w:szCs w:val="32"/>
          <w:shd w:val="clear" w:color="auto" w:fill="FFFFFF"/>
        </w:rPr>
      </w:pPr>
      <w:r>
        <w:rPr>
          <w:rStyle w:val="20"/>
          <w:rFonts w:ascii="方正仿宋_GBK" w:eastAsia="方正仿宋_GBK" w:cs="方正仿宋_GBK"/>
          <w:sz w:val="32"/>
          <w:szCs w:val="32"/>
          <w:shd w:val="clear" w:color="auto" w:fill="FFFFFF"/>
        </w:rPr>
        <w:t xml:space="preserve">  </w:t>
      </w:r>
      <w:r>
        <w:rPr>
          <w:rStyle w:val="20"/>
          <w:rFonts w:ascii="黑体" w:eastAsia="黑体" w:cs="黑体"/>
          <w:sz w:val="32"/>
          <w:szCs w:val="32"/>
          <w:shd w:val="clear" w:color="auto" w:fill="FFFFFF"/>
        </w:rPr>
        <w:t>七、决算公开联系方式及信息反馈渠道</w:t>
      </w:r>
    </w:p>
    <w:p>
      <w:pPr>
        <w:pStyle w:val="19"/>
        <w:keepNext w:val="0"/>
        <w:keepLines w:val="0"/>
        <w:pageBreakBefore w:val="0"/>
        <w:widowControl w:val="0"/>
        <w:shd w:val="clear" w:color="auto" w:fill="FFFFFF"/>
        <w:kinsoku/>
        <w:wordWrap/>
        <w:overflowPunct/>
        <w:topLinePunct w:val="0"/>
        <w:autoSpaceDN/>
        <w:bidi w:val="0"/>
        <w:snapToGrid/>
        <w:spacing w:before="0" w:beforeAutospacing="0" w:after="0" w:afterAutospacing="0" w:line="579" w:lineRule="exact"/>
        <w:ind w:left="0"/>
        <w:jc w:val="both"/>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本单位决算公开信息反馈和联系方式：</w:t>
      </w:r>
    </w:p>
    <w:p>
      <w:pPr>
        <w:pStyle w:val="19"/>
        <w:keepNext w:val="0"/>
        <w:keepLines w:val="0"/>
        <w:pageBreakBefore w:val="0"/>
        <w:widowControl w:val="0"/>
        <w:shd w:val="clear" w:color="auto" w:fill="FFFFFF"/>
        <w:kinsoku/>
        <w:wordWrap/>
        <w:overflowPunct/>
        <w:topLinePunct w:val="0"/>
        <w:autoSpaceDN/>
        <w:bidi w:val="0"/>
        <w:snapToGrid/>
        <w:spacing w:before="0" w:beforeAutospacing="0" w:after="0" w:afterAutospacing="0" w:line="579" w:lineRule="exact"/>
        <w:ind w:left="0"/>
        <w:jc w:val="both"/>
        <w:textAlignment w:val="auto"/>
        <w:rPr>
          <w:rFonts w:ascii="宋体" w:eastAsia="方正仿宋_GBK" w:cs="方正仿宋_GBK" w:hAnsi="宋体"/>
          <w:sz w:val="32"/>
          <w:szCs w:val="32"/>
          <w:lang w:val="en-US"/>
        </w:rPr>
      </w:pPr>
      <w:r>
        <w:rPr>
          <w:rFonts w:ascii="宋体" w:eastAsia="方正仿宋_GBK" w:cs="方正仿宋_GBK" w:hAnsi="宋体" w:hint="eastAsia"/>
          <w:sz w:val="32"/>
          <w:szCs w:val="32"/>
          <w:lang w:val="en-US" w:eastAsia="zh-CN"/>
        </w:rPr>
        <w:t>联系人：黎思海</w:t>
      </w:r>
      <w:r>
        <w:rPr>
          <w:rFonts w:ascii="宋体" w:eastAsia="方正仿宋_GBK" w:cs="方正仿宋_GBK" w:hAnsi="宋体" w:hint="eastAsia"/>
          <w:sz w:val="32"/>
          <w:szCs w:val="32"/>
        </w:rPr>
        <w:t xml:space="preserve">    </w:t>
      </w:r>
      <w:r>
        <w:rPr>
          <w:rFonts w:ascii="宋体" w:eastAsia="方正仿宋_GBK" w:cs="方正仿宋_GBK" w:hAnsi="宋体" w:hint="eastAsia"/>
          <w:sz w:val="32"/>
          <w:szCs w:val="32"/>
          <w:lang w:val="en-US" w:eastAsia="zh-CN"/>
        </w:rPr>
        <w:t>联系电话：</w:t>
      </w:r>
      <w:r>
        <w:rPr>
          <w:rFonts w:ascii="宋体" w:eastAsia="方正仿宋_GBK" w:cs="方正仿宋_GBK" w:hAnsi="宋体"/>
          <w:sz w:val="32"/>
          <w:szCs w:val="32"/>
          <w:lang w:val="en-US" w:eastAsia="zh-CN"/>
        </w:rPr>
        <w:t>023-47533371</w:t>
      </w:r>
    </w:p>
    <w:p>
      <w:pPr>
        <w:pStyle w:val="19"/>
        <w:shd w:val="clear" w:color="auto" w:fill="FFFFFF"/>
        <w:rPr>
          <w:rStyle w:val="20"/>
          <w:rFonts w:ascii="黑体" w:eastAsia="黑体" w:cs="黑体"/>
          <w:sz w:val="32"/>
          <w:szCs w:val="32"/>
          <w:shd w:val="clear" w:color="auto" w:fill="FFFFFF"/>
        </w:rPr>
      </w:pPr>
    </w:p>
    <w:p>
      <w:pPr>
        <w:pStyle w:val="19"/>
        <w:shd w:val="clear" w:color="auto" w:fill="FFFFFF"/>
        <w:rPr>
          <w:rStyle w:val="20"/>
          <w:rFonts w:ascii="黑体" w:eastAsia="黑体" w:cs="黑体"/>
          <w:sz w:val="32"/>
          <w:szCs w:val="32"/>
          <w:shd w:val="clear" w:color="auto" w:fill="FFFFFF"/>
        </w:rPr>
      </w:pPr>
    </w:p>
    <w:p>
      <w:pPr>
        <w:pStyle w:val="19"/>
        <w:shd w:val="clear" w:color="auto" w:fill="FFFFFF"/>
        <w:rPr>
          <w:rStyle w:val="20"/>
          <w:rFonts w:ascii="黑体" w:eastAsia="黑体" w:cs="黑体"/>
          <w:sz w:val="32"/>
          <w:szCs w:val="32"/>
          <w:shd w:val="clear" w:color="auto" w:fill="FFFFFF"/>
        </w:rPr>
      </w:pPr>
    </w:p>
    <w:p>
      <w:pPr>
        <w:rPr>
          <w:rFonts w:cs="宋体"/>
          <w:sz w:val="21"/>
          <w:szCs w:val="21"/>
        </w:rPr>
      </w:pPr>
    </w:p>
    <w:sectPr>
      <w:headerReference w:type="default" r:id="rId2"/>
      <w:footerReference w:type="default" r:id="rId3"/>
      <w:pgSz w:w="11907" w:h="16839"/>
      <w:pgMar w:top="454" w:right="567" w:bottom="1037" w:left="567" w:header="0" w:footer="283" w:gutter="0"/>
      <w:pgNumType w:fmt="numberInDash"/>
      <w:docGrid w:type="lines"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both"/>
    </w:pPr>
    <w:r>
      <mc:AlternateContent>
        <mc:Choice Requires="wps">
          <w:drawing>
            <wp:anchor distT="0" distB="0" distL="114298" distR="114298" simplePos="0" relativeHeight="12" behindDoc="0" locked="0" layoutInCell="1" hidden="0" allowOverlap="0">
              <wp:simplePos x="0" y="0"/>
              <wp:positionH relativeFrom="margin">
                <wp:align>center</wp:align>
              </wp:positionH>
              <wp:positionV relativeFrom="paragraph">
                <wp:posOffset>0</wp:posOffset>
              </wp:positionV>
              <wp:extent cx="342900" cy="14801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42900" cy="148018"/>
                      </a:xfrm>
                      <a:prstGeom prst="rect"/>
                      <a:noFill/>
                      <a:ln w="6350" cmpd="sng" cap="flat">
                        <a:noFill/>
                        <a:prstDash val="solid"/>
                        <a:round/>
                      </a:ln>
                    </wps:spPr>
                    <wps:txbx id="2">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25 -</w:t>
                          </w:r>
                          <w:r>
                            <w:fldChar w:fldCharType="end"/>
                          </w:r>
                          <w:r>
                            <w:t xml:space="preserve"> </w:t>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o:allowoverlap="f" style="position:absolute;margin-left:0.0pt;margin-top:0.0pt;width:27.0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25 -</w:t>
                    </w:r>
                    <w:r>
                      <w:fldChar w:fldCharType="end"/>
                    </w:r>
                    <w:r>
                      <w:t xml:space="preserve"> </w:t>
                    </w:r>
                  </w:p>
                </w:txbxContent>
              </v:textbox>
            </v:shape>
          </w:pict>
        </mc:Fallback>
      </mc:AlternateContent>
    </w:r>
    <w:r>
      <mc:AlternateContent>
        <mc:Choice Requires="wps">
          <w:drawing>
            <wp:anchor distT="0" distB="0" distL="114298" distR="114298" simplePos="0" relativeHeight="11"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4" name="文本框 4"/>
              <wp:cNvGraphicFramePr>
                <a:graphicFrameLocks noChangeAspect="0"/>
              </wp:cNvGraphicFramePr>
              <a:graphic>
                <a:graphicData uri="http://schemas.microsoft.com/office/word/2010/wordprocessingShape">
                  <wps:wsp>
                    <wps:cNvSpPr/>
                    <wps:spPr>
                      <a:xfrm rot="0">
                        <a:off x="0" y="0"/>
                        <a:ext cx="581024" cy="220979"/>
                      </a:xfrm>
                      <a:prstGeom prst="rect"/>
                      <a:noFill/>
                      <a:ln w="6350" cmpd="sng" cap="flat">
                        <a:noFill/>
                        <a:prstDash val="solid"/>
                        <a:round/>
                      </a:ln>
                    </wps:spPr>
                    <wps:txbx id="5">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0">
                      <a:noAutofit/>
                    </wps:bodyPr>
                  </wps:wsp>
                </a:graphicData>
              </a:graphic>
            </wp:anchor>
          </w:drawing>
        </mc:Choice>
        <mc:Fallback>
          <w:pict>
            <v:shape type="#_x0000_t202" id="文本框 6" o:spid="_x0000_s6" filled="f" stroked="f" strokeweight="0.5pt" o:allowoverlap="f" style="position:absolute;margin-left:0.0pt;margin-top:1160.4pt;width:45.74999pt;height:17.399973pt;z-index:11;mso-position-horizontal:center;mso-position-horizontal-relative:margin;mso-position-vertical:absolute;mso-position-vertical-relative:page;mso-wrap-distance-left:8.999863pt;mso-wrap-distance-right:8.999863pt;mso-wrap-style:none;">
              <v:stroke color="#000000"/>
              <v:textbox id="849"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lear" w:pos="4153"/>
        <w:tab w:val="clear" w:pos="8306"/>
        <w:tab w:val="left" w:pos="1758"/>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A3726492"/>
    <w:multiLevelType w:val="singleLevel"/>
    <w:tmpl w:val="A3726492"/>
    <w:lvl w:ilvl="0">
      <w:start w:val="1"/>
      <w:numFmt w:val="chineseCounting"/>
      <w:lvlRestart w:val="0"/>
      <w:suff w:val="nothing"/>
      <w:lvlText w:val="%1、"/>
      <w:lvlJc w:val="left"/>
      <w:pPr>
        <w:tabs>
          <w:tab w:val="num" w:pos="0"/>
        </w:tabs>
        <w:ind w:left="0" w:hanging="0"/>
      </w:pPr>
      <w:rPr>
        <w:rFonts w:hint="eastAsia"/>
      </w:rPr>
    </w:lvl>
  </w:abstractNum>
  <w:abstractNum w:abstractNumId="1">
    <w:nsid w:val="BA899576"/>
    <w:multiLevelType w:val="singleLevel"/>
    <w:tmpl w:val="BA899576"/>
    <w:lvl w:ilvl="0">
      <w:start w:val="2"/>
      <w:numFmt w:val="chineseCounting"/>
      <w:lvlRestart w:val="0"/>
      <w:suff w:val="nothing"/>
      <w:lvlText w:val="（%1）"/>
      <w:lvlJc w:val="left"/>
      <w:pPr>
        <w:tabs>
          <w:tab w:val="num" w:pos="0"/>
        </w:tabs>
        <w:ind w:left="0" w:hanging="0"/>
      </w:pPr>
      <w:rPr>
        <w:rFonts w:hint="eastAsia"/>
      </w:rPr>
    </w:lvl>
  </w:abstractNum>
  <w:abstractNum w:abstractNumId="2">
    <w:nsid w:val="2C208C34"/>
    <w:multiLevelType w:val="singleLevel"/>
    <w:tmpl w:val="2C208C34"/>
    <w:lvl w:ilvl="0">
      <w:start w:val="5"/>
      <w:numFmt w:val="chineseCounting"/>
      <w:lvlRestart w:val="0"/>
      <w:suff w:val="nothing"/>
      <w:lvlText w:val="（%1）"/>
      <w:lvlJc w:val="left"/>
      <w:pPr>
        <w:tabs>
          <w:tab w:val="num" w:pos="0"/>
        </w:tabs>
        <w:ind w:left="0" w:hanging="0"/>
      </w:pPr>
      <w:rPr>
        <w:rFonts w:hint="eastAsia"/>
      </w:rPr>
    </w:lvl>
  </w:abstractNum>
  <w:abstractNum w:abstractNumId="3">
    <w:nsid w:val="C5339A02"/>
    <w:multiLevelType w:val="singleLevel"/>
    <w:tmpl w:val="C5339A02"/>
    <w:lvl w:ilvl="0">
      <w:start w:val="5"/>
      <w:numFmt w:val="chineseCounting"/>
      <w:lvlRestart w:val="0"/>
      <w:suff w:val="nothing"/>
      <w:lvlText w:val="%1、"/>
      <w:lvlJc w:val="left"/>
      <w:pPr>
        <w:tabs>
          <w:tab w:val="num" w:pos="0"/>
        </w:tabs>
        <w:ind w:left="0" w:hanging="0"/>
      </w:pPr>
      <w:rPr>
        <w:rFonts w:hint="eastAsia"/>
      </w:rPr>
    </w:lvl>
  </w:abstractNum>
  <w:abstractNum w:abstractNumId="4">
    <w:nsid w:val="36AF54E0"/>
    <w:multiLevelType w:val="singleLevel"/>
    <w:tmpl w:val="36AF54E0"/>
    <w:lvl w:ilvl="0">
      <w:start w:val="2"/>
      <w:numFmt w:val="decimal"/>
      <w:lvlRestart w:val="0"/>
      <w:suff w:val="space"/>
      <w:lvlText w:val="%1."/>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20"/>
  <w:drawingGridVerticalSpacing w:val="163"/>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Times New Roman"/>
      <w:sz w:val="24"/>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paragraph" w:customStyle="1" w:styleId="25">
    <w:name w:val="List Paragraph"/>
    <w:basedOn w:val="0"/>
    <w:pPr>
      <w:ind w:firstLineChars="200" w:firstLine="200"/>
    </w:pPr>
  </w:style>
  <w:style w:type="character" w:customStyle="1" w:styleId="26">
    <w:name w:val="23"/>
    <w:basedOn w:val="10"/>
    <w:rPr>
      <w:rFonts w:ascii="Times New Roman" w:cs="Times New Roman" w:hAnsi="Times New Roman"/>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11</Pages>
  <Words>5069</Words>
  <Characters>5659</Characters>
  <Lines>358</Lines>
  <Paragraphs>210</Paragraphs>
  <CharactersWithSpaces>5703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acer</cp:lastModifiedBy>
  <cp:revision>11</cp:revision>
  <dcterms:created xsi:type="dcterms:W3CDTF">2024-07-11T02:00:00Z</dcterms:created>
  <dcterms:modified xsi:type="dcterms:W3CDTF">2025-08-21T03:03:26Z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87103E3050454E4CAB51F126A698357C_13</vt:lpwstr>
  </property>
  <property fmtid="{D5CDD505-2E9C-101B-9397-08002B2CF9AE}" pid="4" name="KSOTemplateDocerSaveRecord">
    <vt:lpwstr>eyJoZGlkIjoiMzJhOTlhOTczMTRjODhiZGI4NzY5ZmY5YzM0MTU2ZTAifQ==</vt:lpwstr>
  </property>
</Properties>
</file>