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9" w:lineRule="exact"/>
        <w:rPr>
          <w:rFonts w:ascii="宋体" w:eastAsia="方正仿宋_GBK" w:cs="方正仿宋_GBK" w:hAnsi="宋体"/>
          <w:sz w:val="24"/>
          <w:szCs w:val="24"/>
        </w:rPr>
      </w:pPr>
      <w:r>
        <w:rPr>
          <w:rFonts w:ascii="宋体" w:eastAsia="方正仿宋_GBK" w:cs="方正仿宋_GBK" w:hAnsi="宋体" w:hint="eastAsia"/>
          <w:sz w:val="24"/>
          <w:szCs w:val="24"/>
        </w:rPr>
        <w:t>附件3：</w:t>
      </w:r>
    </w:p>
    <w:p>
      <w:pPr>
        <w:spacing w:line="579" w:lineRule="exact"/>
        <w:rPr>
          <w:rFonts w:ascii="宋体" w:eastAsia="方正仿宋_GBK" w:cs="方正仿宋_GBK" w:hAnsi="宋体"/>
          <w:sz w:val="44"/>
          <w:szCs w:val="44"/>
        </w:rPr>
      </w:pP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重庆市江津区农产品质量安全中心</w:t>
      </w: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2024年度决算公开说明</w:t>
      </w:r>
    </w:p>
    <w:p>
      <w:pPr>
        <w:spacing w:line="579" w:lineRule="exact"/>
        <w:ind w:firstLineChars="250" w:firstLine="1100"/>
        <w:rPr>
          <w:rFonts w:ascii="宋体" w:eastAsia="方正仿宋_GBK" w:cs="方正仿宋_GBK" w:hAnsi="宋体"/>
          <w:sz w:val="44"/>
          <w:szCs w:val="44"/>
        </w:rPr>
      </w:pP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一、单位基本情况</w:t>
      </w:r>
    </w:p>
    <w:p>
      <w:pPr>
        <w:spacing w:line="579" w:lineRule="exact"/>
        <w:ind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（一）职能职责</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1、负责农产品及其投入品质量安全监督检测、例行监测和检验测试；</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2、负责农产品产地环境监测和检验测试，农产品产地准出和市场准入性检验检测；</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3、负责农产品质量安全标准宣传、技术指导和咨询服务；负责“三品一标”认证业务指导。</w:t>
      </w:r>
    </w:p>
    <w:p>
      <w:pPr>
        <w:numPr>
          <w:ilvl w:val="0"/>
          <w:numId w:val="1"/>
        </w:numPr>
        <w:spacing w:line="579" w:lineRule="exact"/>
        <w:ind w:left="0" w:firstLineChars="200" w:firstLine="640"/>
        <w:rPr>
          <w:rFonts w:ascii="宋体" w:eastAsia="方正楷体_GBK" w:cs="方正楷体_GBK" w:hAnsi="宋体"/>
          <w:kern w:val="0"/>
          <w:sz w:val="32"/>
          <w:szCs w:val="32"/>
        </w:rPr>
      </w:pPr>
      <w:r>
        <w:rPr>
          <w:rFonts w:ascii="宋体" w:eastAsia="方正楷体_GBK" w:cs="方正楷体_GBK" w:hAnsi="宋体" w:hint="eastAsia"/>
          <w:kern w:val="0"/>
          <w:sz w:val="32"/>
          <w:szCs w:val="32"/>
        </w:rPr>
        <w:t>单位构成</w:t>
      </w:r>
    </w:p>
    <w:p>
      <w:pPr>
        <w:spacing w:line="579" w:lineRule="exact"/>
        <w:ind w:firstLineChars="200" w:firstLine="640"/>
        <w:rPr>
          <w:rFonts w:eastAsia="方正仿宋_GBK" w:cs="宋体"/>
          <w:kern w:val="0"/>
          <w:sz w:val="32"/>
          <w:szCs w:val="32"/>
        </w:rPr>
      </w:pPr>
      <w:r>
        <w:rPr>
          <w:rFonts w:ascii="宋体" w:eastAsia="方正仿宋_GBK" w:cs="方正仿宋_GBK" w:hAnsi="宋体" w:hint="eastAsia"/>
          <w:sz w:val="32"/>
        </w:rPr>
        <w:t>本单位为重庆市江津区农业农村委员会管理的公益一类正科级全额拨款事业单位。中</w:t>
      </w:r>
      <w:r>
        <w:rPr>
          <w:rFonts w:eastAsia="方正仿宋_GBK" w:cs="宋体" w:hint="eastAsia"/>
          <w:kern w:val="0"/>
          <w:sz w:val="32"/>
          <w:szCs w:val="32"/>
        </w:rPr>
        <w:t>心事业编制18名。其中，主任1名，副主任2名。</w:t>
      </w:r>
    </w:p>
    <w:p>
      <w:pPr>
        <w:numPr>
          <w:ilvl w:val="0"/>
          <w:numId w:val="2"/>
        </w:numPr>
        <w:spacing w:line="579" w:lineRule="exact"/>
        <w:ind w:left="0" w:firstLineChars="20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部门决算情况</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部门收支总体情况</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收入支出总体情况。</w:t>
      </w:r>
      <w:r>
        <w:rPr>
          <w:rFonts w:ascii="宋体" w:eastAsia="方正仿宋_GBK" w:cs="方正仿宋_GBK" w:hAnsi="宋体" w:hint="eastAsia"/>
          <w:sz w:val="32"/>
          <w:szCs w:val="32"/>
        </w:rPr>
        <w:t>2024年度收入总计400.75万元，支出总计400.75万元。收支较上年减少65.3万元，减少14.01%，主要原因为</w:t>
      </w:r>
      <w:r>
        <w:rPr>
          <w:rFonts w:ascii="仿宋_GB2312" w:eastAsia="仿宋_GB2312" w:cs="仿宋" w:hint="eastAsia"/>
          <w:color w:val="000000"/>
          <w:sz w:val="32"/>
          <w:szCs w:val="32"/>
        </w:rPr>
        <w:t>本年度区级项目资金减少</w:t>
      </w:r>
      <w:r>
        <w:rPr>
          <w:rFonts w:ascii="宋体" w:eastAsia="方正仿宋_GBK" w:cs="方正仿宋_GBK" w:hAnsi="宋体" w:hint="eastAsia"/>
          <w:sz w:val="32"/>
          <w:szCs w:val="32"/>
        </w:rPr>
        <w:t>。</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收入情况。</w:t>
      </w:r>
      <w:r>
        <w:rPr>
          <w:rFonts w:ascii="宋体" w:eastAsia="方正仿宋_GBK" w:cs="方正仿宋_GBK" w:hAnsi="宋体" w:hint="eastAsia"/>
          <w:sz w:val="32"/>
          <w:szCs w:val="32"/>
        </w:rPr>
        <w:t>2024年度本年收入合计400.75万元，较上年减少65.3万元，减少14.01%，主要原因为</w:t>
      </w:r>
      <w:r>
        <w:rPr>
          <w:rFonts w:ascii="仿宋_GB2312" w:eastAsia="仿宋_GB2312" w:cs="仿宋" w:hint="eastAsia"/>
          <w:color w:val="000000"/>
          <w:sz w:val="32"/>
          <w:szCs w:val="32"/>
        </w:rPr>
        <w:t>本年度区级项目资金预算减少</w:t>
      </w:r>
      <w:r>
        <w:rPr>
          <w:rFonts w:ascii="宋体" w:eastAsia="方正仿宋_GBK" w:cs="方正仿宋_GBK" w:hAnsi="宋体" w:hint="eastAsia"/>
          <w:sz w:val="32"/>
          <w:szCs w:val="32"/>
        </w:rPr>
        <w:t>。其中：财政拨款收入400.75万元，占比100%；事业收入0万元，占比0%；其他收入0万元，占比0%。</w:t>
      </w:r>
      <w:r>
        <w:rPr>
          <w:rFonts w:ascii="方正仿宋_GBK" w:eastAsia="方正仿宋_GBK" w:cs="方正仿宋_GBK"/>
          <w:sz w:val="32"/>
          <w:szCs w:val="32"/>
          <w:shd w:val="clear" w:color="auto" w:fill="FFFFFF"/>
        </w:rPr>
        <w:t>此外，使用非财政拨款结余和专用结余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万元，年初结转和结余</w:t>
      </w:r>
      <w:r>
        <w:rPr>
          <w:rFonts w:ascii="方正仿宋_GBK" w:eastAsia="方正仿宋_GBK" w:cs="方正仿宋_GBK" w:hint="eastAsia"/>
          <w:sz w:val="32"/>
          <w:szCs w:val="32"/>
          <w:shd w:val="clear" w:color="auto" w:fill="FFFFFF"/>
        </w:rPr>
        <w:t>0</w:t>
      </w:r>
      <w:r>
        <w:rPr>
          <w:rFonts w:ascii="方正仿宋_GBK" w:eastAsia="方正仿宋_GBK" w:cs="方正仿宋_GBK"/>
          <w:sz w:val="32"/>
          <w:szCs w:val="32"/>
          <w:shd w:val="clear" w:color="auto" w:fill="FFFFFF"/>
        </w:rPr>
        <w:t>万元。</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支出情况。</w:t>
      </w:r>
      <w:r>
        <w:rPr>
          <w:rFonts w:ascii="宋体" w:eastAsia="方正仿宋_GBK" w:cs="方正仿宋_GBK" w:hAnsi="宋体" w:hint="eastAsia"/>
          <w:sz w:val="32"/>
          <w:szCs w:val="32"/>
        </w:rPr>
        <w:t>2024年度本年支出合计400.75万元，</w:t>
      </w:r>
      <w:r>
        <w:rPr>
          <w:rFonts w:ascii="宋体" w:eastAsia="方正仿宋_GBK" w:cs="方正仿宋_GBK" w:hAnsi="宋体" w:hint="eastAsia"/>
          <w:sz w:val="32"/>
        </w:rPr>
        <w:t>较上年</w:t>
      </w:r>
      <w:r>
        <w:rPr>
          <w:rFonts w:ascii="宋体" w:eastAsia="方正仿宋_GBK" w:cs="方正仿宋_GBK" w:hAnsi="宋体" w:hint="eastAsia"/>
          <w:sz w:val="32"/>
          <w:szCs w:val="32"/>
        </w:rPr>
        <w:t>减少65.3万元，减少14.01%，</w:t>
      </w:r>
      <w:r>
        <w:rPr>
          <w:rFonts w:ascii="宋体" w:eastAsia="方正仿宋_GBK" w:cs="方正仿宋_GBK" w:hAnsi="宋体" w:hint="eastAsia"/>
          <w:sz w:val="32"/>
        </w:rPr>
        <w:t>主要原因为</w:t>
      </w:r>
      <w:r>
        <w:rPr>
          <w:rFonts w:ascii="仿宋_GB2312" w:eastAsia="仿宋_GB2312" w:cs="仿宋" w:hint="eastAsia"/>
          <w:color w:val="000000"/>
          <w:sz w:val="32"/>
          <w:szCs w:val="32"/>
        </w:rPr>
        <w:t>本年度区级项目资金减少</w:t>
      </w:r>
      <w:r>
        <w:rPr>
          <w:rFonts w:ascii="宋体" w:eastAsia="方正仿宋_GBK" w:cs="方正仿宋_GBK" w:hAnsi="宋体" w:hint="eastAsia"/>
          <w:sz w:val="32"/>
        </w:rPr>
        <w:t>。</w:t>
      </w:r>
      <w:r>
        <w:rPr>
          <w:rFonts w:ascii="宋体" w:eastAsia="方正仿宋_GBK" w:cs="方正仿宋_GBK" w:hAnsi="宋体" w:hint="eastAsia"/>
          <w:sz w:val="32"/>
          <w:szCs w:val="32"/>
        </w:rPr>
        <w:t>其中：基本支出400.75万元，占比100%；项目支出19.19万元，占比4.8%。</w:t>
      </w:r>
    </w:p>
    <w:p>
      <w:pPr>
        <w:numPr>
          <w:ilvl w:val="0"/>
          <w:numId w:val="4"/>
        </w:numPr>
        <w:spacing w:line="579" w:lineRule="exact"/>
        <w:ind w:left="0" w:firstLineChars="200" w:firstLine="640"/>
        <w:rPr>
          <w:rFonts w:ascii="宋体" w:eastAsia="方正仿宋_GBK" w:cs="方正仿宋_GBK" w:hAnsi="宋体"/>
          <w:kern w:val="0"/>
          <w:sz w:val="32"/>
          <w:szCs w:val="32"/>
        </w:rPr>
      </w:pPr>
      <w:r>
        <w:rPr>
          <w:rFonts w:ascii="宋体" w:eastAsia="方正仿宋_GBK" w:cs="方正仿宋_GBK" w:hAnsi="宋体" w:hint="eastAsia"/>
          <w:b/>
          <w:bCs/>
          <w:sz w:val="32"/>
          <w:szCs w:val="32"/>
        </w:rPr>
        <w:t>结转结余情况。</w:t>
      </w:r>
      <w:r>
        <w:rPr>
          <w:rFonts w:ascii="宋体" w:eastAsia="方正仿宋_GBK" w:cs="方正仿宋_GBK" w:hAnsi="宋体" w:hint="eastAsia"/>
          <w:kern w:val="0"/>
          <w:sz w:val="32"/>
          <w:szCs w:val="32"/>
        </w:rPr>
        <w:t>本单位无结转结余。</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财政拨款收支总体情况</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2024年度财政拨款收入总计400.75万元，支出总计400.75万元。收支较上年</w:t>
      </w:r>
      <w:r>
        <w:rPr>
          <w:rFonts w:ascii="宋体" w:eastAsia="方正仿宋_GBK" w:cs="方正仿宋_GBK" w:hAnsi="宋体" w:hint="eastAsia"/>
          <w:sz w:val="32"/>
          <w:szCs w:val="32"/>
        </w:rPr>
        <w:t>减少65.3万元，减少14.01</w:t>
      </w:r>
      <w:r>
        <w:rPr>
          <w:rFonts w:ascii="宋体" w:eastAsia="方正仿宋_GBK" w:cs="方正仿宋_GBK" w:hAnsi="宋体" w:hint="eastAsia"/>
          <w:sz w:val="32"/>
        </w:rPr>
        <w:t>%，主要原因为</w:t>
      </w:r>
      <w:r>
        <w:rPr>
          <w:rFonts w:ascii="仿宋_GB2312" w:eastAsia="仿宋_GB2312" w:cs="仿宋" w:hint="eastAsia"/>
          <w:color w:val="000000"/>
          <w:sz w:val="32"/>
          <w:szCs w:val="32"/>
        </w:rPr>
        <w:t>本年度区级项目资金预算减少</w:t>
      </w:r>
      <w:r>
        <w:rPr>
          <w:rFonts w:ascii="宋体" w:eastAsia="方正仿宋_GBK" w:cs="方正仿宋_GBK" w:hAnsi="宋体" w:hint="eastAsia"/>
          <w:sz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一般公共预算财政拨款收支总体情况</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收入情况。</w:t>
      </w:r>
      <w:r>
        <w:rPr>
          <w:rFonts w:ascii="宋体" w:eastAsia="方正仿宋_GBK" w:cs="方正仿宋_GBK" w:hAnsi="宋体" w:hint="eastAsia"/>
          <w:sz w:val="32"/>
        </w:rPr>
        <w:t>2024年度一般公共预算财政拨款收入400.75万元，较上年决算数</w:t>
      </w:r>
      <w:r>
        <w:rPr>
          <w:rFonts w:ascii="宋体" w:eastAsia="方正仿宋_GBK" w:cs="方正仿宋_GBK" w:hAnsi="宋体" w:hint="eastAsia"/>
          <w:sz w:val="32"/>
          <w:szCs w:val="32"/>
        </w:rPr>
        <w:t>减少65.3万元，减少14.01</w:t>
      </w:r>
      <w:r>
        <w:rPr>
          <w:rFonts w:ascii="宋体" w:eastAsia="方正仿宋_GBK" w:cs="方正仿宋_GBK" w:hAnsi="宋体" w:hint="eastAsia"/>
          <w:sz w:val="32"/>
        </w:rPr>
        <w:t>%，主要原因为</w:t>
      </w:r>
      <w:r>
        <w:rPr>
          <w:rFonts w:ascii="仿宋_GB2312" w:eastAsia="仿宋_GB2312" w:cs="仿宋" w:hint="eastAsia"/>
          <w:color w:val="000000"/>
          <w:sz w:val="32"/>
          <w:szCs w:val="32"/>
        </w:rPr>
        <w:t>本年度区级项目资金预算减少</w:t>
      </w:r>
      <w:r>
        <w:rPr>
          <w:rFonts w:ascii="宋体" w:eastAsia="方正仿宋_GBK" w:cs="方正仿宋_GBK" w:hAnsi="宋体" w:hint="eastAsia"/>
          <w:sz w:val="32"/>
        </w:rPr>
        <w:t>。较年初预算数增加13.56万元，增长3.5%，主要原因是补缴2024年养老保险及职业年金。</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支出情况。</w:t>
      </w:r>
      <w:r>
        <w:rPr>
          <w:rFonts w:ascii="宋体" w:eastAsia="方正仿宋_GBK" w:cs="方正仿宋_GBK" w:hAnsi="宋体" w:hint="eastAsia"/>
          <w:sz w:val="32"/>
        </w:rPr>
        <w:t>2024年度一般公共预算财政拨款支出400.75万元，较上年决算数</w:t>
      </w:r>
      <w:r>
        <w:rPr>
          <w:rFonts w:ascii="宋体" w:eastAsia="方正仿宋_GBK" w:cs="方正仿宋_GBK" w:hAnsi="宋体" w:hint="eastAsia"/>
          <w:sz w:val="32"/>
          <w:szCs w:val="32"/>
        </w:rPr>
        <w:t>减少65.3万元，减少14.01</w:t>
      </w:r>
      <w:r>
        <w:rPr>
          <w:rFonts w:ascii="宋体" w:eastAsia="方正仿宋_GBK" w:cs="方正仿宋_GBK" w:hAnsi="宋体" w:hint="eastAsia"/>
          <w:sz w:val="32"/>
        </w:rPr>
        <w:t>%，主要原因是</w:t>
      </w:r>
      <w:r>
        <w:rPr>
          <w:rFonts w:ascii="仿宋_GB2312" w:eastAsia="仿宋_GB2312" w:cs="仿宋" w:hint="eastAsia"/>
          <w:color w:val="000000"/>
          <w:sz w:val="32"/>
          <w:szCs w:val="32"/>
        </w:rPr>
        <w:t>本年度区级项目资金减少</w:t>
      </w:r>
      <w:r>
        <w:rPr>
          <w:rFonts w:ascii="宋体" w:eastAsia="方正仿宋_GBK" w:cs="方正仿宋_GBK" w:hAnsi="宋体" w:hint="eastAsia"/>
          <w:sz w:val="32"/>
        </w:rPr>
        <w:t>。较年初预算数增加13.56万元，增长3.5%，主要原因是补缴2024年养老保险及职业年金。</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结转结余情况。</w:t>
      </w:r>
      <w:r>
        <w:rPr>
          <w:rFonts w:ascii="宋体" w:eastAsia="方正仿宋_GBK" w:cs="方正仿宋_GBK" w:hAnsi="宋体" w:hint="eastAsia"/>
          <w:kern w:val="0"/>
          <w:sz w:val="32"/>
          <w:szCs w:val="32"/>
        </w:rPr>
        <w:t>本单位无结转结余。</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b/>
          <w:bCs/>
          <w:kern w:val="2"/>
          <w:sz w:val="32"/>
        </w:rPr>
        <w:t>比较情况。</w:t>
      </w:r>
      <w:r>
        <w:rPr>
          <w:rFonts w:ascii="宋体" w:eastAsia="方正仿宋_GBK" w:cs="方正仿宋_GBK" w:hAnsi="宋体" w:hint="eastAsia"/>
          <w:sz w:val="32"/>
        </w:rPr>
        <w:t>本部门2024年度一般公共预算财政拨款支出主要用于以下几个方面：</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教育支出2万元，占比0.5%。与</w:t>
      </w:r>
      <w:r>
        <w:rPr>
          <w:rFonts w:eastAsia="方正仿宋_GBK" w:cs="宋体" w:hint="eastAsia"/>
          <w:sz w:val="32"/>
          <w:szCs w:val="32"/>
        </w:rPr>
        <w:t>年初预算数一致</w:t>
      </w:r>
      <w:r>
        <w:rPr>
          <w:rFonts w:ascii="宋体" w:eastAsia="方正仿宋_GBK" w:cs="方正仿宋_GBK" w:hAnsi="宋体" w:hint="eastAsia"/>
          <w:sz w:val="32"/>
        </w:rPr>
        <w:t>。</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社会保障和就业支出48.05万元，占比11.99%。年初预算数31.93万元，差额16.12万元。主要原因是补缴2024年养老保险及职业年金。</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卫生健康支出18.34万元，占比4.57%。与</w:t>
      </w:r>
      <w:r>
        <w:rPr>
          <w:rFonts w:eastAsia="方正仿宋_GBK" w:cs="宋体" w:hint="eastAsia"/>
          <w:sz w:val="32"/>
          <w:szCs w:val="32"/>
        </w:rPr>
        <w:t>年初预算数一致</w:t>
      </w:r>
      <w:r>
        <w:rPr>
          <w:rFonts w:ascii="宋体" w:eastAsia="方正仿宋_GBK" w:cs="方正仿宋_GBK" w:hAnsi="宋体" w:hint="eastAsia"/>
          <w:sz w:val="32"/>
        </w:rPr>
        <w:t>。</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农林水支出316.39万元，占比78.95%。年初预算数318.96万元，差额2.57万元。主要原因是缩减了项目资金。</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住房保障支出15.97万元，占比3.99%。与</w:t>
      </w:r>
      <w:r>
        <w:rPr>
          <w:rFonts w:eastAsia="方正仿宋_GBK" w:cs="宋体" w:hint="eastAsia"/>
          <w:sz w:val="32"/>
          <w:szCs w:val="32"/>
        </w:rPr>
        <w:t>年初预算数一致</w:t>
      </w:r>
      <w:r>
        <w:rPr>
          <w:rFonts w:ascii="宋体" w:eastAsia="方正仿宋_GBK" w:cs="方正仿宋_GBK" w:hAnsi="宋体" w:hint="eastAsia"/>
          <w:sz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Style w:val="22"/>
          <w:rFonts w:ascii="宋体" w:eastAsia="方正楷体_GBK" w:cs="方正楷体_GBK" w:hAnsi="宋体" w:hint="eastAsia"/>
          <w:b w:val="0"/>
          <w:bCs/>
          <w:sz w:val="32"/>
          <w:szCs w:val="32"/>
          <w:shd w:val="clear" w:color="auto" w:fill="FFFFFF"/>
        </w:rPr>
        <w:t>一般公共预算财政拨款基本支出情况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一般公共预算财政拨款基本支出400.75万元。其中：人员经费335.22万元，主要用于工资福利支出，较上年决算数增加11.33万元，增长3.5%，主要原因是补缴2024年养老保险及职业年金。公用经费46.34万元，主要用于办公费、水电费、工会经费的补充等，较上年决算数减少7.34万元，减少13.67%，主要原因是公用经费缩减。</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（五）政府性基金预算收支决算情况</w:t>
      </w:r>
    </w:p>
    <w:p>
      <w:pPr>
        <w:pStyle w:val="18"/>
        <w:widowControl/>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度无政府性基金预算财政拨款收支</w:t>
      </w:r>
      <w:r>
        <w:rPr>
          <w:rFonts w:ascii="方正仿宋_GBK" w:eastAsia="方正仿宋_GBK" w:cs="方正仿宋_GBK" w:hint="eastAsia"/>
          <w:sz w:val="32"/>
          <w:szCs w:val="32"/>
          <w:shd w:val="clear" w:color="auto" w:fill="FFFFFF"/>
        </w:rPr>
        <w:t>。</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（六）国有资本经营预算财政拨款支出决算情况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度无国有资本经营预算财政拨款支出。</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三、“三公”经费情况</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（一）“三公”经费支出总体情况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三公”经费支出共计1.93万元，较年初预算数减少2.61万元，减少52.83%，主要原因是公务用车运行费和公务接待费均减少。较上年支出数减少2.49万元，减少56.33%，主要原因是公务用车运行费和公务接待费均减少。</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（二）“三公”经费分项支出情况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因公出国（境）费用0万元，费用支出较年初预算数增加0万元，较上年支出数增加0万元。</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公务车购置费用0万元，费用支出较年初预算数增加0万元，较上年支出数增加0万元。</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公务车运行维护费1.22万元，主要用于公务车运行维护。费用支出较年初预算数减少1.78万元，较上年支出减少1.78万元，减少58.33%，主要原因是本单位公务车是电车，电费在公用经费中支出。</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公务接待费0.71万元，主要用于</w:t>
      </w:r>
      <w:r>
        <w:rPr>
          <w:rFonts w:eastAsia="方正仿宋_GBK"/>
          <w:sz w:val="32"/>
          <w:szCs w:val="32"/>
        </w:rPr>
        <w:t>市级、区县等相关单位和部门联系工作接待开支</w:t>
      </w:r>
      <w:r>
        <w:rPr>
          <w:rFonts w:ascii="宋体" w:eastAsia="方正仿宋_GBK" w:cs="方正仿宋_GBK" w:hAnsi="宋体" w:hint="eastAsia"/>
          <w:sz w:val="32"/>
        </w:rPr>
        <w:t>。费用支出较年初预算数减少0.71万元，较上年支出数减少0.71万元，减少50%，主要原因是公务接待减少。</w:t>
      </w:r>
    </w:p>
    <w:p>
      <w:pPr>
        <w:pStyle w:val="18"/>
        <w:widowControl/>
        <w:spacing w:before="0" w:beforeAutospacing="0" w:after="0" w:afterAutospacing="0" w:line="579" w:lineRule="exact"/>
        <w:ind w:firstLineChars="200" w:firstLine="640"/>
        <w:jc w:val="both"/>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（三）“三公”经费实物量情况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本部门因公出国（境）共计0个团组，0人；公务用车购置0辆，公务车保有量为1辆；国内公务接待10批次60人，其中：国内外事接待0批次，0人；国（境）外公务接待0批次，0人。人均接待费0元，车均购置费0万元，车均维护费1.22万元。</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四、其他需要说明的事项</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（一）财政拨款会议费和培训费情况</w:t>
      </w:r>
    </w:p>
    <w:p>
      <w:pPr>
        <w:spacing w:line="579" w:lineRule="exact"/>
        <w:ind w:firstLineChars="150" w:firstLine="480"/>
        <w:rPr>
          <w:rFonts w:ascii="方正仿宋_GBK" w:eastAsia="方正仿宋_GBK" w:cs="方正仿宋_GBK"/>
          <w:color w:val="FF0000"/>
          <w:sz w:val="32"/>
          <w:szCs w:val="32"/>
        </w:rPr>
      </w:pPr>
      <w:r>
        <w:rPr>
          <w:rFonts w:ascii="方正仿宋_GBK" w:eastAsia="方正仿宋_GBK" w:cs="方正仿宋_GBK" w:hint="eastAsia"/>
          <w:sz w:val="32"/>
          <w:szCs w:val="32"/>
          <w:shd w:val="clear" w:color="auto" w:fill="FFFFFF"/>
        </w:rPr>
        <w:t>2024</w:t>
      </w:r>
      <w:r>
        <w:rPr>
          <w:rFonts w:ascii="方正仿宋_GBK" w:eastAsia="方正仿宋_GBK" w:cs="方正仿宋_GBK"/>
          <w:sz w:val="32"/>
          <w:szCs w:val="32"/>
          <w:shd w:val="clear" w:color="auto" w:fill="FFFFFF"/>
        </w:rPr>
        <w:t>年度会议费支出</w:t>
      </w:r>
      <w:r>
        <w:rPr>
          <w:rFonts w:ascii="方正仿宋_GBK" w:eastAsia="方正仿宋_GBK" w:cs="方正仿宋_GBK" w:hint="eastAsia"/>
          <w:sz w:val="32"/>
          <w:szCs w:val="32"/>
        </w:rPr>
        <w:t>0.65</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增加0.65</w:t>
      </w:r>
      <w:r>
        <w:rPr>
          <w:rFonts w:ascii="方正仿宋_GBK" w:eastAsia="方正仿宋_GBK" w:cs="方正仿宋_GBK"/>
          <w:sz w:val="32"/>
          <w:szCs w:val="32"/>
          <w:shd w:val="clear" w:color="auto" w:fill="FFFFFF"/>
        </w:rPr>
        <w:t>万元，主要原因是</w:t>
      </w:r>
      <w:r>
        <w:rPr>
          <w:rFonts w:ascii="方正仿宋_GBK" w:eastAsia="方正仿宋_GBK" w:cs="方正仿宋_GBK" w:hint="eastAsia"/>
          <w:sz w:val="32"/>
          <w:szCs w:val="32"/>
          <w:shd w:val="clear" w:color="auto" w:fill="FFFFFF"/>
        </w:rPr>
        <w:t>创建重庆市江津区全国绿色食品原料（花椒）标准化生产基地需对基地管理人员、技术人员等相关人员进行培训</w:t>
      </w:r>
      <w:r>
        <w:rPr>
          <w:rFonts w:ascii="方正仿宋_GBK" w:eastAsia="方正仿宋_GBK" w:cs="方正仿宋_GBK"/>
          <w:sz w:val="32"/>
          <w:szCs w:val="32"/>
          <w:shd w:val="clear" w:color="auto" w:fill="FFFFFF"/>
        </w:rPr>
        <w:t>。本年度培训费支出</w:t>
      </w:r>
      <w:r>
        <w:rPr>
          <w:rFonts w:ascii="方正仿宋_GBK" w:eastAsia="方正仿宋_GBK" w:cs="方正仿宋_GBK" w:hint="eastAsia"/>
          <w:sz w:val="32"/>
          <w:szCs w:val="32"/>
        </w:rPr>
        <w:t>2</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减少0.71</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减少35.5</w:t>
      </w:r>
      <w:r>
        <w:rPr>
          <w:rFonts w:ascii="方正仿宋_GBK" w:eastAsia="方正仿宋_GBK" w:cs="方正仿宋_GBK"/>
          <w:sz w:val="32"/>
          <w:szCs w:val="32"/>
          <w:shd w:val="clear" w:color="auto" w:fill="FFFFFF"/>
        </w:rPr>
        <w:t>%，主要原因是</w:t>
      </w:r>
      <w:r>
        <w:rPr>
          <w:rFonts w:ascii="方正仿宋_GBK" w:eastAsia="方正仿宋_GBK" w:cs="方正仿宋_GBK" w:hint="eastAsia"/>
          <w:sz w:val="32"/>
          <w:szCs w:val="32"/>
          <w:shd w:val="clear" w:color="auto" w:fill="FFFFFF"/>
        </w:rPr>
        <w:t>本年度原有的部分证书仍在有效期暂不需培训</w:t>
      </w:r>
      <w:r>
        <w:rPr>
          <w:rFonts w:ascii="方正仿宋_GBK" w:eastAsia="方正仿宋_GBK" w:cs="方正仿宋_GBK"/>
          <w:sz w:val="32"/>
          <w:szCs w:val="32"/>
          <w:shd w:val="clear" w:color="auto" w:fill="FFFFFF"/>
        </w:rPr>
        <w:t>。</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（二）机关运行经费情况</w:t>
      </w:r>
    </w:p>
    <w:p>
      <w:pPr>
        <w:spacing w:line="579" w:lineRule="exact"/>
        <w:ind w:firstLineChars="150" w:firstLine="480"/>
        <w:rPr>
          <w:rFonts w:ascii="宋体" w:eastAsia="方正仿宋_GBK" w:cs="方正仿宋_GBK" w:hAnsi="宋体"/>
          <w:kern w:val="0"/>
          <w:sz w:val="32"/>
          <w:szCs w:val="32"/>
        </w:rPr>
      </w:pPr>
      <w:r>
        <w:rPr>
          <w:rFonts w:ascii="宋体" w:eastAsia="方正仿宋_GBK" w:cs="方正仿宋_GBK" w:hAnsi="宋体" w:hint="eastAsia"/>
          <w:kern w:val="0"/>
          <w:sz w:val="32"/>
          <w:szCs w:val="32"/>
        </w:rPr>
        <w:t>按照部门决算列报口径，我单位不在机关运行经费统计范围之内。</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（三）国有资产占用情况说明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截至2024年12月31日，本部门共有车辆1辆。其中：副部（省）级及以上领导用车0辆，主要负责人用车0辆，机要通信用车0辆，应急保障用车0辆，执法执勤用车0辆，特种专业技术用车1辆，离退休干部服务用车0辆，其他用车0辆。单价100万元（含）以上设备（不含车辆）3台（套）。</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（四）政府采购支出说明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szCs w:val="32"/>
        </w:rPr>
        <w:t>2024年度本部门政府采购支出总额0.35万元，其中：政府采购货物支出0.35万元、政府采购工程支出0万元、政府采购服务支出0万元。授予中小企业合同金额0.35万元，占政府采购支出总额的100%，其中：授予小微企业合同金额0.35万元，占政府采购支出总额的100%。</w:t>
      </w:r>
      <w:r>
        <w:rPr>
          <w:rFonts w:ascii="宋体" w:eastAsia="方正仿宋_GBK" w:cs="方正仿宋_GBK" w:hAnsi="宋体" w:hint="eastAsia"/>
          <w:sz w:val="32"/>
        </w:rPr>
        <w:t>主要用于采购复印纸。</w:t>
      </w:r>
    </w:p>
    <w:p>
      <w:pPr>
        <w:pStyle w:val="18"/>
        <w:widowControl/>
        <w:spacing w:before="0" w:beforeAutospacing="0" w:after="0" w:afterAutospacing="0" w:line="579" w:lineRule="exact"/>
        <w:ind w:firstLineChars="200" w:firstLine="640"/>
        <w:outlineLvl w:val="0"/>
        <w:rPr>
          <w:rFonts w:ascii="宋体" w:eastAsia="方正黑体_GBK" w:cs="方正黑体_GBK" w:hAnsi="宋体"/>
          <w:bCs/>
          <w:sz w:val="32"/>
          <w:szCs w:val="32"/>
        </w:rPr>
      </w:pPr>
      <w:r>
        <w:rPr>
          <w:rStyle w:val="19"/>
          <w:rFonts w:ascii="宋体" w:eastAsia="方正黑体_GBK" w:cs="方正黑体_GBK" w:hAnsi="宋体" w:hint="eastAsia"/>
          <w:b w:val="0"/>
          <w:bCs/>
          <w:sz w:val="32"/>
          <w:szCs w:val="32"/>
          <w:shd w:val="clear" w:color="auto" w:fill="FFFFFF"/>
        </w:rPr>
        <w:t>五、预算绩效管理情况</w:t>
      </w:r>
    </w:p>
    <w:p>
      <w:pPr>
        <w:pStyle w:val="18"/>
        <w:widowControl/>
        <w:adjustRightInd w:val="0"/>
        <w:spacing w:before="0" w:beforeAutospacing="0" w:after="0" w:afterAutospacing="0" w:line="579" w:lineRule="exact"/>
        <w:ind w:firstLineChars="200" w:firstLine="640"/>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（一）预算绩效管理工作开展情况</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rPr>
      </w:pPr>
      <w:r>
        <w:rPr>
          <w:rFonts w:ascii="宋体" w:eastAsia="方正仿宋_GBK" w:cs="方正仿宋_GBK" w:hAnsi="宋体" w:hint="eastAsia"/>
          <w:sz w:val="32"/>
          <w:szCs w:val="32"/>
        </w:rPr>
        <w:t>根据预算绩效管理要求，我单位对3个项目开展了绩效自评，其中，以填报目标自评表形式开展自评3项，涉及资金19.19万元；以委托第三方形式开展绩效自评0项，涉及资金0万元。</w:t>
      </w:r>
    </w:p>
    <w:p>
      <w:pPr>
        <w:pStyle w:val="18"/>
        <w:widowControl/>
        <w:adjustRightInd w:val="0"/>
        <w:spacing w:before="0" w:beforeAutospacing="0" w:after="0" w:afterAutospacing="0" w:line="579" w:lineRule="exact"/>
        <w:ind w:firstLineChars="200" w:firstLine="640"/>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（二）绩效自评结果</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b/>
          <w:bCs/>
          <w:sz w:val="32"/>
        </w:rPr>
      </w:pPr>
      <w:r>
        <w:rPr>
          <w:rFonts w:ascii="宋体" w:eastAsia="方正仿宋_GBK" w:cs="方正仿宋_GBK" w:hAnsi="宋体" w:hint="eastAsia"/>
          <w:b/>
          <w:bCs/>
          <w:sz w:val="32"/>
        </w:rPr>
        <w:t>1. 绩效目标自评表</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公开内容。详见表格。</w:t>
      </w:r>
    </w:p>
    <w:p>
      <w:pPr>
        <w:pStyle w:val="20"/>
        <w:tabs>
          <w:tab w:val="center" w:pos="4153"/>
          <w:tab w:val="left" w:pos="7275"/>
        </w:tabs>
        <w:spacing w:line="579" w:lineRule="exact"/>
        <w:rPr>
          <w:rFonts w:ascii="宋体" w:eastAsia="方正仿宋_GBK" w:cs="方正仿宋_GBK" w:hAnsi="宋体"/>
          <w:kern w:val="0"/>
          <w:sz w:val="32"/>
          <w:szCs w:val="32"/>
        </w:rPr>
      </w:pPr>
    </w:p>
    <w:p>
      <w:pPr>
        <w:pStyle w:val="20"/>
        <w:tabs>
          <w:tab w:val="center" w:pos="4153"/>
          <w:tab w:val="left" w:pos="7275"/>
        </w:tabs>
        <w:spacing w:line="579" w:lineRule="exact"/>
        <w:ind w:firstLineChars="0" w:firstLine="0"/>
        <w:jc w:val="center"/>
        <w:rPr>
          <w:rFonts w:ascii="方正黑体_GBK" w:eastAsia="方正黑体_GBK" w:cs="方正黑体_GBK"/>
          <w:color w:val="000000"/>
          <w:kern w:val="0"/>
          <w:sz w:val="36"/>
          <w:szCs w:val="36"/>
        </w:rPr>
      </w:pPr>
      <w:r>
        <w:rPr>
          <w:rFonts w:ascii="方正黑体_GBK" w:eastAsia="方正黑体_GBK" w:cs="方正黑体_GBK" w:hint="eastAsia"/>
          <w:color w:val="000000"/>
          <w:kern w:val="0"/>
          <w:sz w:val="36"/>
          <w:szCs w:val="36"/>
        </w:rPr>
        <w:t>2024年度项目绩效自评表</w:t>
      </w:r>
    </w:p>
    <w:tbl>
      <w:tblPr>
        <w:jc w:val="left"/>
        <w:tblW w:w="887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937"/>
        <w:gridCol w:w="957"/>
        <w:gridCol w:w="983"/>
        <w:gridCol w:w="937"/>
        <w:gridCol w:w="734"/>
        <w:gridCol w:w="789"/>
        <w:gridCol w:w="929"/>
        <w:gridCol w:w="740"/>
        <w:gridCol w:w="750"/>
        <w:gridCol w:w="560"/>
        <w:gridCol w:w="559"/>
      </w:tblGrid>
      <w:tr>
        <w:trPr>
          <w:trHeight w:val="610"/>
        </w:trPr>
        <w:tc>
          <w:tcPr>
            <w:tcW w:w="937"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b/>
                <w:bCs/>
                <w:sz w:val="22"/>
              </w:rPr>
            </w:pPr>
            <w:r>
              <w:rPr>
                <w:rFonts w:ascii="宋体" w:cs="宋体" w:hint="eastAsia"/>
                <w:b/>
                <w:bCs/>
                <w:color w:val="000000"/>
                <w:kern w:val="0"/>
                <w:sz w:val="22"/>
              </w:rPr>
              <w:t>项目名称：</w:t>
            </w:r>
          </w:p>
        </w:tc>
        <w:tc>
          <w:tcPr>
            <w:tcW w:w="1940" w:type="dxa"/>
            <w:gridSpan w:val="2"/>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农产品质量安全检测项目</w:t>
            </w:r>
          </w:p>
        </w:tc>
        <w:tc>
          <w:tcPr>
            <w:tcW w:w="937"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b/>
                <w:bCs/>
                <w:sz w:val="22"/>
              </w:rPr>
            </w:pPr>
            <w:r>
              <w:rPr>
                <w:rFonts w:ascii="宋体" w:cs="宋体" w:hint="eastAsia"/>
                <w:b/>
                <w:bCs/>
                <w:color w:val="000000"/>
                <w:kern w:val="0"/>
                <w:sz w:val="22"/>
              </w:rPr>
              <w:t>项目编码：</w:t>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50011622T000000110819</w:t>
            </w:r>
          </w:p>
        </w:tc>
        <w:tc>
          <w:tcPr>
            <w:tcW w:w="929"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b/>
                <w:bCs/>
                <w:sz w:val="22"/>
              </w:rPr>
            </w:pPr>
            <w:r>
              <w:rPr>
                <w:rFonts w:ascii="宋体" w:cs="宋体" w:hint="eastAsia"/>
                <w:b/>
                <w:bCs/>
                <w:color w:val="000000"/>
                <w:kern w:val="0"/>
                <w:sz w:val="22"/>
              </w:rPr>
              <w:t>自评总分：</w:t>
            </w:r>
          </w:p>
        </w:tc>
        <w:tc>
          <w:tcPr>
            <w:tcW w:w="1490" w:type="dxa"/>
            <w:gridSpan w:val="2"/>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100.00</w:t>
            </w:r>
          </w:p>
        </w:tc>
        <w:tc>
          <w:tcPr>
            <w:tcW w:w="56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right"/>
              <w:textAlignment w:val="center"/>
              <w:rPr>
                <w:rFonts w:ascii="宋体" w:cs="宋体"/>
                <w:b/>
                <w:bCs/>
                <w:sz w:val="22"/>
              </w:rPr>
            </w:pPr>
            <w:r>
              <w:rPr>
                <w:rFonts w:ascii="宋体" w:cs="宋体" w:hint="eastAsia"/>
                <w:b/>
                <w:bCs/>
                <w:kern w:val="0"/>
                <w:sz w:val="22"/>
              </w:rPr>
              <w:t>　</w:t>
            </w:r>
          </w:p>
        </w:tc>
        <w:tc>
          <w:tcPr>
            <w:tcW w:w="559"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sz w:val="22"/>
              </w:rPr>
            </w:pPr>
            <w:r>
              <w:rPr>
                <w:rFonts w:ascii="宋体" w:cs="宋体" w:hint="eastAsia"/>
                <w:kern w:val="0"/>
                <w:sz w:val="22"/>
              </w:rPr>
              <w:t>　</w:t>
            </w:r>
          </w:p>
        </w:tc>
      </w:tr>
      <w:tr>
        <w:trPr>
          <w:trHeight w:val="610"/>
        </w:trPr>
        <w:tc>
          <w:tcPr>
            <w:tcW w:w="937"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b/>
                <w:bCs/>
                <w:sz w:val="22"/>
              </w:rPr>
            </w:pPr>
            <w:r>
              <w:rPr>
                <w:rFonts w:ascii="宋体" w:cs="宋体" w:hint="eastAsia"/>
                <w:b/>
                <w:bCs/>
                <w:color w:val="000000"/>
                <w:kern w:val="0"/>
                <w:sz w:val="22"/>
              </w:rPr>
              <w:t>项目主管部门：</w:t>
            </w:r>
          </w:p>
        </w:tc>
        <w:tc>
          <w:tcPr>
            <w:tcW w:w="1940" w:type="dxa"/>
            <w:gridSpan w:val="2"/>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201-重庆市江津区农业农村委员会</w:t>
            </w:r>
          </w:p>
        </w:tc>
        <w:tc>
          <w:tcPr>
            <w:tcW w:w="937"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b/>
                <w:bCs/>
                <w:sz w:val="22"/>
              </w:rPr>
            </w:pPr>
            <w:r>
              <w:rPr>
                <w:rFonts w:ascii="宋体" w:cs="宋体" w:hint="eastAsia"/>
                <w:b/>
                <w:bCs/>
                <w:color w:val="000000"/>
                <w:kern w:val="0"/>
                <w:sz w:val="22"/>
              </w:rPr>
              <w:t>财政归口处室：</w:t>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002-农业农村科</w:t>
            </w:r>
          </w:p>
        </w:tc>
        <w:tc>
          <w:tcPr>
            <w:tcW w:w="929"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b/>
                <w:bCs/>
                <w:sz w:val="22"/>
              </w:rPr>
            </w:pPr>
            <w:r>
              <w:rPr>
                <w:rFonts w:ascii="宋体" w:cs="宋体" w:hint="eastAsia"/>
                <w:b/>
                <w:bCs/>
                <w:color w:val="000000"/>
                <w:kern w:val="0"/>
                <w:sz w:val="22"/>
              </w:rPr>
              <w:t>部门联系人：</w:t>
            </w:r>
          </w:p>
        </w:tc>
        <w:tc>
          <w:tcPr>
            <w:tcW w:w="1490" w:type="dxa"/>
            <w:gridSpan w:val="2"/>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童建川</w:t>
            </w:r>
          </w:p>
        </w:tc>
        <w:tc>
          <w:tcPr>
            <w:tcW w:w="56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right"/>
              <w:textAlignment w:val="center"/>
              <w:rPr>
                <w:rFonts w:ascii="宋体" w:cs="宋体"/>
                <w:b/>
                <w:bCs/>
                <w:sz w:val="22"/>
              </w:rPr>
            </w:pPr>
            <w:r>
              <w:rPr>
                <w:rFonts w:ascii="宋体" w:cs="宋体" w:hint="eastAsia"/>
                <w:b/>
                <w:bCs/>
                <w:color w:val="000000"/>
                <w:kern w:val="0"/>
                <w:sz w:val="22"/>
              </w:rPr>
              <w:t>联系电话：</w:t>
            </w:r>
          </w:p>
        </w:tc>
        <w:tc>
          <w:tcPr>
            <w:tcW w:w="559"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sz w:val="22"/>
              </w:rPr>
            </w:pPr>
            <w:r>
              <w:rPr>
                <w:rFonts w:ascii="宋体" w:cs="宋体" w:hint="eastAsia"/>
                <w:color w:val="000000"/>
                <w:kern w:val="0"/>
                <w:sz w:val="22"/>
              </w:rPr>
              <w:t>47228292</w:t>
            </w:r>
          </w:p>
        </w:tc>
      </w:tr>
      <w:tr>
        <w:trPr>
          <w:trHeight w:val="400"/>
        </w:trPr>
        <w:tc>
          <w:tcPr>
            <w:tcW w:w="8875" w:type="dxa"/>
            <w:gridSpan w:val="11"/>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微软雅黑" w:eastAsia="微软雅黑" w:cs="微软雅黑"/>
                <w:b/>
                <w:bCs/>
                <w:color w:val="7F7F7F"/>
                <w:sz w:val="28"/>
                <w:szCs w:val="28"/>
              </w:rPr>
            </w:pPr>
            <w:r>
              <w:rPr>
                <w:rFonts w:ascii="微软雅黑" w:eastAsia="微软雅黑" w:cs="微软雅黑" w:hint="eastAsia"/>
                <w:b/>
                <w:bCs/>
                <w:color w:val="7F7F7F"/>
                <w:kern w:val="0"/>
                <w:sz w:val="28"/>
                <w:szCs w:val="28"/>
              </w:rPr>
              <w:t>资金情况</w:t>
            </w:r>
          </w:p>
        </w:tc>
      </w:tr>
      <w:tr>
        <w:trPr>
          <w:trHeight w:val="330"/>
        </w:trPr>
        <w:tc>
          <w:tcPr>
            <w:tcW w:w="189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sz w:val="22"/>
              </w:rPr>
            </w:pPr>
            <w:r>
              <w:rPr>
                <w:rFonts w:ascii="宋体" w:cs="宋体" w:hint="eastAsia"/>
                <w:kern w:val="0"/>
                <w:sz w:val="22"/>
              </w:rPr>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年初预算数</w:t>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全年（调整）预算数</w:t>
            </w:r>
          </w:p>
        </w:tc>
        <w:tc>
          <w:tcPr>
            <w:tcW w:w="166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全年执行数</w:t>
            </w:r>
          </w:p>
        </w:tc>
        <w:tc>
          <w:tcPr>
            <w:tcW w:w="75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执行率</w:t>
            </w:r>
          </w:p>
        </w:tc>
        <w:tc>
          <w:tcPr>
            <w:tcW w:w="56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b/>
                <w:bCs/>
                <w:sz w:val="22"/>
              </w:rPr>
            </w:pPr>
            <w:r>
              <w:rPr>
                <w:rFonts w:ascii="宋体" w:cs="宋体" w:hint="eastAsia"/>
                <w:b/>
                <w:bCs/>
                <w:color w:val="000000"/>
                <w:kern w:val="0"/>
                <w:sz w:val="22"/>
              </w:rPr>
              <w:t>执行率权重</w:t>
            </w:r>
          </w:p>
        </w:tc>
        <w:tc>
          <w:tcPr>
            <w:tcW w:w="559"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执行率得分</w:t>
            </w:r>
          </w:p>
        </w:tc>
      </w:tr>
      <w:tr>
        <w:trPr>
          <w:trHeight w:val="330"/>
        </w:trPr>
        <w:tc>
          <w:tcPr>
            <w:tcW w:w="189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sz w:val="22"/>
              </w:rPr>
            </w:pPr>
            <w:r>
              <w:rPr>
                <w:rFonts w:ascii="宋体" w:cs="宋体" w:hint="eastAsia"/>
                <w:color w:val="000000"/>
                <w:kern w:val="0"/>
                <w:sz w:val="22"/>
              </w:rPr>
              <w:t>年度总金额</w:t>
            </w:r>
          </w:p>
          <w:p>
            <w:pPr>
              <w:widowControl/>
              <w:jc w:val="left"/>
              <w:textAlignment w:val="center"/>
              <w:rPr>
                <w:rFonts w:ascii="宋体" w:cs="宋体"/>
                <w:sz w:val="22"/>
              </w:rPr>
            </w:pPr>
            <w:r>
              <w:rPr>
                <w:rFonts w:ascii="宋体" w:cs="宋体" w:hint="eastAsia"/>
                <w:kern w:val="0"/>
                <w:sz w:val="22"/>
              </w:rPr>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sz w:val="22"/>
              </w:rPr>
            </w:pPr>
            <w:r>
              <w:rPr>
                <w:rFonts w:ascii="宋体" w:cs="宋体" w:hint="eastAsia"/>
                <w:kern w:val="0"/>
                <w:sz w:val="22"/>
              </w:rPr>
              <w:t>　</w:t>
            </w:r>
          </w:p>
          <w:p>
            <w:pPr>
              <w:widowControl/>
              <w:spacing w:line="240" w:lineRule="atLeast"/>
              <w:jc w:val="right"/>
              <w:textAlignment w:val="center"/>
              <w:rPr>
                <w:rFonts w:ascii="宋体" w:cs="宋体"/>
                <w:sz w:val="22"/>
              </w:rPr>
            </w:pPr>
            <w:r>
              <w:rPr>
                <w:rFonts w:ascii="宋体" w:cs="宋体" w:hint="eastAsia"/>
                <w:color w:val="000000"/>
                <w:kern w:val="0"/>
                <w:sz w:val="22"/>
              </w:rPr>
              <w:t>22.72</w:t>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left"/>
              <w:textAlignment w:val="center"/>
              <w:rPr>
                <w:rFonts w:ascii="宋体" w:cs="宋体"/>
                <w:sz w:val="22"/>
              </w:rPr>
            </w:pPr>
            <w:r>
              <w:rPr>
                <w:rFonts w:ascii="宋体" w:cs="宋体" w:hint="eastAsia"/>
                <w:kern w:val="0"/>
                <w:sz w:val="22"/>
              </w:rPr>
              <w:t>　</w:t>
            </w:r>
          </w:p>
          <w:p>
            <w:pPr>
              <w:widowControl/>
              <w:spacing w:line="240" w:lineRule="atLeast"/>
              <w:jc w:val="right"/>
              <w:textAlignment w:val="center"/>
              <w:rPr>
                <w:rFonts w:ascii="宋体" w:cs="宋体"/>
                <w:sz w:val="22"/>
              </w:rPr>
            </w:pPr>
            <w:r>
              <w:rPr>
                <w:rFonts w:ascii="宋体" w:cs="宋体" w:hint="eastAsia"/>
                <w:color w:val="000000"/>
                <w:kern w:val="0"/>
                <w:sz w:val="22"/>
              </w:rPr>
              <w:t>11.36</w:t>
            </w:r>
          </w:p>
        </w:tc>
        <w:tc>
          <w:tcPr>
            <w:tcW w:w="166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11.36</w:t>
            </w:r>
          </w:p>
        </w:tc>
        <w:tc>
          <w:tcPr>
            <w:tcW w:w="75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left"/>
              <w:textAlignment w:val="center"/>
              <w:rPr>
                <w:rFonts w:ascii="宋体" w:cs="宋体"/>
                <w:sz w:val="22"/>
              </w:rPr>
            </w:pPr>
            <w:r>
              <w:rPr>
                <w:rFonts w:ascii="宋体" w:cs="宋体" w:hint="eastAsia"/>
                <w:kern w:val="0"/>
                <w:sz w:val="22"/>
              </w:rPr>
              <w:t>　</w:t>
            </w:r>
          </w:p>
        </w:tc>
        <w:tc>
          <w:tcPr>
            <w:tcW w:w="56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left"/>
              <w:textAlignment w:val="center"/>
              <w:rPr>
                <w:rFonts w:ascii="宋体" w:cs="宋体"/>
                <w:sz w:val="22"/>
              </w:rPr>
            </w:pPr>
            <w:r>
              <w:rPr>
                <w:rFonts w:ascii="宋体" w:cs="宋体" w:hint="eastAsia"/>
                <w:kern w:val="0"/>
                <w:sz w:val="22"/>
              </w:rPr>
              <w:t>　</w:t>
            </w:r>
          </w:p>
        </w:tc>
        <w:tc>
          <w:tcPr>
            <w:tcW w:w="55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kern w:val="0"/>
                <w:sz w:val="22"/>
              </w:rPr>
              <w:t>　</w:t>
            </w:r>
          </w:p>
        </w:tc>
      </w:tr>
      <w:tr>
        <w:trPr>
          <w:trHeight w:val="330"/>
        </w:trPr>
        <w:tc>
          <w:tcPr>
            <w:tcW w:w="189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color w:val="000000"/>
                <w:kern w:val="0"/>
                <w:sz w:val="22"/>
              </w:rPr>
            </w:pPr>
            <w:r>
              <w:rPr>
                <w:rFonts w:ascii="宋体" w:cs="宋体" w:hint="eastAsia"/>
                <w:color w:val="000000"/>
                <w:kern w:val="0"/>
                <w:sz w:val="22"/>
              </w:rPr>
              <w:t>其中：财政拨款</w:t>
            </w:r>
          </w:p>
          <w:p>
            <w:pPr>
              <w:widowControl/>
              <w:jc w:val="left"/>
              <w:textAlignment w:val="center"/>
              <w:rPr>
                <w:rFonts w:ascii="宋体" w:cs="宋体"/>
                <w:color w:val="000000"/>
                <w:kern w:val="0"/>
                <w:sz w:val="22"/>
              </w:rPr>
            </w:pPr>
            <w:r>
              <w:rPr>
                <w:rFonts w:ascii="宋体" w:cs="宋体" w:hint="eastAsia"/>
                <w:color w:val="000000"/>
                <w:kern w:val="0"/>
                <w:sz w:val="22"/>
              </w:rPr>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sz w:val="22"/>
              </w:rPr>
            </w:pPr>
            <w:r>
              <w:rPr>
                <w:rFonts w:ascii="宋体" w:cs="宋体" w:hint="eastAsia"/>
                <w:kern w:val="0"/>
                <w:sz w:val="22"/>
              </w:rPr>
              <w:t>　</w:t>
            </w:r>
          </w:p>
          <w:p>
            <w:pPr>
              <w:widowControl/>
              <w:spacing w:line="240" w:lineRule="atLeast"/>
              <w:jc w:val="right"/>
              <w:textAlignment w:val="center"/>
              <w:rPr>
                <w:rFonts w:ascii="宋体" w:cs="宋体"/>
                <w:sz w:val="22"/>
              </w:rPr>
            </w:pPr>
            <w:r>
              <w:rPr>
                <w:rFonts w:ascii="宋体" w:cs="宋体" w:hint="eastAsia"/>
                <w:color w:val="000000"/>
                <w:kern w:val="0"/>
                <w:sz w:val="22"/>
              </w:rPr>
              <w:t>22.72</w:t>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left"/>
              <w:textAlignment w:val="center"/>
              <w:rPr>
                <w:rFonts w:ascii="宋体" w:cs="宋体"/>
                <w:sz w:val="22"/>
              </w:rPr>
            </w:pPr>
            <w:r>
              <w:rPr>
                <w:rFonts w:ascii="宋体" w:cs="宋体" w:hint="eastAsia"/>
                <w:kern w:val="0"/>
                <w:sz w:val="22"/>
              </w:rPr>
              <w:t>　</w:t>
            </w:r>
          </w:p>
          <w:p>
            <w:pPr>
              <w:widowControl/>
              <w:spacing w:line="240" w:lineRule="atLeast"/>
              <w:jc w:val="right"/>
              <w:textAlignment w:val="center"/>
              <w:rPr>
                <w:rFonts w:ascii="宋体" w:cs="宋体"/>
                <w:sz w:val="22"/>
              </w:rPr>
            </w:pPr>
            <w:r>
              <w:rPr>
                <w:rFonts w:ascii="宋体" w:cs="宋体" w:hint="eastAsia"/>
                <w:color w:val="000000"/>
                <w:kern w:val="0"/>
                <w:sz w:val="22"/>
              </w:rPr>
              <w:t>11.36</w:t>
            </w:r>
          </w:p>
        </w:tc>
        <w:tc>
          <w:tcPr>
            <w:tcW w:w="166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11.36</w:t>
            </w:r>
          </w:p>
        </w:tc>
        <w:tc>
          <w:tcPr>
            <w:tcW w:w="75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100</w:t>
            </w:r>
          </w:p>
        </w:tc>
        <w:tc>
          <w:tcPr>
            <w:tcW w:w="56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left"/>
              <w:textAlignment w:val="center"/>
              <w:rPr>
                <w:rFonts w:ascii="宋体" w:cs="宋体"/>
                <w:sz w:val="22"/>
              </w:rPr>
            </w:pPr>
            <w:r>
              <w:rPr>
                <w:rFonts w:ascii="宋体" w:cs="宋体" w:hint="eastAsia"/>
                <w:color w:val="000000"/>
                <w:kern w:val="0"/>
                <w:sz w:val="22"/>
              </w:rPr>
              <w:t>10</w:t>
            </w:r>
          </w:p>
        </w:tc>
        <w:tc>
          <w:tcPr>
            <w:tcW w:w="55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10</w:t>
            </w:r>
          </w:p>
        </w:tc>
      </w:tr>
      <w:tr>
        <w:trPr>
          <w:trHeight w:val="330"/>
        </w:trPr>
        <w:tc>
          <w:tcPr>
            <w:tcW w:w="189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sz w:val="22"/>
              </w:rPr>
            </w:pPr>
            <w:r>
              <w:rPr>
                <w:rFonts w:ascii="宋体" w:cs="宋体" w:hint="eastAsia"/>
                <w:color w:val="000000"/>
                <w:kern w:val="0"/>
                <w:sz w:val="22"/>
              </w:rPr>
              <w:t>一般公共预算</w:t>
            </w:r>
          </w:p>
          <w:p>
            <w:pPr>
              <w:widowControl/>
              <w:jc w:val="left"/>
              <w:textAlignment w:val="center"/>
              <w:rPr>
                <w:rFonts w:ascii="宋体" w:cs="宋体"/>
                <w:sz w:val="22"/>
              </w:rPr>
            </w:pPr>
            <w:r>
              <w:rPr>
                <w:rFonts w:ascii="宋体" w:cs="宋体" w:hint="eastAsia"/>
                <w:kern w:val="0"/>
                <w:sz w:val="22"/>
              </w:rPr>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left"/>
              <w:textAlignment w:val="center"/>
              <w:rPr>
                <w:rFonts w:ascii="宋体" w:cs="宋体"/>
                <w:sz w:val="22"/>
              </w:rPr>
            </w:pPr>
            <w:r>
              <w:rPr>
                <w:rFonts w:ascii="宋体" w:cs="宋体" w:hint="eastAsia"/>
                <w:kern w:val="0"/>
                <w:sz w:val="22"/>
              </w:rPr>
              <w:t>　</w:t>
            </w:r>
          </w:p>
          <w:p>
            <w:pPr>
              <w:widowControl/>
              <w:spacing w:line="240" w:lineRule="atLeast"/>
              <w:jc w:val="right"/>
              <w:textAlignment w:val="center"/>
              <w:rPr>
                <w:rFonts w:ascii="宋体" w:cs="宋体"/>
                <w:sz w:val="22"/>
              </w:rPr>
            </w:pPr>
            <w:r>
              <w:rPr>
                <w:rFonts w:ascii="宋体" w:cs="宋体" w:hint="eastAsia"/>
                <w:color w:val="000000"/>
                <w:kern w:val="0"/>
                <w:sz w:val="22"/>
              </w:rPr>
              <w:t>22.72</w:t>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left"/>
              <w:textAlignment w:val="center"/>
              <w:rPr>
                <w:rFonts w:ascii="宋体" w:cs="宋体"/>
                <w:sz w:val="22"/>
              </w:rPr>
            </w:pPr>
            <w:r>
              <w:rPr>
                <w:rFonts w:ascii="宋体" w:cs="宋体" w:hint="eastAsia"/>
                <w:kern w:val="0"/>
                <w:sz w:val="22"/>
              </w:rPr>
              <w:t>　</w:t>
            </w:r>
          </w:p>
          <w:p>
            <w:pPr>
              <w:widowControl/>
              <w:spacing w:line="240" w:lineRule="atLeast"/>
              <w:jc w:val="right"/>
              <w:textAlignment w:val="center"/>
              <w:rPr>
                <w:rFonts w:ascii="宋体" w:cs="宋体"/>
                <w:sz w:val="22"/>
              </w:rPr>
            </w:pPr>
            <w:r>
              <w:rPr>
                <w:rFonts w:ascii="宋体" w:cs="宋体" w:hint="eastAsia"/>
                <w:color w:val="000000"/>
                <w:kern w:val="0"/>
                <w:sz w:val="22"/>
              </w:rPr>
              <w:t>11.36</w:t>
            </w:r>
          </w:p>
        </w:tc>
        <w:tc>
          <w:tcPr>
            <w:tcW w:w="1669"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11.36</w:t>
            </w:r>
          </w:p>
        </w:tc>
        <w:tc>
          <w:tcPr>
            <w:tcW w:w="75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100</w:t>
            </w:r>
          </w:p>
        </w:tc>
        <w:tc>
          <w:tcPr>
            <w:tcW w:w="56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spacing w:line="240" w:lineRule="atLeast"/>
              <w:jc w:val="left"/>
              <w:textAlignment w:val="center"/>
              <w:rPr>
                <w:rFonts w:ascii="宋体" w:cs="宋体"/>
                <w:sz w:val="22"/>
              </w:rPr>
            </w:pPr>
            <w:r>
              <w:rPr>
                <w:rFonts w:ascii="宋体" w:cs="宋体" w:hint="eastAsia"/>
                <w:kern w:val="0"/>
                <w:sz w:val="22"/>
              </w:rPr>
              <w:t>　</w:t>
            </w:r>
          </w:p>
        </w:tc>
        <w:tc>
          <w:tcPr>
            <w:tcW w:w="55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kern w:val="0"/>
                <w:sz w:val="22"/>
              </w:rPr>
              <w:t>　</w:t>
            </w:r>
          </w:p>
        </w:tc>
      </w:tr>
      <w:tr>
        <w:trPr>
          <w:trHeight w:val="400"/>
        </w:trPr>
        <w:tc>
          <w:tcPr>
            <w:tcW w:w="8875" w:type="dxa"/>
            <w:gridSpan w:val="11"/>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微软雅黑" w:eastAsia="微软雅黑" w:cs="微软雅黑"/>
                <w:b/>
                <w:bCs/>
                <w:color w:val="7F7F7F"/>
                <w:sz w:val="28"/>
                <w:szCs w:val="28"/>
              </w:rPr>
            </w:pPr>
            <w:r>
              <w:rPr>
                <w:rFonts w:ascii="微软雅黑" w:eastAsia="微软雅黑" w:cs="微软雅黑" w:hint="eastAsia"/>
                <w:b/>
                <w:bCs/>
                <w:color w:val="7F7F7F"/>
                <w:kern w:val="0"/>
                <w:sz w:val="28"/>
                <w:szCs w:val="28"/>
              </w:rPr>
              <w:t>绩效目标</w:t>
            </w:r>
          </w:p>
        </w:tc>
      </w:tr>
      <w:tr>
        <w:trPr>
          <w:trHeight w:val="330"/>
        </w:trPr>
        <w:tc>
          <w:tcPr>
            <w:tcW w:w="3814"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年初绩效目标</w:t>
            </w:r>
          </w:p>
        </w:tc>
        <w:tc>
          <w:tcPr>
            <w:tcW w:w="3192"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全年（调整）绩效目标</w:t>
            </w:r>
          </w:p>
        </w:tc>
        <w:tc>
          <w:tcPr>
            <w:tcW w:w="1869"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全年目标实际完成情况</w:t>
            </w:r>
          </w:p>
        </w:tc>
      </w:tr>
      <w:tr>
        <w:trPr>
          <w:trHeight w:val="1070"/>
        </w:trPr>
        <w:tc>
          <w:tcPr>
            <w:tcW w:w="3814" w:type="dxa"/>
            <w:gridSpan w:val="4"/>
            <w:tcBorders>
              <w:top w:val="single" w:sz="6" w:space="0" w:color="auto"/>
              <w:left w:val="single" w:sz="6" w:space="0" w:color="auto"/>
              <w:bottom w:val="single" w:sz="6" w:space="0" w:color="auto"/>
              <w:right w:val="single" w:sz="6" w:space="0" w:color="auto"/>
            </w:tcBorders>
            <w:shd w:val="clear" w:color="auto" w:fill="auto"/>
            <w:noWrap/>
          </w:tcPr>
          <w:p>
            <w:pPr>
              <w:widowControl/>
              <w:jc w:val="left"/>
              <w:textAlignment w:val="top"/>
              <w:rPr>
                <w:rFonts w:ascii="宋体" w:cs="宋体"/>
                <w:sz w:val="22"/>
              </w:rPr>
            </w:pPr>
            <w:r>
              <w:rPr>
                <w:rFonts w:ascii="宋体" w:cs="宋体" w:hint="eastAsia"/>
                <w:color w:val="000000"/>
                <w:kern w:val="0"/>
                <w:sz w:val="22"/>
              </w:rPr>
              <w:t>农产品质量安全检测工作正常运行。</w:t>
            </w:r>
          </w:p>
        </w:tc>
        <w:tc>
          <w:tcPr>
            <w:tcW w:w="3192" w:type="dxa"/>
            <w:gridSpan w:val="4"/>
            <w:tcBorders>
              <w:top w:val="single" w:sz="6" w:space="0" w:color="auto"/>
              <w:left w:val="single" w:sz="6" w:space="0" w:color="auto"/>
              <w:bottom w:val="single" w:sz="6" w:space="0" w:color="auto"/>
              <w:right w:val="single" w:sz="6" w:space="0" w:color="auto"/>
            </w:tcBorders>
            <w:shd w:val="clear" w:color="auto" w:fill="auto"/>
            <w:noWrap/>
          </w:tcPr>
          <w:p>
            <w:pPr>
              <w:widowControl/>
              <w:jc w:val="left"/>
              <w:textAlignment w:val="top"/>
              <w:rPr>
                <w:rFonts w:ascii="宋体" w:cs="宋体"/>
                <w:sz w:val="22"/>
              </w:rPr>
            </w:pPr>
            <w:r>
              <w:rPr>
                <w:rFonts w:ascii="宋体" w:cs="宋体" w:hint="eastAsia"/>
                <w:kern w:val="0"/>
                <w:sz w:val="22"/>
              </w:rPr>
              <w:t>　</w:t>
            </w:r>
          </w:p>
        </w:tc>
        <w:tc>
          <w:tcPr>
            <w:tcW w:w="1869" w:type="dxa"/>
            <w:gridSpan w:val="3"/>
            <w:tcBorders>
              <w:top w:val="single" w:sz="6" w:space="0" w:color="auto"/>
              <w:left w:val="single" w:sz="6" w:space="0" w:color="auto"/>
              <w:bottom w:val="single" w:sz="6" w:space="0" w:color="auto"/>
              <w:right w:val="single" w:sz="6" w:space="0" w:color="auto"/>
            </w:tcBorders>
            <w:shd w:val="clear" w:color="auto" w:fill="auto"/>
            <w:noWrap/>
          </w:tcPr>
          <w:p>
            <w:pPr>
              <w:widowControl/>
              <w:jc w:val="left"/>
              <w:textAlignment w:val="top"/>
              <w:rPr>
                <w:rFonts w:ascii="宋体" w:cs="宋体"/>
                <w:sz w:val="22"/>
              </w:rPr>
            </w:pPr>
            <w:r>
              <w:rPr>
                <w:rFonts w:ascii="宋体" w:cs="宋体" w:hint="eastAsia"/>
                <w:color w:val="000000"/>
                <w:kern w:val="0"/>
                <w:sz w:val="22"/>
              </w:rPr>
              <w:t>保证了农产品质量安全检测工作的正常运行。</w:t>
            </w:r>
          </w:p>
        </w:tc>
      </w:tr>
      <w:tr>
        <w:trPr>
          <w:trHeight w:val="400"/>
        </w:trPr>
        <w:tc>
          <w:tcPr>
            <w:tcW w:w="8875" w:type="dxa"/>
            <w:gridSpan w:val="11"/>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微软雅黑" w:eastAsia="微软雅黑" w:cs="微软雅黑"/>
                <w:b/>
                <w:bCs/>
                <w:color w:val="7F7F7F"/>
                <w:sz w:val="28"/>
                <w:szCs w:val="28"/>
              </w:rPr>
            </w:pPr>
            <w:r>
              <w:rPr>
                <w:rFonts w:ascii="微软雅黑" w:eastAsia="微软雅黑" w:cs="微软雅黑" w:hint="eastAsia"/>
                <w:b/>
                <w:bCs/>
                <w:color w:val="7F7F7F"/>
                <w:kern w:val="0"/>
                <w:sz w:val="28"/>
                <w:szCs w:val="28"/>
              </w:rPr>
              <w:t>绩效指标</w:t>
            </w:r>
          </w:p>
        </w:tc>
      </w:tr>
      <w:tr>
        <w:trPr>
          <w:trHeight w:val="410"/>
        </w:trPr>
        <w:tc>
          <w:tcPr>
            <w:tcW w:w="937"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指标名称</w:t>
            </w:r>
          </w:p>
        </w:tc>
        <w:tc>
          <w:tcPr>
            <w:tcW w:w="957"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计量单位</w:t>
            </w:r>
          </w:p>
        </w:tc>
        <w:tc>
          <w:tcPr>
            <w:tcW w:w="983"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指标性质</w:t>
            </w:r>
          </w:p>
        </w:tc>
        <w:tc>
          <w:tcPr>
            <w:tcW w:w="937"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指标值</w:t>
            </w:r>
          </w:p>
        </w:tc>
        <w:tc>
          <w:tcPr>
            <w:tcW w:w="734"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全年完成值</w:t>
            </w:r>
          </w:p>
        </w:tc>
        <w:tc>
          <w:tcPr>
            <w:tcW w:w="789"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偏离度（%）</w:t>
            </w:r>
          </w:p>
        </w:tc>
        <w:tc>
          <w:tcPr>
            <w:tcW w:w="929"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得分系数（%）</w:t>
            </w:r>
          </w:p>
        </w:tc>
        <w:tc>
          <w:tcPr>
            <w:tcW w:w="74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指标权重</w:t>
            </w:r>
          </w:p>
        </w:tc>
        <w:tc>
          <w:tcPr>
            <w:tcW w:w="75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指标得分</w:t>
            </w:r>
          </w:p>
        </w:tc>
        <w:tc>
          <w:tcPr>
            <w:tcW w:w="560"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是否核心指标</w:t>
            </w:r>
          </w:p>
        </w:tc>
        <w:tc>
          <w:tcPr>
            <w:tcW w:w="559" w:type="dxa"/>
            <w:tcBorders>
              <w:top w:val="single" w:sz="6" w:space="0" w:color="auto"/>
              <w:left w:val="single" w:sz="6" w:space="0" w:color="auto"/>
              <w:bottom w:val="single" w:sz="6" w:space="0" w:color="auto"/>
              <w:right w:val="single" w:sz="6" w:space="0" w:color="auto"/>
            </w:tcBorders>
            <w:shd w:val="clear" w:color="auto" w:fill="auto"/>
            <w:noWrap/>
            <w:vAlign w:val="center"/>
          </w:tcPr>
          <w:p>
            <w:pPr>
              <w:widowControl/>
              <w:jc w:val="center"/>
              <w:textAlignment w:val="center"/>
              <w:rPr>
                <w:rFonts w:ascii="宋体" w:cs="宋体"/>
                <w:b/>
                <w:bCs/>
                <w:sz w:val="22"/>
              </w:rPr>
            </w:pPr>
            <w:r>
              <w:rPr>
                <w:rFonts w:ascii="宋体" w:cs="宋体" w:hint="eastAsia"/>
                <w:b/>
                <w:bCs/>
                <w:color w:val="000000"/>
                <w:kern w:val="0"/>
                <w:sz w:val="22"/>
              </w:rPr>
              <w:t>说明</w:t>
            </w:r>
          </w:p>
        </w:tc>
      </w:tr>
      <w:tr>
        <w:trPr>
          <w:trHeight w:val="480"/>
        </w:trPr>
        <w:tc>
          <w:tcPr>
            <w:tcW w:w="93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保证正常运行</w:t>
            </w:r>
          </w:p>
        </w:tc>
        <w:tc>
          <w:tcPr>
            <w:tcW w:w="95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项</w:t>
            </w:r>
          </w:p>
        </w:tc>
        <w:tc>
          <w:tcPr>
            <w:tcW w:w="983"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定性</w:t>
            </w:r>
          </w:p>
        </w:tc>
        <w:tc>
          <w:tcPr>
            <w:tcW w:w="93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保证正常运行</w:t>
            </w:r>
          </w:p>
        </w:tc>
        <w:tc>
          <w:tcPr>
            <w:tcW w:w="734"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w:t>
            </w:r>
          </w:p>
        </w:tc>
        <w:tc>
          <w:tcPr>
            <w:tcW w:w="78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0</w:t>
            </w:r>
          </w:p>
        </w:tc>
        <w:tc>
          <w:tcPr>
            <w:tcW w:w="92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100</w:t>
            </w:r>
          </w:p>
        </w:tc>
        <w:tc>
          <w:tcPr>
            <w:tcW w:w="74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40</w:t>
            </w:r>
          </w:p>
        </w:tc>
        <w:tc>
          <w:tcPr>
            <w:tcW w:w="75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40</w:t>
            </w:r>
          </w:p>
        </w:tc>
        <w:tc>
          <w:tcPr>
            <w:tcW w:w="56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left"/>
              <w:textAlignment w:val="center"/>
              <w:rPr>
                <w:rFonts w:ascii="宋体" w:cs="宋体"/>
                <w:sz w:val="22"/>
              </w:rPr>
            </w:pPr>
            <w:r>
              <w:rPr>
                <w:rFonts w:ascii="宋体" w:cs="宋体" w:hint="eastAsia"/>
                <w:color w:val="000000"/>
                <w:kern w:val="0"/>
                <w:sz w:val="22"/>
              </w:rPr>
              <w:t>是</w:t>
            </w:r>
          </w:p>
        </w:tc>
        <w:tc>
          <w:tcPr>
            <w:tcW w:w="55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kern w:val="0"/>
                <w:sz w:val="22"/>
              </w:rPr>
              <w:t>　</w:t>
            </w:r>
          </w:p>
        </w:tc>
      </w:tr>
      <w:tr>
        <w:trPr>
          <w:trHeight w:val="480"/>
        </w:trPr>
        <w:tc>
          <w:tcPr>
            <w:tcW w:w="93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资金使用情况</w:t>
            </w:r>
          </w:p>
        </w:tc>
        <w:tc>
          <w:tcPr>
            <w:tcW w:w="95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项</w:t>
            </w:r>
          </w:p>
        </w:tc>
        <w:tc>
          <w:tcPr>
            <w:tcW w:w="983"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定性</w:t>
            </w:r>
          </w:p>
        </w:tc>
        <w:tc>
          <w:tcPr>
            <w:tcW w:w="93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无违规</w:t>
            </w:r>
          </w:p>
        </w:tc>
        <w:tc>
          <w:tcPr>
            <w:tcW w:w="734"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w:t>
            </w:r>
          </w:p>
        </w:tc>
        <w:tc>
          <w:tcPr>
            <w:tcW w:w="78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0</w:t>
            </w:r>
          </w:p>
        </w:tc>
        <w:tc>
          <w:tcPr>
            <w:tcW w:w="92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100</w:t>
            </w:r>
          </w:p>
        </w:tc>
        <w:tc>
          <w:tcPr>
            <w:tcW w:w="74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20</w:t>
            </w:r>
          </w:p>
        </w:tc>
        <w:tc>
          <w:tcPr>
            <w:tcW w:w="75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20</w:t>
            </w:r>
          </w:p>
        </w:tc>
        <w:tc>
          <w:tcPr>
            <w:tcW w:w="56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left"/>
              <w:textAlignment w:val="center"/>
              <w:rPr>
                <w:rFonts w:ascii="宋体" w:cs="宋体"/>
                <w:sz w:val="22"/>
              </w:rPr>
            </w:pPr>
            <w:r>
              <w:rPr>
                <w:rFonts w:ascii="宋体" w:cs="宋体" w:hint="eastAsia"/>
                <w:color w:val="000000"/>
                <w:kern w:val="0"/>
                <w:sz w:val="22"/>
              </w:rPr>
              <w:t>否</w:t>
            </w:r>
          </w:p>
        </w:tc>
        <w:tc>
          <w:tcPr>
            <w:tcW w:w="55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kern w:val="0"/>
                <w:sz w:val="22"/>
              </w:rPr>
              <w:t>　</w:t>
            </w:r>
          </w:p>
        </w:tc>
      </w:tr>
      <w:tr>
        <w:trPr>
          <w:trHeight w:val="480"/>
        </w:trPr>
        <w:tc>
          <w:tcPr>
            <w:tcW w:w="93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维持刚性需求</w:t>
            </w:r>
          </w:p>
        </w:tc>
        <w:tc>
          <w:tcPr>
            <w:tcW w:w="95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项</w:t>
            </w:r>
          </w:p>
        </w:tc>
        <w:tc>
          <w:tcPr>
            <w:tcW w:w="983"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定性</w:t>
            </w:r>
          </w:p>
        </w:tc>
        <w:tc>
          <w:tcPr>
            <w:tcW w:w="93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维持刚性需求</w:t>
            </w:r>
          </w:p>
        </w:tc>
        <w:tc>
          <w:tcPr>
            <w:tcW w:w="734"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w:t>
            </w:r>
          </w:p>
        </w:tc>
        <w:tc>
          <w:tcPr>
            <w:tcW w:w="78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0</w:t>
            </w:r>
          </w:p>
        </w:tc>
        <w:tc>
          <w:tcPr>
            <w:tcW w:w="92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100</w:t>
            </w:r>
          </w:p>
        </w:tc>
        <w:tc>
          <w:tcPr>
            <w:tcW w:w="74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20</w:t>
            </w:r>
          </w:p>
        </w:tc>
        <w:tc>
          <w:tcPr>
            <w:tcW w:w="75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20</w:t>
            </w:r>
          </w:p>
        </w:tc>
        <w:tc>
          <w:tcPr>
            <w:tcW w:w="56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left"/>
              <w:textAlignment w:val="center"/>
              <w:rPr>
                <w:rFonts w:ascii="宋体" w:cs="宋体"/>
                <w:sz w:val="22"/>
              </w:rPr>
            </w:pPr>
            <w:r>
              <w:rPr>
                <w:rFonts w:ascii="宋体" w:cs="宋体" w:hint="eastAsia"/>
                <w:color w:val="000000"/>
                <w:kern w:val="0"/>
                <w:sz w:val="22"/>
              </w:rPr>
              <w:t>否</w:t>
            </w:r>
          </w:p>
        </w:tc>
        <w:tc>
          <w:tcPr>
            <w:tcW w:w="55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kern w:val="0"/>
                <w:sz w:val="22"/>
              </w:rPr>
              <w:t>　</w:t>
            </w:r>
          </w:p>
        </w:tc>
      </w:tr>
      <w:tr>
        <w:trPr>
          <w:trHeight w:val="330"/>
        </w:trPr>
        <w:tc>
          <w:tcPr>
            <w:tcW w:w="93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满意度</w:t>
            </w:r>
          </w:p>
        </w:tc>
        <w:tc>
          <w:tcPr>
            <w:tcW w:w="95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w:t>
            </w:r>
          </w:p>
        </w:tc>
        <w:tc>
          <w:tcPr>
            <w:tcW w:w="983"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color w:val="000000"/>
                <w:kern w:val="0"/>
                <w:sz w:val="22"/>
              </w:rPr>
              <w:t>≥</w:t>
            </w:r>
          </w:p>
        </w:tc>
        <w:tc>
          <w:tcPr>
            <w:tcW w:w="937"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right"/>
              <w:textAlignment w:val="center"/>
              <w:rPr>
                <w:rFonts w:ascii="宋体" w:cs="宋体"/>
                <w:sz w:val="22"/>
              </w:rPr>
            </w:pPr>
            <w:r>
              <w:rPr>
                <w:rFonts w:ascii="宋体" w:cs="宋体" w:hint="eastAsia"/>
                <w:color w:val="000000"/>
                <w:kern w:val="0"/>
                <w:sz w:val="22"/>
              </w:rPr>
              <w:t>92</w:t>
            </w:r>
          </w:p>
        </w:tc>
        <w:tc>
          <w:tcPr>
            <w:tcW w:w="734"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95</w:t>
            </w:r>
          </w:p>
        </w:tc>
        <w:tc>
          <w:tcPr>
            <w:tcW w:w="78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3.26</w:t>
            </w:r>
          </w:p>
        </w:tc>
        <w:tc>
          <w:tcPr>
            <w:tcW w:w="92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100</w:t>
            </w:r>
          </w:p>
        </w:tc>
        <w:tc>
          <w:tcPr>
            <w:tcW w:w="74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10</w:t>
            </w:r>
          </w:p>
        </w:tc>
        <w:tc>
          <w:tcPr>
            <w:tcW w:w="75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right"/>
              <w:textAlignment w:val="center"/>
              <w:rPr>
                <w:rFonts w:ascii="宋体" w:cs="宋体"/>
                <w:sz w:val="22"/>
              </w:rPr>
            </w:pPr>
            <w:r>
              <w:rPr>
                <w:rFonts w:ascii="宋体" w:cs="宋体" w:hint="eastAsia"/>
                <w:color w:val="000000"/>
                <w:kern w:val="0"/>
                <w:sz w:val="22"/>
              </w:rPr>
              <w:t>10</w:t>
            </w:r>
          </w:p>
        </w:tc>
        <w:tc>
          <w:tcPr>
            <w:tcW w:w="560"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spacing w:line="240" w:lineRule="atLeast"/>
              <w:jc w:val="left"/>
              <w:textAlignment w:val="center"/>
              <w:rPr>
                <w:rFonts w:ascii="宋体" w:cs="宋体"/>
                <w:sz w:val="22"/>
              </w:rPr>
            </w:pPr>
            <w:r>
              <w:rPr>
                <w:rFonts w:ascii="宋体" w:cs="宋体" w:hint="eastAsia"/>
                <w:color w:val="000000"/>
                <w:kern w:val="0"/>
                <w:sz w:val="22"/>
              </w:rPr>
              <w:t>否</w:t>
            </w:r>
          </w:p>
        </w:tc>
        <w:tc>
          <w:tcPr>
            <w:tcW w:w="559" w:type="dxa"/>
            <w:tcBorders>
              <w:top w:val="single" w:sz="6" w:space="0" w:color="auto"/>
              <w:left w:val="single" w:sz="6" w:space="0" w:color="auto"/>
              <w:bottom w:val="single" w:sz="6" w:space="0" w:color="auto"/>
              <w:right w:val="single" w:sz="6" w:space="0" w:color="auto"/>
            </w:tcBorders>
            <w:shd w:val="clear" w:color="auto" w:fill="auto"/>
            <w:noWrap/>
            <w:tcMar>
              <w:left w:w="280" w:type="dxa"/>
            </w:tcMar>
            <w:vAlign w:val="center"/>
          </w:tcPr>
          <w:p>
            <w:pPr>
              <w:widowControl/>
              <w:jc w:val="left"/>
              <w:textAlignment w:val="center"/>
              <w:rPr>
                <w:rFonts w:ascii="宋体" w:cs="宋体"/>
                <w:sz w:val="22"/>
              </w:rPr>
            </w:pPr>
            <w:r>
              <w:rPr>
                <w:rFonts w:ascii="宋体" w:cs="宋体" w:hint="eastAsia"/>
                <w:kern w:val="0"/>
                <w:sz w:val="22"/>
              </w:rPr>
              <w:t>　</w:t>
            </w:r>
          </w:p>
        </w:tc>
      </w:tr>
    </w:tbl>
    <w:p>
      <w:pPr>
        <w:pStyle w:val="20"/>
        <w:tabs>
          <w:tab w:val="center" w:pos="4153"/>
          <w:tab w:val="left" w:pos="7275"/>
        </w:tabs>
        <w:spacing w:line="579" w:lineRule="exact"/>
        <w:ind w:firstLineChars="0" w:firstLine="0"/>
        <w:jc w:val="center"/>
        <w:rPr>
          <w:rFonts w:ascii="方正黑体_GBK" w:eastAsia="方正黑体_GBK" w:cs="方正黑体_GBK"/>
          <w:color w:val="000000"/>
          <w:kern w:val="0"/>
          <w:sz w:val="36"/>
          <w:szCs w:val="36"/>
        </w:rPr>
      </w:pPr>
    </w:p>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kern w:val="0"/>
          <w:sz w:val="32"/>
          <w:szCs w:val="32"/>
        </w:rPr>
      </w:pPr>
      <w:r>
        <w:rPr>
          <w:rFonts w:ascii="宋体" w:eastAsia="方正仿宋_GBK" w:cs="方正仿宋_GBK" w:hAnsi="宋体" w:hint="eastAsia"/>
          <w:b/>
          <w:kern w:val="0"/>
          <w:sz w:val="32"/>
          <w:szCs w:val="32"/>
        </w:rPr>
        <w:t>绩效自评报告或案例</w:t>
      </w:r>
    </w:p>
    <w:p>
      <w:pPr>
        <w:pStyle w:val="20"/>
        <w:tabs>
          <w:tab w:val="center" w:pos="4153"/>
          <w:tab w:val="left" w:pos="7275"/>
        </w:tabs>
        <w:spacing w:line="579" w:lineRule="exact"/>
        <w:ind w:leftChars="200" w:left="420" w:firstLineChars="100" w:firstLine="320"/>
        <w:rPr>
          <w:rFonts w:ascii="宋体" w:eastAsia="方正仿宋_GBK" w:cs="方正仿宋_GBK" w:hAnsi="宋体"/>
          <w:b/>
          <w:bCs/>
          <w:color w:val="000000"/>
          <w:kern w:val="0"/>
          <w:sz w:val="32"/>
          <w:szCs w:val="32"/>
        </w:rPr>
      </w:pPr>
      <w:r>
        <w:rPr>
          <w:rFonts w:ascii="宋体" w:eastAsia="方正仿宋_GBK" w:cs="方正仿宋_GBK" w:hAnsi="宋体" w:hint="eastAsia"/>
          <w:kern w:val="0"/>
          <w:sz w:val="32"/>
          <w:szCs w:val="32"/>
        </w:rPr>
        <w:t>本单位无此事项。</w:t>
      </w:r>
    </w:p>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tabs>
          <w:tab w:val="center" w:pos="4153"/>
          <w:tab w:val="left" w:pos="7275"/>
        </w:tabs>
        <w:spacing w:line="579" w:lineRule="exact"/>
        <w:outlineLvl w:val="1"/>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tabs>
          <w:tab w:val="center" w:pos="4153"/>
          <w:tab w:val="left" w:pos="7275"/>
        </w:tabs>
        <w:spacing w:line="579" w:lineRule="exact"/>
        <w:outlineLvl w:val="1"/>
        <w:rPr>
          <w:rFonts w:ascii="宋体" w:eastAsia="方正楷体_GBK" w:cs="方正楷体_GBK" w:hAnsi="宋体"/>
          <w:color w:val="333333"/>
          <w:sz w:val="32"/>
          <w:szCs w:val="32"/>
        </w:rPr>
      </w:pPr>
      <w:r>
        <w:rPr>
          <w:rFonts w:ascii="宋体" w:eastAsia="方正楷体_GBK" w:cs="方正楷体_GBK" w:hAnsi="宋体" w:hint="eastAsia"/>
          <w:color w:val="333333"/>
          <w:sz w:val="32"/>
          <w:szCs w:val="32"/>
        </w:rPr>
        <w:t>（三）重点绩效评价结果</w:t>
      </w: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仿宋_GBK" w:cs="方正仿宋_GBK" w:hAnsi="宋体" w:hint="eastAsia"/>
          <w:kern w:val="0"/>
          <w:sz w:val="32"/>
          <w:szCs w:val="32"/>
        </w:rPr>
        <w:t>本单位无此事项。</w:t>
      </w:r>
    </w:p>
    <w:p>
      <w:pPr>
        <w:pStyle w:val="20"/>
        <w:numPr>
          <w:ilvl w:val="0"/>
          <w:numId w:val="8"/>
        </w:numPr>
        <w:tabs>
          <w:tab w:val="center" w:pos="4153"/>
          <w:tab w:val="left" w:pos="7275"/>
        </w:tabs>
        <w:spacing w:line="579" w:lineRule="exact"/>
        <w:ind w:left="0" w:firstLineChars="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专业名词解释</w:t>
      </w:r>
    </w:p>
    <w:p>
      <w:pPr>
        <w:pStyle w:val="20"/>
        <w:tabs>
          <w:tab w:val="center" w:pos="4153"/>
          <w:tab w:val="left" w:pos="7275"/>
        </w:tabs>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部门应根据实际情况对专业名词进行解释，不得遗漏。示例：</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（二）事业收入：指事业单位开展专业业务活动及其辅助活动取得的现金流入；事业单位收到的财政专户实际核拨的教育收费等资金在此反映。</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（四）使用非财政拨款结余：指单位在当年的“财政拨款收入”、“事业收入”、“经营收入”、“其他收入”等不足以安排当年支出的情况下，使用以前年度积累的非财政拨款结余弥补本年度收支缺口的资金。</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（五）年初结转和结余：指单位上年结转本年使用的基本支出结转、项目支出结转和结余、经营结余。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（六）结余分配：指单位按照国家有关规定，缴纳所得税、提取专用基金、转入非财政拨款结余等当年结余的分配情况。</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（七）年末结转和结余：指单位结转下年的基本支出结转、项目支出结转和结余、经营结余。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（九）项目支出：指在基本支出之外为完成特定行政任务和事业发展目标所发生的支出。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（十二）工资福利支出（支出经济分类科目类级）：反映单位开支的在职职工和编制外长期聘用人员的各类劳动报酬，以及为上述人员缴纳的各项社会保险费等。</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（十三）商品和服务支出（支出经济分类科目类级）：反映单位购买商品和服务的支出（不包括用于购置固定资产的支出、战略性和应急储备支出）。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（十四）对个人和家庭的补助（支出经济分类科目类级）：反映用于对个人和家庭的补助支出。</w:t>
      </w:r>
    </w:p>
    <w:p>
      <w:pPr>
        <w:pStyle w:val="20"/>
        <w:tabs>
          <w:tab w:val="center" w:pos="4153"/>
          <w:tab w:val="left" w:pos="7275"/>
        </w:tabs>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十五）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七、决算公开联系方式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本单位决算公开信息反馈和联系方式：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联系人：叶季红        联系电话：</w:t>
      </w:r>
      <w:r>
        <w:rPr>
          <w:rFonts w:ascii="宋体" w:eastAsia="宋体" w:hint="eastAsia"/>
          <w:b w:val="0"/>
          <w:bCs w:val="0"/>
          <w:i w:val="0"/>
          <w:iCs w:val="0"/>
          <w:caps w:val="0"/>
          <w:smallCaps w:val="0"/>
          <w:color w:val="000000"/>
          <w:spacing w:val="0"/>
          <w:sz w:val="32"/>
          <w:szCs w:val="32"/>
          <w:shd w:val="clear" w:color="auto" w:fill="FFFFFF"/>
        </w:rPr>
        <w:t>023-47228292</w:t>
      </w:r>
      <w:bookmarkStart w:id="0" w:name="_GoBack"/>
      <w:bookmarkEnd w:id="0"/>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6BB1AE55"/>
    <w:multiLevelType w:val="singleLevel"/>
    <w:tmpl w:val="6BB1AE55"/>
    <w:lvl w:ilvl="0">
      <w:start w:val="1"/>
      <w:numFmt w:val="chineseCounting"/>
      <w:lvlRestart w:val="0"/>
      <w:suff w:val="nothing"/>
      <w:lvlText w:val="（%1）"/>
      <w:lvlJc w:val="left"/>
      <w:pPr>
        <w:tabs>
          <w:tab w:val="num" w:pos="0"/>
        </w:tabs>
        <w:ind w:left="0" w:hanging="0"/>
      </w:pPr>
      <w:rPr>
        <w:rFonts w:hint="eastAsia"/>
      </w:rPr>
    </w:lvl>
  </w:abstractNum>
  <w:abstractNum w:abstractNumId="3">
    <w:nsid w:val="170F8B3D"/>
    <w:multiLevelType w:val="singleLevel"/>
    <w:tmpl w:val="170F8B3D"/>
    <w:lvl w:ilvl="0">
      <w:start w:val="1"/>
      <w:numFmt w:val="decimal"/>
      <w:lvlRestart w:val="0"/>
      <w:suff w:val="space"/>
      <w:lvlText w:val="%1."/>
      <w:lvlJc w:val="left"/>
      <w:pPr>
        <w:tabs>
          <w:tab w:val="num" w:pos="0"/>
        </w:tabs>
        <w:ind w:left="0" w:hanging="0"/>
      </w:pPr>
    </w:lvl>
  </w:abstractNum>
  <w:abstractNum w:abstractNumId="4">
    <w:nsid w:val="C7DC43F0"/>
    <w:multiLevelType w:val="singleLevel"/>
    <w:tmpl w:val="C7DC43F0"/>
    <w:lvl w:ilvl="0">
      <w:start w:val="1"/>
      <w:numFmt w:val="decimal"/>
      <w:lvlRestart w:val="0"/>
      <w:suff w:val="space"/>
      <w:lvlText w:val="%1."/>
      <w:lvlJc w:val="left"/>
      <w:pPr>
        <w:tabs>
          <w:tab w:val="num" w:pos="0"/>
        </w:tabs>
        <w:ind w:left="0" w:hanging="0"/>
      </w:pPr>
    </w:lvl>
  </w:abstractNum>
  <w:abstractNum w:abstractNumId="5">
    <w:nsid w:val="4847E425"/>
    <w:multiLevelType w:val="singleLevel"/>
    <w:tmpl w:val="4847E425"/>
    <w:lvl w:ilvl="0">
      <w:start w:val="1"/>
      <w:numFmt w:val="decimal"/>
      <w:lvlRestart w:val="0"/>
      <w:suff w:val="nothing"/>
      <w:lvlText w:val="（%1）"/>
      <w:lvlJc w:val="left"/>
      <w:pPr>
        <w:tabs>
          <w:tab w:val="num" w:pos="0"/>
        </w:tabs>
        <w:ind w:left="0" w:hanging="0"/>
      </w:pPr>
    </w:lvl>
  </w:abstractNum>
  <w:abstractNum w:abstractNumId="6">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7">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21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kern w:val="0"/>
      <w:sz w:val="18"/>
      <w:szCs w:val="18"/>
    </w:rPr>
  </w:style>
  <w:style w:type="paragraph" w:styleId="17">
    <w:name w:val="header"/>
    <w:basedOn w:val="0"/>
    <w:pPr>
      <w:pBdr>
        <w:bottom w:val="single" w:sz="6" w:space="1" w:color="auto"/>
      </w:pBdr>
      <w:tabs>
        <w:tab w:val="center" w:pos="4153"/>
        <w:tab w:val="right" w:pos="8306"/>
      </w:tabs>
      <w:snapToGrid w:val="0"/>
      <w:jc w:val="center"/>
    </w:pPr>
    <w:rPr>
      <w:kern w:val="0"/>
      <w:sz w:val="18"/>
      <w:szCs w:val="18"/>
    </w:rPr>
  </w:style>
  <w:style w:type="paragraph" w:styleId="18">
    <w:name w:val="Normal (Web)"/>
    <w:basedOn w:val="0"/>
    <w:pPr>
      <w:spacing w:before="100" w:beforeAutospacing="1" w:after="100" w:afterAutospacing="1"/>
      <w:jc w:val="left"/>
    </w:pPr>
    <w:rPr>
      <w:kern w:val="0"/>
      <w:sz w:val="24"/>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jc w:val="left"/>
    </w:pPr>
    <w:rPr>
      <w:rFonts w:ascii="宋体"/>
      <w:kern w:val="0"/>
      <w:sz w:val="24"/>
      <w:szCs w:val="24"/>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Application>
  <Pages>10</Pages>
  <Words>4176</Words>
  <Characters>4667</Characters>
  <Lines>355</Lines>
  <Paragraphs>181</Paragraphs>
  <CharactersWithSpaces>4708</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acer</cp:lastModifiedBy>
  <cp:revision>6</cp:revision>
  <cp:lastPrinted>2025-08-13T01:17:00Z</cp:lastPrinted>
  <dcterms:created xsi:type="dcterms:W3CDTF">2021-07-06T14:32:00Z</dcterms:created>
  <dcterms:modified xsi:type="dcterms:W3CDTF">2025-08-21T01:10:14Z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ICV">
    <vt:lpwstr>7FFED3FEDEB2446F834F99FEAE206BC9_13</vt:lpwstr>
  </property>
  <property fmtid="{D5CDD505-2E9C-101B-9397-08002B2CF9AE}" pid="4" name="KSOTemplateDocerSaveRecord">
    <vt:lpwstr>eyJoZGlkIjoiYWVmMzg5NTFmZjk4MTkzOWViYmMxYTU0YzgwOGVmNDgiLCJ1c2VySWQiOiI1NjIzOTQ5OTIifQ==</vt:lpwstr>
  </property>
</Properties>
</file>