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3802">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4C9E75A9">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rPr>
        <w:t>重庆市江津精神康复院</w:t>
      </w:r>
    </w:p>
    <w:p w14:paraId="36D6BD67">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49FBC93C">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48F1B4A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429A53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7C504CB9">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sz w:val="32"/>
          <w:szCs w:val="32"/>
        </w:rPr>
      </w:pPr>
      <w:r>
        <w:rPr>
          <w:rFonts w:hint="eastAsia" w:ascii="宋体" w:hAnsi="宋体" w:eastAsia="方正仿宋_GBK" w:cs="方正仿宋_GBK"/>
          <w:sz w:val="32"/>
        </w:rPr>
        <w:t>部门现行的职能职责</w:t>
      </w:r>
      <w:r>
        <w:rPr>
          <w:rFonts w:hint="eastAsia" w:ascii="宋体" w:hAnsi="宋体" w:eastAsia="方正仿宋_GBK" w:cs="方正仿宋_GBK"/>
          <w:kern w:val="0"/>
          <w:sz w:val="32"/>
          <w:szCs w:val="32"/>
          <w:lang w:val="en-US" w:eastAsia="zh-CN" w:bidi="ar"/>
        </w:rPr>
        <w:t>是：为精神病患者提供治疗服务，收治社会三无对象、民政救济对象、</w:t>
      </w:r>
      <w:r>
        <w:rPr>
          <w:rFonts w:hint="eastAsia" w:ascii="Times New Roman" w:hAnsi="Times New Roman" w:eastAsia="方正仿宋_GBK" w:cs="宋体"/>
          <w:kern w:val="0"/>
          <w:sz w:val="32"/>
          <w:szCs w:val="32"/>
          <w:lang w:eastAsia="zh-CN"/>
        </w:rPr>
        <w:t>复员军人等患有精神病的人员。</w:t>
      </w:r>
    </w:p>
    <w:p w14:paraId="7E0DC48E">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63F08A66">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eastAsia="zh-CN"/>
        </w:rPr>
      </w:pPr>
      <w:r>
        <w:rPr>
          <w:rFonts w:hint="eastAsia" w:ascii="Times New Roman" w:hAnsi="Times New Roman" w:eastAsia="方正仿宋_GBK" w:cs="宋体"/>
          <w:kern w:val="0"/>
          <w:sz w:val="32"/>
          <w:szCs w:val="32"/>
          <w:lang w:eastAsia="zh-CN"/>
        </w:rPr>
        <w:t>我单位是江津区民政局下属全额拨款事业单位，医院科室设置包括党建办、办公室、安全保卫科、护理部、院感科、医务科、医技科、财务科、医保科、总务科、</w:t>
      </w:r>
      <w:r>
        <w:rPr>
          <w:rFonts w:hint="eastAsia" w:ascii="Times New Roman" w:hAnsi="Times New Roman" w:eastAsia="方正仿宋_GBK" w:cs="宋体"/>
          <w:kern w:val="0"/>
          <w:sz w:val="32"/>
          <w:szCs w:val="32"/>
          <w:lang w:val="en-US" w:eastAsia="zh-CN"/>
        </w:rPr>
        <w:t>营养膳食科</w:t>
      </w:r>
      <w:r>
        <w:rPr>
          <w:rFonts w:hint="eastAsia" w:ascii="Times New Roman" w:hAnsi="Times New Roman" w:eastAsia="方正仿宋_GBK" w:cs="宋体"/>
          <w:kern w:val="0"/>
          <w:sz w:val="32"/>
          <w:szCs w:val="32"/>
          <w:lang w:eastAsia="zh-CN"/>
        </w:rPr>
        <w:t>等</w:t>
      </w:r>
      <w:r>
        <w:rPr>
          <w:rFonts w:hint="eastAsia" w:ascii="宋体" w:hAnsi="宋体" w:eastAsia="方正仿宋_GBK" w:cs="方正仿宋_GBK"/>
          <w:kern w:val="0"/>
          <w:sz w:val="32"/>
          <w:szCs w:val="32"/>
        </w:rPr>
        <w:t>。</w:t>
      </w:r>
    </w:p>
    <w:p w14:paraId="3B55118C">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34DD2CC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7C6AA15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2024年度收入总计4754.91万元，支出总计4754.91万元。收支较上年增加212.15万元，增长4.67%，主要原因为：一是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w:t>
      </w:r>
      <w:r>
        <w:rPr>
          <w:rFonts w:hint="eastAsia" w:ascii="FangSong_GB2312" w:hAnsi="仿宋" w:eastAsia="FangSong_GB2312"/>
          <w:sz w:val="32"/>
          <w:szCs w:val="32"/>
        </w:rPr>
        <w:t>增加</w:t>
      </w:r>
      <w:r>
        <w:rPr>
          <w:rFonts w:hint="eastAsia" w:ascii="FangSong_GB2312" w:hAnsi="仿宋" w:eastAsia="FangSong_GB2312"/>
          <w:sz w:val="32"/>
          <w:szCs w:val="32"/>
          <w:lang w:eastAsia="zh-CN"/>
        </w:rPr>
        <w:t>；</w:t>
      </w:r>
      <w:r>
        <w:rPr>
          <w:rFonts w:hint="eastAsia" w:ascii="FangSong_GB2312" w:hAnsi="仿宋" w:eastAsia="FangSong_GB2312"/>
          <w:sz w:val="32"/>
          <w:szCs w:val="32"/>
          <w:lang w:val="en-US" w:eastAsia="zh-CN"/>
        </w:rPr>
        <w:t>二是</w:t>
      </w:r>
      <w:r>
        <w:rPr>
          <w:rFonts w:hint="eastAsia" w:ascii="FangSong_GB2312" w:hAnsi="仿宋" w:eastAsia="FangSong_GB2312"/>
          <w:sz w:val="32"/>
          <w:szCs w:val="32"/>
        </w:rPr>
        <w:t>新增</w:t>
      </w:r>
      <w:r>
        <w:rPr>
          <w:rFonts w:hint="eastAsia" w:ascii="FangSong_GB2312" w:hAnsi="仿宋" w:eastAsia="FangSong_GB2312"/>
          <w:sz w:val="32"/>
          <w:szCs w:val="32"/>
          <w:lang w:val="en-US" w:eastAsia="zh-CN"/>
        </w:rPr>
        <w:t>临时救助类、公共卫生类项目资金和</w:t>
      </w:r>
      <w:r>
        <w:rPr>
          <w:rFonts w:hint="eastAsia" w:ascii="FangSong_GB2312" w:hAnsi="仿宋" w:eastAsia="FangSong_GB2312"/>
          <w:sz w:val="32"/>
          <w:szCs w:val="32"/>
        </w:rPr>
        <w:t>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项目资金</w:t>
      </w:r>
      <w:r>
        <w:rPr>
          <w:rFonts w:hint="eastAsia" w:ascii="FangSong_GB2312" w:hAnsi="仿宋" w:eastAsia="FangSong_GB2312"/>
          <w:color w:val="auto"/>
          <w:sz w:val="32"/>
          <w:szCs w:val="32"/>
          <w:lang w:eastAsia="zh-CN"/>
        </w:rPr>
        <w:t>；</w:t>
      </w:r>
      <w:r>
        <w:rPr>
          <w:rFonts w:hint="eastAsia" w:ascii="FangSong_GB2312" w:hAnsi="仿宋" w:eastAsia="FangSong_GB2312"/>
          <w:color w:val="auto"/>
          <w:sz w:val="32"/>
          <w:szCs w:val="32"/>
          <w:lang w:val="en-US" w:eastAsia="zh-CN"/>
        </w:rPr>
        <w:t>三是事业收入和其他收入增加。</w:t>
      </w:r>
    </w:p>
    <w:p w14:paraId="5B7E517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2024年度本年收入合计4704万元，较上年增加305.12万元，增长6.94%，主要原因为：一是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w:t>
      </w:r>
      <w:r>
        <w:rPr>
          <w:rFonts w:hint="eastAsia" w:ascii="FangSong_GB2312" w:hAnsi="仿宋" w:eastAsia="FangSong_GB2312"/>
          <w:sz w:val="32"/>
          <w:szCs w:val="32"/>
        </w:rPr>
        <w:t>增加</w:t>
      </w:r>
      <w:r>
        <w:rPr>
          <w:rFonts w:hint="eastAsia" w:ascii="FangSong_GB2312" w:hAnsi="仿宋" w:eastAsia="FangSong_GB2312"/>
          <w:sz w:val="32"/>
          <w:szCs w:val="32"/>
          <w:lang w:eastAsia="zh-CN"/>
        </w:rPr>
        <w:t>，</w:t>
      </w:r>
      <w:r>
        <w:rPr>
          <w:rFonts w:hint="eastAsia" w:ascii="FangSong_GB2312" w:hAnsi="仿宋" w:eastAsia="FangSong_GB2312"/>
          <w:sz w:val="32"/>
          <w:szCs w:val="32"/>
          <w:lang w:val="en-US" w:eastAsia="zh-CN"/>
        </w:rPr>
        <w:t>二是</w:t>
      </w:r>
      <w:r>
        <w:rPr>
          <w:rFonts w:hint="eastAsia" w:ascii="FangSong_GB2312" w:hAnsi="仿宋" w:eastAsia="FangSong_GB2312"/>
          <w:sz w:val="32"/>
          <w:szCs w:val="32"/>
        </w:rPr>
        <w:t>新增</w:t>
      </w:r>
      <w:r>
        <w:rPr>
          <w:rFonts w:hint="eastAsia" w:ascii="FangSong_GB2312" w:hAnsi="仿宋" w:eastAsia="FangSong_GB2312"/>
          <w:sz w:val="32"/>
          <w:szCs w:val="32"/>
          <w:lang w:val="en-US" w:eastAsia="zh-CN"/>
        </w:rPr>
        <w:t>临时救助类、公共卫生类项目资金和</w:t>
      </w:r>
      <w:r>
        <w:rPr>
          <w:rFonts w:hint="eastAsia" w:ascii="FangSong_GB2312" w:hAnsi="仿宋" w:eastAsia="FangSong_GB2312"/>
          <w:sz w:val="32"/>
          <w:szCs w:val="32"/>
        </w:rPr>
        <w:t>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项目资金</w:t>
      </w:r>
      <w:r>
        <w:rPr>
          <w:rFonts w:hint="eastAsia" w:ascii="FangSong_GB2312" w:hAnsi="仿宋" w:eastAsia="FangSong_GB2312"/>
          <w:color w:val="auto"/>
          <w:sz w:val="32"/>
          <w:szCs w:val="32"/>
          <w:lang w:eastAsia="zh-CN"/>
        </w:rPr>
        <w:t>；</w:t>
      </w:r>
      <w:r>
        <w:rPr>
          <w:rFonts w:hint="eastAsia" w:ascii="FangSong_GB2312" w:hAnsi="仿宋" w:eastAsia="FangSong_GB2312"/>
          <w:color w:val="auto"/>
          <w:sz w:val="32"/>
          <w:szCs w:val="32"/>
          <w:lang w:val="en-US" w:eastAsia="zh-CN"/>
        </w:rPr>
        <w:t>三是事业收入增加和其他收入增加</w:t>
      </w:r>
      <w:r>
        <w:rPr>
          <w:rFonts w:hint="eastAsia" w:ascii="宋体" w:hAnsi="宋体" w:eastAsia="方正仿宋_GBK" w:cs="方正仿宋_GBK"/>
          <w:b w:val="0"/>
          <w:bCs w:val="0"/>
          <w:sz w:val="32"/>
          <w:szCs w:val="32"/>
          <w:lang w:val="en-US" w:eastAsia="zh-CN"/>
        </w:rPr>
        <w:t>。其中：财政拨款收入2056.38万元，占比43.72%；事业收入2642.62万元，占比56.18%；其他收入5万元，占比0.10%。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50.91</w:t>
      </w:r>
      <w:r>
        <w:rPr>
          <w:rFonts w:ascii="方正仿宋_GBK" w:hAnsi="方正仿宋_GBK" w:eastAsia="方正仿宋_GBK" w:cs="方正仿宋_GBK"/>
          <w:sz w:val="32"/>
          <w:szCs w:val="32"/>
          <w:shd w:val="clear" w:color="auto" w:fill="FFFFFF"/>
        </w:rPr>
        <w:t>万元。</w:t>
      </w:r>
    </w:p>
    <w:p w14:paraId="2665B3F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2024年度本年支出合计4309.99万元，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上年减少181.86</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减少4.05%，</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原因为项目支出中其他资金支出减少得较多。</w:t>
      </w:r>
      <w:r>
        <w:rPr>
          <w:rFonts w:hint="eastAsia" w:ascii="宋体" w:hAnsi="宋体" w:eastAsia="方正仿宋_GBK" w:cs="方正仿宋_GBK"/>
          <w:b w:val="0"/>
          <w:bCs w:val="0"/>
          <w:sz w:val="32"/>
          <w:szCs w:val="32"/>
          <w:lang w:val="en-US" w:eastAsia="zh-CN"/>
        </w:rPr>
        <w:t>其中：基本支出1805.74万元，占比41.90%；项目支出2504.25万元，占比58.10%。</w:t>
      </w:r>
    </w:p>
    <w:p w14:paraId="023FBA6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2024年度年末结转和结余444.92万元，与2023年度相比增加394.01，主要原因是2024年严格按照上级文件要求过紧日子、苦日子，缩减了开支</w:t>
      </w:r>
      <w:r>
        <w:rPr>
          <w:rFonts w:hint="eastAsia" w:ascii="宋体" w:hAnsi="宋体" w:eastAsia="方正仿宋_GBK" w:cs="方正仿宋_GBK"/>
          <w:kern w:val="0"/>
          <w:sz w:val="32"/>
          <w:szCs w:val="32"/>
          <w:lang w:val="en-US" w:eastAsia="zh-CN"/>
        </w:rPr>
        <w:t>。</w:t>
      </w:r>
    </w:p>
    <w:p w14:paraId="3F809A04">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3C2BFE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2024年度财政拨款收入总计2056.38万元，支出总计2056.38万元。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246.91</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增长13.65%，</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基本支出增加；二是因新增临时救助类、公共卫生类项目等造成的一般公共预算财政拨款项目支出增加；三是</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造成的政府性基金增加</w:t>
      </w:r>
      <w:r>
        <w:rPr>
          <w:rFonts w:hint="eastAsia" w:ascii="宋体" w:hAnsi="宋体" w:eastAsia="方正仿宋_GBK" w:cs="方正仿宋_GBK"/>
          <w:sz w:val="32"/>
          <w:lang w:val="en-US" w:eastAsia="zh-CN"/>
        </w:rPr>
        <w:t>。</w:t>
      </w:r>
    </w:p>
    <w:p w14:paraId="7F97900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21E8434C">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1958.84</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决算数增加149.37</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增长8.25</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sz w:val="32"/>
          <w:lang w:val="en-US" w:eastAsia="zh-CN"/>
        </w:rPr>
        <w:t>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w:t>
      </w:r>
      <w:r>
        <w:rPr>
          <w:rFonts w:hint="eastAsia" w:ascii="宋体" w:hAnsi="宋体" w:eastAsia="方正仿宋_GBK" w:cs="方正仿宋_GBK"/>
          <w:color w:val="auto"/>
          <w:sz w:val="32"/>
          <w:lang w:val="en-US" w:eastAsia="zh-CN"/>
        </w:rPr>
        <w:t>。较年初预算数增加252.21万元，增长14.78%，主要原因：一是社保基数调高造成的人员经费增加；二是年中追加</w:t>
      </w:r>
      <w:r>
        <w:rPr>
          <w:rFonts w:hint="eastAsia" w:ascii="FangSong_GB2312" w:hAnsi="仿宋" w:eastAsia="FangSong_GB2312"/>
          <w:sz w:val="32"/>
          <w:szCs w:val="32"/>
          <w:lang w:val="en-US" w:eastAsia="zh-CN"/>
        </w:rPr>
        <w:t>临时救助类、公共卫生类项目造成的项目支出增加</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0D50DBE9">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2024年度一般公共预算财政拨款支出1958.84万元，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增加149.37</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增长8.25</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eastAsia="zh-CN"/>
        </w:rPr>
        <w:t>：</w:t>
      </w:r>
      <w:r>
        <w:rPr>
          <w:rFonts w:hint="eastAsia" w:ascii="宋体" w:hAnsi="宋体" w:eastAsia="方正仿宋_GBK" w:cs="方正仿宋_GBK"/>
          <w:sz w:val="32"/>
          <w:lang w:val="en-US" w:eastAsia="zh-CN"/>
        </w:rPr>
        <w:t>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w:t>
      </w:r>
      <w:r>
        <w:rPr>
          <w:rFonts w:hint="eastAsia" w:ascii="宋体" w:hAnsi="宋体" w:eastAsia="方正仿宋_GBK" w:cs="方正仿宋_GBK"/>
          <w:color w:val="auto"/>
          <w:sz w:val="32"/>
          <w:lang w:val="en-US" w:eastAsia="zh-CN"/>
        </w:rPr>
        <w:t>。较年初预算数增加252.21万元，增长14.78%，主要原因：一是社保基数调高造成的人员经费增加；二是年中追加</w:t>
      </w:r>
      <w:r>
        <w:rPr>
          <w:rFonts w:hint="eastAsia" w:ascii="FangSong_GB2312" w:hAnsi="仿宋" w:eastAsia="FangSong_GB2312"/>
          <w:sz w:val="32"/>
          <w:szCs w:val="32"/>
          <w:lang w:val="en-US" w:eastAsia="zh-CN"/>
        </w:rPr>
        <w:t>临时救助类、公共卫生类项目造成的项目支出增加</w:t>
      </w:r>
      <w:r>
        <w:rPr>
          <w:rFonts w:hint="eastAsia" w:ascii="宋体" w:hAnsi="宋体" w:eastAsia="方正仿宋_GBK" w:cs="方正仿宋_GBK"/>
          <w:color w:val="auto"/>
          <w:sz w:val="32"/>
          <w:lang w:val="en-US" w:eastAsia="zh-CN"/>
        </w:rPr>
        <w:t>。</w:t>
      </w:r>
    </w:p>
    <w:p w14:paraId="2809AF8C">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无变化。</w:t>
      </w:r>
    </w:p>
    <w:p w14:paraId="462B20AF">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5B87B3CB">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20" w:firstLineChars="200"/>
        <w:jc w:val="both"/>
        <w:textAlignment w:val="auto"/>
        <w:rPr>
          <w:rFonts w:hint="eastAsia" w:ascii="宋体" w:hAnsi="宋体" w:eastAsia="方正仿宋_GBK" w:cs="方正仿宋_GBK"/>
          <w:color w:val="auto"/>
          <w:sz w:val="32"/>
          <w:lang w:val="en-US" w:eastAsia="zh-CN"/>
        </w:rPr>
      </w:pPr>
      <w:r>
        <w:rPr>
          <w:rFonts w:hint="default" w:ascii="方正仿宋_GBK" w:hAnsi="方正仿宋_GBK" w:eastAsia="方正仿宋_GBK" w:cs="方正仿宋_GBK"/>
          <w:sz w:val="31"/>
          <w:szCs w:val="31"/>
          <w:shd w:val="clear" w:color="auto" w:fill="FFFFFF"/>
        </w:rPr>
        <w:t>教育支出</w:t>
      </w:r>
      <w:r>
        <w:rPr>
          <w:rFonts w:hint="eastAsia" w:ascii="方正仿宋_GBK" w:hAnsi="方正仿宋_GBK" w:eastAsia="方正仿宋_GBK" w:cs="方正仿宋_GBK"/>
          <w:sz w:val="31"/>
          <w:szCs w:val="31"/>
          <w:shd w:val="clear" w:color="auto" w:fill="FFFFFF"/>
          <w:lang w:val="en-US" w:eastAsia="zh-CN"/>
        </w:rPr>
        <w:t>8.9</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比</w:t>
      </w:r>
      <w:r>
        <w:rPr>
          <w:rFonts w:hint="default" w:ascii="方正仿宋_GBK" w:hAnsi="方正仿宋_GBK" w:eastAsia="方正仿宋_GBK" w:cs="方正仿宋_GBK"/>
          <w:sz w:val="31"/>
          <w:szCs w:val="31"/>
          <w:shd w:val="clear" w:color="auto" w:fill="FFFFFF"/>
        </w:rPr>
        <w:t>0.</w:t>
      </w:r>
      <w:r>
        <w:rPr>
          <w:rFonts w:hint="eastAsia" w:ascii="方正仿宋_GBK" w:hAnsi="方正仿宋_GBK" w:eastAsia="方正仿宋_GBK" w:cs="方正仿宋_GBK"/>
          <w:sz w:val="31"/>
          <w:szCs w:val="31"/>
          <w:shd w:val="clear" w:color="auto" w:fill="FFFFFF"/>
          <w:lang w:val="en-US" w:eastAsia="zh-CN"/>
        </w:rPr>
        <w:t>45</w:t>
      </w:r>
      <w:r>
        <w:rPr>
          <w:rFonts w:hint="default" w:ascii="方正仿宋_GBK" w:hAnsi="方正仿宋_GBK" w:eastAsia="方正仿宋_GBK" w:cs="方正仿宋_GBK"/>
          <w:sz w:val="31"/>
          <w:szCs w:val="31"/>
          <w:shd w:val="clear" w:color="auto" w:fill="FFFFFF"/>
        </w:rPr>
        <w:t>%</w:t>
      </w:r>
      <w:r>
        <w:rPr>
          <w:rFonts w:hint="eastAsia" w:ascii="方正仿宋_GBK" w:hAnsi="方正仿宋_GBK" w:eastAsia="方正仿宋_GBK" w:cs="方正仿宋_GBK"/>
          <w:sz w:val="31"/>
          <w:szCs w:val="31"/>
          <w:shd w:val="clear" w:color="auto" w:fill="FFFFFF"/>
          <w:lang w:eastAsia="zh-CN"/>
        </w:rPr>
        <w:t>。</w:t>
      </w:r>
      <w:r>
        <w:rPr>
          <w:rFonts w:hint="default" w:ascii="方正仿宋_GBK" w:hAnsi="方正仿宋_GBK" w:eastAsia="方正仿宋_GBK" w:cs="方正仿宋_GBK"/>
          <w:sz w:val="31"/>
          <w:szCs w:val="31"/>
          <w:shd w:val="clear" w:color="auto" w:fill="FFFFFF"/>
        </w:rPr>
        <w:t>较年初预算数增加0.00万元，增长0%，主要原因是严控教育支出经费</w:t>
      </w:r>
      <w:r>
        <w:rPr>
          <w:rFonts w:hint="eastAsia" w:ascii="宋体" w:hAnsi="宋体" w:eastAsia="方正仿宋_GBK" w:cs="方正仿宋_GBK"/>
          <w:color w:val="auto"/>
          <w:sz w:val="32"/>
          <w:lang w:val="en-US" w:eastAsia="zh-CN"/>
        </w:rPr>
        <w:t>。</w:t>
      </w:r>
    </w:p>
    <w:p w14:paraId="1985E546">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2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1"/>
          <w:szCs w:val="31"/>
          <w:shd w:val="clear" w:color="auto" w:fill="FFFFFF"/>
          <w:lang w:val="en-US" w:eastAsia="zh-CN"/>
        </w:rPr>
        <w:t>社会</w:t>
      </w:r>
      <w:r>
        <w:rPr>
          <w:rFonts w:hint="default" w:ascii="方正仿宋_GBK" w:hAnsi="方正仿宋_GBK" w:eastAsia="方正仿宋_GBK" w:cs="方正仿宋_GBK"/>
          <w:sz w:val="31"/>
          <w:szCs w:val="31"/>
          <w:shd w:val="clear" w:color="auto" w:fill="FFFFFF"/>
        </w:rPr>
        <w:t>保障与就业支出</w:t>
      </w:r>
      <w:r>
        <w:rPr>
          <w:rFonts w:hint="eastAsia" w:ascii="方正仿宋_GBK" w:hAnsi="方正仿宋_GBK" w:eastAsia="方正仿宋_GBK" w:cs="方正仿宋_GBK"/>
          <w:sz w:val="31"/>
          <w:szCs w:val="31"/>
          <w:shd w:val="clear" w:color="auto" w:fill="FFFFFF"/>
          <w:lang w:val="en-US" w:eastAsia="zh-CN"/>
        </w:rPr>
        <w:t>1704.07</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86.99</w:t>
      </w:r>
      <w:r>
        <w:rPr>
          <w:rFonts w:hint="default" w:ascii="方正仿宋_GBK" w:hAnsi="方正仿宋_GBK" w:eastAsia="方正仿宋_GBK" w:cs="方正仿宋_GBK"/>
          <w:sz w:val="31"/>
          <w:szCs w:val="31"/>
          <w:shd w:val="clear" w:color="auto" w:fill="FFFFFF"/>
        </w:rPr>
        <w:t>%，较</w:t>
      </w:r>
      <w:r>
        <w:rPr>
          <w:rFonts w:hint="default" w:ascii="方正仿宋_GBK" w:hAnsi="方正仿宋_GBK" w:eastAsia="方正仿宋_GBK" w:cs="方正仿宋_GBK"/>
          <w:color w:val="auto"/>
          <w:sz w:val="31"/>
          <w:szCs w:val="31"/>
          <w:shd w:val="clear" w:color="auto" w:fill="FFFFFF"/>
        </w:rPr>
        <w:t>年初预算数</w:t>
      </w:r>
      <w:r>
        <w:rPr>
          <w:rFonts w:hint="eastAsia" w:ascii="方正仿宋_GBK" w:hAnsi="方正仿宋_GBK" w:eastAsia="方正仿宋_GBK" w:cs="方正仿宋_GBK"/>
          <w:color w:val="auto"/>
          <w:sz w:val="31"/>
          <w:szCs w:val="31"/>
          <w:shd w:val="clear" w:color="auto" w:fill="FFFFFF"/>
          <w:lang w:val="en-US" w:eastAsia="zh-CN"/>
        </w:rPr>
        <w:t>增加171.51</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val="en-US" w:eastAsia="zh-CN"/>
        </w:rPr>
        <w:t>增长11.19</w:t>
      </w:r>
      <w:r>
        <w:rPr>
          <w:rFonts w:hint="default" w:ascii="方正仿宋_GBK" w:hAnsi="方正仿宋_GBK" w:eastAsia="方正仿宋_GBK" w:cs="方正仿宋_GBK"/>
          <w:sz w:val="31"/>
          <w:szCs w:val="31"/>
          <w:shd w:val="clear" w:color="auto" w:fill="FFFFFF"/>
        </w:rPr>
        <w:t>%，主要原因</w:t>
      </w:r>
      <w:r>
        <w:rPr>
          <w:rFonts w:hint="eastAsia" w:ascii="方正仿宋_GBK" w:hAnsi="方正仿宋_GBK" w:eastAsia="方正仿宋_GBK" w:cs="方正仿宋_GBK"/>
          <w:sz w:val="31"/>
          <w:szCs w:val="31"/>
          <w:shd w:val="clear" w:color="auto" w:fill="FFFFFF"/>
          <w:lang w:eastAsia="zh-CN"/>
        </w:rPr>
        <w:t>：</w:t>
      </w:r>
      <w:r>
        <w:rPr>
          <w:rFonts w:hint="eastAsia" w:ascii="宋体" w:hAnsi="宋体" w:eastAsia="方正仿宋_GBK" w:cs="方正仿宋_GBK"/>
          <w:color w:val="auto"/>
          <w:sz w:val="32"/>
          <w:lang w:val="en-US" w:eastAsia="zh-CN"/>
        </w:rPr>
        <w:t>一是社保基数调高造成的人员经费增加；二是年中追加</w:t>
      </w:r>
      <w:r>
        <w:rPr>
          <w:rFonts w:hint="eastAsia" w:ascii="FangSong_GB2312" w:hAnsi="仿宋" w:eastAsia="FangSong_GB2312"/>
          <w:sz w:val="32"/>
          <w:szCs w:val="32"/>
          <w:lang w:val="en-US" w:eastAsia="zh-CN"/>
        </w:rPr>
        <w:t>临时救助项目资金</w:t>
      </w:r>
      <w:r>
        <w:rPr>
          <w:rFonts w:hint="eastAsia" w:ascii="宋体" w:hAnsi="宋体" w:eastAsia="方正仿宋_GBK" w:cs="方正仿宋_GBK"/>
          <w:color w:val="auto"/>
          <w:sz w:val="32"/>
          <w:lang w:val="en-US" w:eastAsia="zh-CN"/>
        </w:rPr>
        <w:t>。</w:t>
      </w:r>
    </w:p>
    <w:p w14:paraId="139533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w:t>
      </w:r>
      <w:r>
        <w:rPr>
          <w:rFonts w:hint="default" w:ascii="方正仿宋_GBK" w:hAnsi="方正仿宋_GBK" w:eastAsia="方正仿宋_GBK" w:cs="方正仿宋_GBK"/>
          <w:sz w:val="31"/>
          <w:szCs w:val="31"/>
          <w:shd w:val="clear" w:color="auto" w:fill="FFFFFF"/>
        </w:rPr>
        <w:t>卫生健康支出</w:t>
      </w:r>
      <w:r>
        <w:rPr>
          <w:rFonts w:hint="eastAsia" w:ascii="方正仿宋_GBK" w:hAnsi="方正仿宋_GBK" w:eastAsia="方正仿宋_GBK" w:cs="方正仿宋_GBK"/>
          <w:sz w:val="31"/>
          <w:szCs w:val="31"/>
          <w:shd w:val="clear" w:color="auto" w:fill="FFFFFF"/>
          <w:lang w:val="en-US" w:eastAsia="zh-CN"/>
        </w:rPr>
        <w:t>174.71</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8.92</w:t>
      </w:r>
      <w:r>
        <w:rPr>
          <w:rFonts w:hint="default" w:ascii="方正仿宋_GBK" w:hAnsi="方正仿宋_GBK" w:eastAsia="方正仿宋_GBK" w:cs="方正仿宋_GBK"/>
          <w:sz w:val="31"/>
          <w:szCs w:val="31"/>
          <w:shd w:val="clear" w:color="auto" w:fill="FFFFFF"/>
        </w:rPr>
        <w:t>%，较年初预算数</w:t>
      </w:r>
      <w:r>
        <w:rPr>
          <w:rFonts w:hint="eastAsia" w:ascii="方正仿宋_GBK" w:hAnsi="方正仿宋_GBK" w:eastAsia="方正仿宋_GBK" w:cs="方正仿宋_GBK"/>
          <w:sz w:val="31"/>
          <w:szCs w:val="31"/>
          <w:shd w:val="clear" w:color="auto" w:fill="FFFFFF"/>
          <w:lang w:val="en-US" w:eastAsia="zh-CN"/>
        </w:rPr>
        <w:t>增加80.71</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val="en-US" w:eastAsia="zh-CN"/>
        </w:rPr>
        <w:t>增长85.86</w:t>
      </w:r>
      <w:r>
        <w:rPr>
          <w:rFonts w:hint="default" w:ascii="方正仿宋_GBK" w:hAnsi="方正仿宋_GBK" w:eastAsia="方正仿宋_GBK" w:cs="方正仿宋_GBK"/>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val="en-US" w:eastAsia="zh-CN"/>
        </w:rPr>
        <w:t>年中追加公共卫生类项目资金</w:t>
      </w:r>
      <w:r>
        <w:rPr>
          <w:rFonts w:hint="eastAsia" w:ascii="宋体" w:hAnsi="宋体" w:eastAsia="方正仿宋_GBK" w:cs="方正仿宋_GBK"/>
          <w:color w:val="auto"/>
          <w:sz w:val="32"/>
          <w:lang w:val="en-US" w:eastAsia="zh-CN"/>
        </w:rPr>
        <w:t>。</w:t>
      </w:r>
    </w:p>
    <w:p w14:paraId="5C8959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w:t>
      </w:r>
      <w:r>
        <w:rPr>
          <w:rFonts w:hint="default" w:ascii="方正仿宋_GBK" w:hAnsi="方正仿宋_GBK" w:eastAsia="方正仿宋_GBK" w:cs="方正仿宋_GBK"/>
          <w:sz w:val="31"/>
          <w:szCs w:val="31"/>
          <w:shd w:val="clear" w:color="auto" w:fill="FFFFFF"/>
        </w:rPr>
        <w:t>住房保障支出</w:t>
      </w:r>
      <w:r>
        <w:rPr>
          <w:rFonts w:hint="eastAsia" w:ascii="方正仿宋_GBK" w:hAnsi="方正仿宋_GBK" w:eastAsia="方正仿宋_GBK" w:cs="方正仿宋_GBK"/>
          <w:sz w:val="31"/>
          <w:szCs w:val="31"/>
          <w:shd w:val="clear" w:color="auto" w:fill="FFFFFF"/>
          <w:lang w:val="en-US" w:eastAsia="zh-CN"/>
        </w:rPr>
        <w:t>71.17</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3.63</w:t>
      </w:r>
      <w:r>
        <w:rPr>
          <w:rFonts w:hint="default" w:ascii="方正仿宋_GBK" w:hAnsi="方正仿宋_GBK" w:eastAsia="方正仿宋_GBK" w:cs="方正仿宋_GBK"/>
          <w:sz w:val="31"/>
          <w:szCs w:val="31"/>
          <w:shd w:val="clear" w:color="auto" w:fill="FFFFFF"/>
        </w:rPr>
        <w:t>%，较年初预算数增加0.00万元，增长0%，主要原因是严控住房公积金支出</w:t>
      </w:r>
      <w:r>
        <w:rPr>
          <w:rFonts w:hint="eastAsia" w:ascii="宋体" w:hAnsi="宋体" w:eastAsia="方正仿宋_GBK" w:cs="方正仿宋_GBK"/>
          <w:color w:val="auto"/>
          <w:sz w:val="32"/>
          <w:lang w:val="en-US" w:eastAsia="zh-CN"/>
        </w:rPr>
        <w:t>。</w:t>
      </w:r>
    </w:p>
    <w:p w14:paraId="65854757">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54D945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2024年度一般公共预算财政拨款基本支出1752.87万元。其中：人员经费1510.16万元，主要用于人员工资福利支出、对个人和家庭的补助，较上年决算数增加28.47万元，增长1.92%，主要原因是</w:t>
      </w:r>
      <w:r>
        <w:rPr>
          <w:rFonts w:hint="eastAsia" w:ascii="FangSong_GB2312" w:hAnsi="仿宋" w:eastAsia="FangSong_GB2312"/>
          <w:sz w:val="32"/>
          <w:szCs w:val="32"/>
        </w:rPr>
        <w:t>本年职工岗位晋升调资、社保基数调高等</w:t>
      </w:r>
      <w:r>
        <w:rPr>
          <w:rFonts w:hint="eastAsia" w:ascii="宋体" w:hAnsi="宋体" w:eastAsia="方正仿宋_GBK" w:cs="方正仿宋_GBK"/>
          <w:color w:val="auto"/>
          <w:sz w:val="32"/>
          <w:lang w:val="en-US" w:eastAsia="zh-CN"/>
        </w:rPr>
        <w:t>。公用经费242.71万元，主要用于办公费、水费、电费、维修维护费等商品和服务支出，较上年决算数增加9.3万元，增长3.98%，主要原因是其他商品和服务支出的增长。</w:t>
      </w:r>
    </w:p>
    <w:p w14:paraId="3CA2E179">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29CE76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97.54</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增加97.54万元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97.54</w:t>
      </w:r>
      <w:r>
        <w:rPr>
          <w:rFonts w:hint="eastAsia" w:ascii="FangSong_GB2312" w:hAnsi="仿宋" w:eastAsia="FangSong_GB2312"/>
          <w:color w:val="auto"/>
          <w:sz w:val="32"/>
          <w:szCs w:val="32"/>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97.54</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增加97.54万元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97.54</w:t>
      </w:r>
      <w:r>
        <w:rPr>
          <w:rFonts w:hint="eastAsia" w:ascii="FangSong_GB2312" w:hAnsi="仿宋" w:eastAsia="FangSong_GB2312"/>
          <w:color w:val="auto"/>
          <w:sz w:val="32"/>
          <w:szCs w:val="32"/>
        </w:rPr>
        <w:t>万元</w:t>
      </w:r>
      <w:r>
        <w:rPr>
          <w:rFonts w:ascii="方正仿宋_GBK" w:hAnsi="方正仿宋_GBK" w:eastAsia="方正仿宋_GBK" w:cs="方正仿宋_GBK"/>
          <w:color w:val="auto"/>
          <w:sz w:val="32"/>
          <w:szCs w:val="32"/>
          <w:shd w:val="clear" w:color="auto" w:fill="FFFFFF"/>
        </w:rPr>
        <w:t>。</w:t>
      </w:r>
    </w:p>
    <w:p w14:paraId="4CFD693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5F8B5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D7B771E">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1659CB6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46FD56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2024年度“三公”经费支出共计4.81万元，较年初预算数减少3.69万元，下降43.41%，主要原因：</w:t>
      </w:r>
      <w:r>
        <w:rPr>
          <w:rFonts w:hint="eastAsia" w:ascii="方正仿宋_GBK" w:eastAsia="方正仿宋_GBK" w:cs="仿宋_GB2312" w:hAnsiTheme="minorHAnsi"/>
          <w:kern w:val="2"/>
          <w:sz w:val="32"/>
          <w:szCs w:val="32"/>
        </w:rPr>
        <w:t>一是认真贯彻落实中央八项规定精神和厉行节约要求，</w:t>
      </w:r>
      <w:r>
        <w:rPr>
          <w:rFonts w:hint="eastAsia" w:ascii="方正仿宋_GBK" w:eastAsia="方正仿宋_GBK" w:cs="仿宋_GB2312" w:hAnsiTheme="minorHAnsi"/>
          <w:kern w:val="2"/>
          <w:sz w:val="32"/>
          <w:szCs w:val="32"/>
          <w:lang w:eastAsia="zh-CN"/>
        </w:rPr>
        <w:t>坚决落实过紧日子、苦日子思想</w:t>
      </w:r>
      <w:r>
        <w:rPr>
          <w:rFonts w:hint="eastAsia" w:ascii="方正仿宋_GBK" w:eastAsia="方正仿宋_GBK" w:cs="仿宋_GB2312" w:hAnsiTheme="minorHAnsi"/>
          <w:kern w:val="2"/>
          <w:sz w:val="32"/>
          <w:szCs w:val="32"/>
        </w:rPr>
        <w:t>；二是严格落实公车使用规定，严禁公车私用；三是强化公务接待支出管理，严格遵守公务接待开支范围和开支标准，严格控制陪餐人数。</w:t>
      </w:r>
      <w:r>
        <w:rPr>
          <w:rFonts w:hint="eastAsia" w:ascii="宋体" w:hAnsi="宋体" w:eastAsia="方正仿宋_GBK" w:cs="方正仿宋_GBK"/>
          <w:color w:val="auto"/>
          <w:sz w:val="32"/>
          <w:lang w:val="en-US" w:eastAsia="zh-CN"/>
        </w:rPr>
        <w:t>较上年支出数增加0.97万元，增加了25.26%，主要原因是2024年新充值加油卡2万元，而去年未充值油卡。</w:t>
      </w:r>
    </w:p>
    <w:p w14:paraId="367103DE">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579C04B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因公出国（境）费用0万元。费用支出较年初预算数增加0万元，主要原因是</w:t>
      </w:r>
      <w:r>
        <w:rPr>
          <w:rFonts w:hint="eastAsia" w:ascii="方正仿宋_GBK" w:eastAsia="方正仿宋_GBK" w:cs="仿宋_GB2312" w:hAnsiTheme="minorHAnsi"/>
          <w:kern w:val="2"/>
          <w:sz w:val="32"/>
          <w:szCs w:val="32"/>
        </w:rPr>
        <w:t>本年未发生因公出国（境）费用支出</w:t>
      </w:r>
      <w:r>
        <w:rPr>
          <w:rFonts w:hint="eastAsia" w:ascii="宋体" w:hAnsi="宋体" w:eastAsia="方正仿宋_GBK" w:cs="方正仿宋_GBK"/>
          <w:color w:val="auto"/>
          <w:sz w:val="32"/>
          <w:lang w:val="en-US" w:eastAsia="zh-CN"/>
        </w:rPr>
        <w:t>。较上年支出数增加0万元，主要原因是</w:t>
      </w:r>
      <w:r>
        <w:rPr>
          <w:rFonts w:hint="eastAsia" w:ascii="方正仿宋_GBK" w:eastAsia="方正仿宋_GBK" w:cs="仿宋_GB2312" w:hAnsiTheme="minorHAnsi"/>
          <w:kern w:val="2"/>
          <w:sz w:val="32"/>
          <w:szCs w:val="32"/>
        </w:rPr>
        <w:t>本年与上年均未发生因公出国（境）费用支出</w:t>
      </w:r>
      <w:r>
        <w:rPr>
          <w:rFonts w:hint="eastAsia" w:ascii="宋体" w:hAnsi="宋体" w:eastAsia="方正仿宋_GBK" w:cs="方正仿宋_GBK"/>
          <w:color w:val="auto"/>
          <w:sz w:val="32"/>
          <w:lang w:val="en-US" w:eastAsia="zh-CN"/>
        </w:rPr>
        <w:t>。</w:t>
      </w:r>
    </w:p>
    <w:p w14:paraId="71B957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w:t>
      </w:r>
      <w:r>
        <w:rPr>
          <w:rFonts w:hint="eastAsia" w:ascii="方正仿宋_GBK" w:eastAsia="方正仿宋_GBK" w:cs="仿宋_GB2312" w:hAnsiTheme="minorHAnsi"/>
          <w:kern w:val="2"/>
          <w:sz w:val="32"/>
          <w:szCs w:val="32"/>
          <w:lang w:val="en-US" w:eastAsia="zh-CN"/>
        </w:rPr>
        <w:t>与上年无增减变化</w:t>
      </w:r>
      <w:r>
        <w:rPr>
          <w:rFonts w:hint="eastAsia" w:ascii="宋体" w:hAnsi="宋体" w:eastAsia="方正仿宋_GBK" w:cs="方正仿宋_GBK"/>
          <w:color w:val="auto"/>
          <w:sz w:val="32"/>
          <w:lang w:val="en-US" w:eastAsia="zh-CN"/>
        </w:rPr>
        <w:t>。</w:t>
      </w:r>
    </w:p>
    <w:p w14:paraId="773F137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公务车运行维护费4.81万元，主要用于</w:t>
      </w:r>
      <w:r>
        <w:rPr>
          <w:rFonts w:hint="eastAsia" w:ascii="方正仿宋_GBK" w:eastAsia="方正仿宋_GBK" w:cs="仿宋_GB2312" w:hAnsiTheme="minorHAnsi"/>
          <w:kern w:val="2"/>
          <w:sz w:val="32"/>
          <w:szCs w:val="32"/>
        </w:rPr>
        <w:t>公车用油、维修费、过路过桥费、保险费、停车费、洗车费等</w:t>
      </w:r>
      <w:r>
        <w:rPr>
          <w:rFonts w:hint="eastAsia" w:ascii="宋体" w:hAnsi="宋体" w:eastAsia="方正仿宋_GBK" w:cs="方正仿宋_GBK"/>
          <w:color w:val="auto"/>
          <w:sz w:val="32"/>
          <w:lang w:val="en-US" w:eastAsia="zh-CN"/>
        </w:rPr>
        <w:t>。费用支出较年初预算数减少3.19万元，主要原因</w:t>
      </w:r>
      <w:r>
        <w:rPr>
          <w:rFonts w:hint="eastAsia" w:ascii="方正仿宋_GBK" w:eastAsia="方正仿宋_GBK" w:cs="仿宋_GB2312" w:hAnsiTheme="minorHAnsi"/>
          <w:kern w:val="2"/>
          <w:sz w:val="32"/>
          <w:szCs w:val="32"/>
        </w:rPr>
        <w:t>严格公务用车管理</w:t>
      </w:r>
      <w:r>
        <w:rPr>
          <w:rFonts w:hint="eastAsia" w:ascii="方正仿宋_GBK" w:eastAsia="方正仿宋_GBK" w:cs="仿宋_GB2312" w:hAnsiTheme="minorHAnsi"/>
          <w:kern w:val="2"/>
          <w:sz w:val="32"/>
          <w:szCs w:val="32"/>
          <w:lang w:eastAsia="zh-CN"/>
        </w:rPr>
        <w:t>。</w:t>
      </w:r>
      <w:r>
        <w:rPr>
          <w:rFonts w:hint="eastAsia" w:ascii="宋体" w:hAnsi="宋体" w:eastAsia="方正仿宋_GBK" w:cs="方正仿宋_GBK"/>
          <w:color w:val="auto"/>
          <w:sz w:val="32"/>
          <w:lang w:val="en-US" w:eastAsia="zh-CN"/>
        </w:rPr>
        <w:t>较上年支出数增加1.09万元，增长29.30%，主要原因是2024年新充值加油卡2万元，而去年未充值油卡。</w:t>
      </w:r>
    </w:p>
    <w:p w14:paraId="4338A9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公务接待费0万元。费用支出较年初预算数减少0.5万元，较上年支出数减少0.12万元，降低了100%，主要原因是</w:t>
      </w:r>
      <w:r>
        <w:rPr>
          <w:rFonts w:hint="eastAsia" w:ascii="方正仿宋_GBK" w:eastAsia="方正仿宋_GBK" w:cs="仿宋_GB2312" w:hAnsiTheme="minorHAnsi"/>
          <w:kern w:val="2"/>
          <w:sz w:val="32"/>
          <w:szCs w:val="32"/>
        </w:rPr>
        <w:t>严格公务接待审批，无公函一律不予接待</w:t>
      </w:r>
      <w:r>
        <w:rPr>
          <w:rFonts w:hint="eastAsia" w:ascii="宋体" w:hAnsi="宋体" w:eastAsia="方正仿宋_GBK" w:cs="方正仿宋_GBK"/>
          <w:color w:val="auto"/>
          <w:sz w:val="32"/>
          <w:lang w:val="en-US" w:eastAsia="zh-CN"/>
        </w:rPr>
        <w:t>。</w:t>
      </w:r>
    </w:p>
    <w:p w14:paraId="5EF629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7F93F3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2辆；国内公务接待0批次0人，其中：国内外事接待0批次，0人；国（境）外公务接待0批次，0人。人均接待费0元，车均购置费0万元，车均维护费2.41万元。</w:t>
      </w:r>
    </w:p>
    <w:p w14:paraId="438D5A7E">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0E2965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D5B225D">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无增减变化</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8.9</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0.36</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本年教授讲课费较多</w:t>
      </w:r>
      <w:r>
        <w:rPr>
          <w:rFonts w:ascii="方正仿宋_GBK" w:hAnsi="方正仿宋_GBK" w:eastAsia="方正仿宋_GBK" w:cs="方正仿宋_GBK"/>
          <w:sz w:val="32"/>
          <w:szCs w:val="32"/>
          <w:shd w:val="clear" w:color="auto" w:fill="FFFFFF"/>
        </w:rPr>
        <w:t>。</w:t>
      </w:r>
    </w:p>
    <w:p w14:paraId="2AE326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7B1BA863">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按照部门决算列报口径，我单位不在机关运行经费统计范围之内。</w:t>
      </w:r>
    </w:p>
    <w:p w14:paraId="51F61B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24128DD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辆。其中：应急保障用车</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5</w:t>
      </w:r>
      <w:r>
        <w:rPr>
          <w:rFonts w:hint="eastAsia" w:ascii="宋体" w:hAnsi="宋体" w:eastAsia="方正仿宋_GBK" w:cs="方正仿宋_GBK"/>
          <w:kern w:val="0"/>
          <w:sz w:val="32"/>
          <w:szCs w:val="32"/>
        </w:rPr>
        <w:t>台（套）。</w:t>
      </w:r>
    </w:p>
    <w:p w14:paraId="366D6E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其他需要说明的情况：2024年我单位用自有资金购置车辆1辆，金额24.97万元。</w:t>
      </w:r>
    </w:p>
    <w:p w14:paraId="32004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0E65EA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主要用于采购办公家具和办公设备等。</w:t>
      </w:r>
    </w:p>
    <w:p w14:paraId="2C9134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036C3152">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148753F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对部门整体和</w:t>
      </w:r>
      <w:r>
        <w:rPr>
          <w:rFonts w:hint="eastAsia" w:ascii="宋体" w:hAnsi="宋体" w:eastAsia="方正仿宋_GBK" w:cs="方正仿宋_GBK"/>
          <w:kern w:val="0"/>
          <w:sz w:val="32"/>
          <w:szCs w:val="32"/>
          <w:lang w:val="en-US" w:eastAsia="zh-CN"/>
        </w:rPr>
        <w:t>12</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12</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2218.5</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4F20D29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bookmarkStart w:id="0" w:name="_GoBack"/>
      <w:bookmarkEnd w:id="0"/>
    </w:p>
    <w:p w14:paraId="1B84622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0F69D2D3">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kern w:val="0"/>
          <w:sz w:val="32"/>
          <w:szCs w:val="32"/>
          <w:lang w:val="en-US" w:eastAsia="zh-CN" w:bidi="ar"/>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kern w:val="0"/>
          <w:sz w:val="32"/>
          <w:szCs w:val="32"/>
          <w:lang w:val="en-US" w:eastAsia="zh-CN" w:bidi="ar"/>
        </w:rPr>
        <w:t>部门应公开部门整体绩效自评表和项目绩效自评表，单位只需公开项目绩效自评表。有重点专项项目的部门应公开所有重点专项项目绩效自评表；无重点专项项目的部门应选择至少一个一般性项目绩效自评表进行公开。</w:t>
      </w:r>
    </w:p>
    <w:p w14:paraId="108A305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47A744B2">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2024年度部门整体</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93"/>
        <w:gridCol w:w="525"/>
        <w:gridCol w:w="455"/>
        <w:gridCol w:w="1435"/>
        <w:gridCol w:w="735"/>
        <w:gridCol w:w="345"/>
        <w:gridCol w:w="690"/>
        <w:gridCol w:w="855"/>
        <w:gridCol w:w="980"/>
        <w:gridCol w:w="1236"/>
        <w:gridCol w:w="836"/>
      </w:tblGrid>
      <w:tr w14:paraId="3447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47" w:type="dxa"/>
            <w:tcBorders>
              <w:tl2br w:val="nil"/>
              <w:tr2bl w:val="nil"/>
            </w:tcBorders>
            <w:noWrap w:val="0"/>
            <w:vAlign w:val="center"/>
          </w:tcPr>
          <w:p w14:paraId="4A7BC4CA">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34E90377">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88" w:type="dxa"/>
            <w:gridSpan w:val="6"/>
            <w:tcBorders>
              <w:tl2br w:val="nil"/>
              <w:tr2bl w:val="nil"/>
            </w:tcBorders>
            <w:noWrap w:val="0"/>
            <w:vAlign w:val="center"/>
          </w:tcPr>
          <w:p w14:paraId="2BEC3B2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重庆市江津精神康复院整体自评</w:t>
            </w:r>
          </w:p>
        </w:tc>
        <w:tc>
          <w:tcPr>
            <w:tcW w:w="690" w:type="dxa"/>
            <w:tcBorders>
              <w:tl2br w:val="nil"/>
              <w:tr2bl w:val="nil"/>
            </w:tcBorders>
            <w:noWrap w:val="0"/>
            <w:vAlign w:val="center"/>
          </w:tcPr>
          <w:p w14:paraId="5CB48CF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14:paraId="3F39E7D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907" w:type="dxa"/>
            <w:gridSpan w:val="4"/>
            <w:tcBorders>
              <w:tl2br w:val="nil"/>
              <w:tr2bl w:val="nil"/>
            </w:tcBorders>
            <w:noWrap w:val="0"/>
            <w:vAlign w:val="center"/>
          </w:tcPr>
          <w:p w14:paraId="750B553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95.5</w:t>
            </w:r>
          </w:p>
        </w:tc>
      </w:tr>
      <w:tr w14:paraId="5AF5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noWrap w:val="0"/>
            <w:vAlign w:val="center"/>
          </w:tcPr>
          <w:p w14:paraId="0D0DBB8D">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714A344D">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718" w:type="dxa"/>
            <w:gridSpan w:val="2"/>
            <w:tcBorders>
              <w:tl2br w:val="nil"/>
              <w:tr2bl w:val="nil"/>
            </w:tcBorders>
            <w:noWrap w:val="0"/>
            <w:vAlign w:val="center"/>
          </w:tcPr>
          <w:p w14:paraId="2ECF060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310-重庆市江津精神康复院</w:t>
            </w:r>
          </w:p>
        </w:tc>
        <w:tc>
          <w:tcPr>
            <w:tcW w:w="1890" w:type="dxa"/>
            <w:gridSpan w:val="2"/>
            <w:tcBorders>
              <w:tl2br w:val="nil"/>
              <w:tr2bl w:val="nil"/>
            </w:tcBorders>
            <w:noWrap w:val="0"/>
            <w:vAlign w:val="center"/>
          </w:tcPr>
          <w:p w14:paraId="543A6E0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080" w:type="dxa"/>
            <w:gridSpan w:val="2"/>
            <w:tcBorders>
              <w:tl2br w:val="nil"/>
              <w:tr2bl w:val="nil"/>
            </w:tcBorders>
            <w:noWrap w:val="0"/>
            <w:vAlign w:val="center"/>
          </w:tcPr>
          <w:p w14:paraId="5728EF1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003-社会保障科</w:t>
            </w:r>
          </w:p>
        </w:tc>
        <w:tc>
          <w:tcPr>
            <w:tcW w:w="690" w:type="dxa"/>
            <w:tcBorders>
              <w:tl2br w:val="nil"/>
              <w:tr2bl w:val="nil"/>
            </w:tcBorders>
            <w:noWrap w:val="0"/>
            <w:vAlign w:val="center"/>
          </w:tcPr>
          <w:p w14:paraId="077CF47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w:t>
            </w:r>
          </w:p>
          <w:p w14:paraId="385EFBF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55" w:type="dxa"/>
            <w:tcBorders>
              <w:tl2br w:val="nil"/>
              <w:tr2bl w:val="nil"/>
            </w:tcBorders>
            <w:noWrap w:val="0"/>
            <w:vAlign w:val="center"/>
          </w:tcPr>
          <w:p w14:paraId="42C44F3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严江英</w:t>
            </w:r>
          </w:p>
        </w:tc>
        <w:tc>
          <w:tcPr>
            <w:tcW w:w="980" w:type="dxa"/>
            <w:tcBorders>
              <w:tl2br w:val="nil"/>
              <w:tr2bl w:val="nil"/>
            </w:tcBorders>
            <w:noWrap w:val="0"/>
            <w:vAlign w:val="center"/>
          </w:tcPr>
          <w:p w14:paraId="199E689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2"/>
            <w:tcBorders>
              <w:tl2br w:val="nil"/>
              <w:tr2bl w:val="nil"/>
            </w:tcBorders>
            <w:noWrap w:val="0"/>
            <w:vAlign w:val="center"/>
          </w:tcPr>
          <w:p w14:paraId="3B202F3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61069688</w:t>
            </w:r>
          </w:p>
        </w:tc>
      </w:tr>
      <w:tr w14:paraId="689D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47" w:type="dxa"/>
            <w:vMerge w:val="restart"/>
            <w:tcBorders>
              <w:tl2br w:val="nil"/>
              <w:tr2bl w:val="nil"/>
            </w:tcBorders>
            <w:noWrap w:val="0"/>
            <w:textDirection w:val="tbRlV"/>
            <w:vAlign w:val="center"/>
          </w:tcPr>
          <w:p w14:paraId="34E5482C">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718" w:type="dxa"/>
            <w:gridSpan w:val="2"/>
            <w:vMerge w:val="restart"/>
            <w:tcBorders>
              <w:tl2br w:val="nil"/>
              <w:tr2bl w:val="nil"/>
            </w:tcBorders>
            <w:noWrap w:val="0"/>
            <w:vAlign w:val="center"/>
          </w:tcPr>
          <w:p w14:paraId="52713CB9">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890" w:type="dxa"/>
            <w:gridSpan w:val="2"/>
            <w:tcBorders>
              <w:tl2br w:val="nil"/>
              <w:tr2bl w:val="nil"/>
            </w:tcBorders>
            <w:noWrap w:val="0"/>
            <w:vAlign w:val="center"/>
          </w:tcPr>
          <w:p w14:paraId="46ABB90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51563F8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080" w:type="dxa"/>
            <w:gridSpan w:val="2"/>
            <w:tcBorders>
              <w:tl2br w:val="nil"/>
              <w:tr2bl w:val="nil"/>
            </w:tcBorders>
            <w:noWrap w:val="0"/>
            <w:vAlign w:val="center"/>
          </w:tcPr>
          <w:p w14:paraId="7BD8380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545" w:type="dxa"/>
            <w:gridSpan w:val="2"/>
            <w:tcBorders>
              <w:tl2br w:val="nil"/>
              <w:tr2bl w:val="nil"/>
            </w:tcBorders>
            <w:noWrap w:val="0"/>
            <w:vAlign w:val="center"/>
          </w:tcPr>
          <w:p w14:paraId="126BEDD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80" w:type="dxa"/>
            <w:tcBorders>
              <w:tl2br w:val="nil"/>
              <w:tr2bl w:val="nil"/>
            </w:tcBorders>
            <w:noWrap w:val="0"/>
            <w:vAlign w:val="center"/>
          </w:tcPr>
          <w:p w14:paraId="1362262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45285A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6" w:type="dxa"/>
            <w:tcBorders>
              <w:tl2br w:val="nil"/>
              <w:tr2bl w:val="nil"/>
            </w:tcBorders>
            <w:noWrap w:val="0"/>
            <w:vAlign w:val="center"/>
          </w:tcPr>
          <w:p w14:paraId="3A1F805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15410A7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36" w:type="dxa"/>
            <w:tcBorders>
              <w:tl2br w:val="nil"/>
              <w:tr2bl w:val="nil"/>
            </w:tcBorders>
            <w:noWrap w:val="0"/>
            <w:vAlign w:val="center"/>
          </w:tcPr>
          <w:p w14:paraId="0DE1AE8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70005F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25DD281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3F6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569CC9B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vMerge w:val="continue"/>
            <w:tcBorders>
              <w:tl2br w:val="nil"/>
              <w:tr2bl w:val="nil"/>
            </w:tcBorders>
            <w:noWrap w:val="0"/>
            <w:vAlign w:val="center"/>
          </w:tcPr>
          <w:p w14:paraId="6C803B49">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890" w:type="dxa"/>
            <w:gridSpan w:val="2"/>
            <w:tcBorders>
              <w:tl2br w:val="nil"/>
              <w:tr2bl w:val="nil"/>
            </w:tcBorders>
            <w:noWrap w:val="0"/>
            <w:vAlign w:val="center"/>
          </w:tcPr>
          <w:p w14:paraId="53EA2160">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3721.63</w:t>
            </w:r>
          </w:p>
        </w:tc>
        <w:tc>
          <w:tcPr>
            <w:tcW w:w="1080" w:type="dxa"/>
            <w:gridSpan w:val="2"/>
            <w:tcBorders>
              <w:tl2br w:val="nil"/>
              <w:tr2bl w:val="nil"/>
            </w:tcBorders>
            <w:noWrap w:val="0"/>
            <w:vAlign w:val="center"/>
          </w:tcPr>
          <w:p w14:paraId="136AFF04">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3971.38</w:t>
            </w:r>
          </w:p>
        </w:tc>
        <w:tc>
          <w:tcPr>
            <w:tcW w:w="1545" w:type="dxa"/>
            <w:gridSpan w:val="2"/>
            <w:tcBorders>
              <w:tl2br w:val="nil"/>
              <w:tr2bl w:val="nil"/>
            </w:tcBorders>
            <w:noWrap w:val="0"/>
            <w:vAlign w:val="center"/>
          </w:tcPr>
          <w:p w14:paraId="7ED2F79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2056.38</w:t>
            </w:r>
          </w:p>
        </w:tc>
        <w:tc>
          <w:tcPr>
            <w:tcW w:w="980" w:type="dxa"/>
            <w:tcBorders>
              <w:tl2br w:val="nil"/>
              <w:tr2bl w:val="nil"/>
            </w:tcBorders>
            <w:noWrap w:val="0"/>
            <w:vAlign w:val="center"/>
          </w:tcPr>
          <w:p w14:paraId="08E5B13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6" w:type="dxa"/>
            <w:tcBorders>
              <w:tl2br w:val="nil"/>
              <w:tr2bl w:val="nil"/>
            </w:tcBorders>
            <w:noWrap w:val="0"/>
            <w:vAlign w:val="center"/>
          </w:tcPr>
          <w:p w14:paraId="618B3A2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836" w:type="dxa"/>
            <w:tcBorders>
              <w:tl2br w:val="nil"/>
              <w:tr2bl w:val="nil"/>
            </w:tcBorders>
            <w:noWrap w:val="0"/>
            <w:vAlign w:val="center"/>
          </w:tcPr>
          <w:p w14:paraId="271ED21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0456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2DB5B6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tcBorders>
              <w:tl2br w:val="nil"/>
              <w:tr2bl w:val="nil"/>
            </w:tcBorders>
            <w:noWrap w:val="0"/>
            <w:vAlign w:val="center"/>
          </w:tcPr>
          <w:p w14:paraId="4C8FEA2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5913450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890" w:type="dxa"/>
            <w:gridSpan w:val="2"/>
            <w:tcBorders>
              <w:tl2br w:val="nil"/>
              <w:tr2bl w:val="nil"/>
            </w:tcBorders>
            <w:noWrap w:val="0"/>
            <w:vAlign w:val="center"/>
          </w:tcPr>
          <w:p w14:paraId="51FA0E68">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1806.63</w:t>
            </w:r>
          </w:p>
        </w:tc>
        <w:tc>
          <w:tcPr>
            <w:tcW w:w="1080" w:type="dxa"/>
            <w:gridSpan w:val="2"/>
            <w:tcBorders>
              <w:tl2br w:val="nil"/>
              <w:tr2bl w:val="nil"/>
            </w:tcBorders>
            <w:noWrap w:val="0"/>
            <w:vAlign w:val="center"/>
          </w:tcPr>
          <w:p w14:paraId="5AE4ED2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2056.38</w:t>
            </w:r>
          </w:p>
        </w:tc>
        <w:tc>
          <w:tcPr>
            <w:tcW w:w="1545" w:type="dxa"/>
            <w:gridSpan w:val="2"/>
            <w:tcBorders>
              <w:tl2br w:val="nil"/>
              <w:tr2bl w:val="nil"/>
            </w:tcBorders>
            <w:noWrap w:val="0"/>
            <w:vAlign w:val="center"/>
          </w:tcPr>
          <w:p w14:paraId="3D9B0DA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2056.38</w:t>
            </w:r>
          </w:p>
        </w:tc>
        <w:tc>
          <w:tcPr>
            <w:tcW w:w="980" w:type="dxa"/>
            <w:tcBorders>
              <w:tl2br w:val="nil"/>
              <w:tr2bl w:val="nil"/>
            </w:tcBorders>
            <w:noWrap w:val="0"/>
            <w:vAlign w:val="center"/>
          </w:tcPr>
          <w:p w14:paraId="1146F9D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36" w:type="dxa"/>
            <w:tcBorders>
              <w:tl2br w:val="nil"/>
              <w:tr2bl w:val="nil"/>
            </w:tcBorders>
            <w:noWrap w:val="0"/>
            <w:vAlign w:val="center"/>
          </w:tcPr>
          <w:p w14:paraId="3DD1593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0CED904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0ACA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0C10321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608" w:type="dxa"/>
            <w:gridSpan w:val="4"/>
            <w:tcBorders>
              <w:tl2br w:val="nil"/>
              <w:tr2bl w:val="nil"/>
            </w:tcBorders>
            <w:noWrap w:val="0"/>
            <w:vAlign w:val="center"/>
          </w:tcPr>
          <w:p w14:paraId="561EB8E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625" w:type="dxa"/>
            <w:gridSpan w:val="4"/>
            <w:tcBorders>
              <w:tl2br w:val="nil"/>
              <w:tr2bl w:val="nil"/>
            </w:tcBorders>
            <w:noWrap w:val="0"/>
            <w:vAlign w:val="center"/>
          </w:tcPr>
          <w:p w14:paraId="0B94D68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052" w:type="dxa"/>
            <w:gridSpan w:val="3"/>
            <w:tcBorders>
              <w:tl2br w:val="nil"/>
              <w:tr2bl w:val="nil"/>
            </w:tcBorders>
            <w:noWrap w:val="0"/>
            <w:vAlign w:val="center"/>
          </w:tcPr>
          <w:p w14:paraId="5A821D1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73D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14:paraId="29468DC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608" w:type="dxa"/>
            <w:gridSpan w:val="4"/>
            <w:tcBorders>
              <w:tl2br w:val="nil"/>
              <w:tr2bl w:val="nil"/>
            </w:tcBorders>
            <w:noWrap w:val="0"/>
            <w:vAlign w:val="center"/>
          </w:tcPr>
          <w:p w14:paraId="0ED9192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1、负责收容、收治社会“三无”人员、社会流浪人员、复员军人中的精神病患者及其他精神病患者</w:t>
            </w:r>
          </w:p>
          <w:p w14:paraId="023D26D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2、收治政府承担救助的特困精神病患者</w:t>
            </w:r>
          </w:p>
          <w:p w14:paraId="11A0C52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3、医治并协助遣送社会流浪人员中的流浪人员的精神病患者</w:t>
            </w:r>
            <w:r>
              <w:rPr>
                <w:rFonts w:hint="eastAsia" w:ascii="宋体" w:hAnsi="宋体" w:eastAsia="方正仿宋_GBK" w:cs="方正仿宋_GBK"/>
                <w:color w:val="000000"/>
                <w:kern w:val="0"/>
                <w:sz w:val="24"/>
                <w:szCs w:val="24"/>
                <w:lang w:eastAsia="zh-CN"/>
              </w:rPr>
              <w:t>。</w:t>
            </w:r>
          </w:p>
        </w:tc>
        <w:tc>
          <w:tcPr>
            <w:tcW w:w="2625" w:type="dxa"/>
            <w:gridSpan w:val="4"/>
            <w:tcBorders>
              <w:tl2br w:val="nil"/>
              <w:tr2bl w:val="nil"/>
            </w:tcBorders>
            <w:noWrap w:val="0"/>
            <w:vAlign w:val="center"/>
          </w:tcPr>
          <w:p w14:paraId="19A390C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1、负责收容、收治社会“三无”人员、社会流浪人员、复员军人中的精神病患者及其他精神病患者</w:t>
            </w:r>
          </w:p>
          <w:p w14:paraId="2CC79B7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2、收治政府承担救助的特困精神病患者</w:t>
            </w:r>
          </w:p>
          <w:p w14:paraId="118E80D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3、医治并协助遣送社会流浪人员中的流浪人员的精神病患者</w:t>
            </w:r>
            <w:r>
              <w:rPr>
                <w:rFonts w:hint="eastAsia" w:ascii="宋体" w:hAnsi="宋体" w:eastAsia="方正仿宋_GBK" w:cs="方正仿宋_GBK"/>
                <w:color w:val="000000"/>
                <w:kern w:val="0"/>
                <w:sz w:val="24"/>
                <w:szCs w:val="24"/>
                <w:lang w:eastAsia="zh-CN"/>
              </w:rPr>
              <w:t>。</w:t>
            </w:r>
          </w:p>
        </w:tc>
        <w:tc>
          <w:tcPr>
            <w:tcW w:w="3052" w:type="dxa"/>
            <w:gridSpan w:val="3"/>
            <w:tcBorders>
              <w:tl2br w:val="nil"/>
              <w:tr2bl w:val="nil"/>
            </w:tcBorders>
            <w:noWrap w:val="0"/>
            <w:vAlign w:val="center"/>
          </w:tcPr>
          <w:p w14:paraId="4EB97F8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积极收容、收治社会 “三无”人员、社会流浪人员、特困人员和复员军人中的精神病患者及其他精神病患者。</w:t>
            </w:r>
          </w:p>
        </w:tc>
      </w:tr>
      <w:tr w14:paraId="7D16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6B62A49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193" w:type="dxa"/>
            <w:tcBorders>
              <w:tl2br w:val="nil"/>
              <w:tr2bl w:val="nil"/>
            </w:tcBorders>
            <w:noWrap w:val="0"/>
            <w:vAlign w:val="center"/>
          </w:tcPr>
          <w:p w14:paraId="63599B6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17DB65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525" w:type="dxa"/>
            <w:tcBorders>
              <w:tl2br w:val="nil"/>
              <w:tr2bl w:val="nil"/>
            </w:tcBorders>
            <w:noWrap w:val="0"/>
            <w:vAlign w:val="center"/>
          </w:tcPr>
          <w:p w14:paraId="6B7D698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21BC17A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455" w:type="dxa"/>
            <w:tcBorders>
              <w:tl2br w:val="nil"/>
              <w:tr2bl w:val="nil"/>
            </w:tcBorders>
            <w:noWrap w:val="0"/>
            <w:vAlign w:val="center"/>
          </w:tcPr>
          <w:p w14:paraId="4191021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F70951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1435" w:type="dxa"/>
            <w:tcBorders>
              <w:tl2br w:val="nil"/>
              <w:tr2bl w:val="nil"/>
            </w:tcBorders>
            <w:noWrap w:val="0"/>
            <w:vAlign w:val="center"/>
          </w:tcPr>
          <w:p w14:paraId="62E5CAF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0E1BFE1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735" w:type="dxa"/>
            <w:tcBorders>
              <w:tl2br w:val="nil"/>
              <w:tr2bl w:val="nil"/>
            </w:tcBorders>
            <w:noWrap w:val="0"/>
            <w:vAlign w:val="center"/>
          </w:tcPr>
          <w:p w14:paraId="2C526DE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728260F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035" w:type="dxa"/>
            <w:gridSpan w:val="2"/>
            <w:tcBorders>
              <w:tl2br w:val="nil"/>
              <w:tr2bl w:val="nil"/>
            </w:tcBorders>
            <w:noWrap w:val="0"/>
            <w:vAlign w:val="center"/>
          </w:tcPr>
          <w:p w14:paraId="12F1C7E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55" w:type="dxa"/>
            <w:tcBorders>
              <w:tl2br w:val="nil"/>
              <w:tr2bl w:val="nil"/>
            </w:tcBorders>
            <w:noWrap w:val="0"/>
            <w:vAlign w:val="center"/>
          </w:tcPr>
          <w:p w14:paraId="22D9CE5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652ADE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71DE50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80" w:type="dxa"/>
            <w:tcBorders>
              <w:tl2br w:val="nil"/>
              <w:tr2bl w:val="nil"/>
            </w:tcBorders>
            <w:noWrap w:val="0"/>
            <w:vAlign w:val="center"/>
          </w:tcPr>
          <w:p w14:paraId="362FAD7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F4B8ED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3B98961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36" w:type="dxa"/>
            <w:tcBorders>
              <w:tl2br w:val="nil"/>
              <w:tr2bl w:val="nil"/>
            </w:tcBorders>
            <w:noWrap w:val="0"/>
            <w:vAlign w:val="center"/>
          </w:tcPr>
          <w:p w14:paraId="4FD4882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519FE0F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6" w:type="dxa"/>
            <w:tcBorders>
              <w:tl2br w:val="nil"/>
              <w:tr2bl w:val="nil"/>
            </w:tcBorders>
            <w:noWrap w:val="0"/>
            <w:vAlign w:val="center"/>
          </w:tcPr>
          <w:p w14:paraId="18D8003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7CA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CA3EA9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93" w:type="dxa"/>
            <w:tcBorders>
              <w:tl2br w:val="nil"/>
              <w:tr2bl w:val="nil"/>
            </w:tcBorders>
            <w:noWrap w:val="0"/>
            <w:vAlign w:val="center"/>
          </w:tcPr>
          <w:p w14:paraId="344331E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补助到位率</w:t>
            </w:r>
          </w:p>
        </w:tc>
        <w:tc>
          <w:tcPr>
            <w:tcW w:w="525" w:type="dxa"/>
            <w:tcBorders>
              <w:tl2br w:val="nil"/>
              <w:tr2bl w:val="nil"/>
            </w:tcBorders>
            <w:noWrap w:val="0"/>
            <w:vAlign w:val="center"/>
          </w:tcPr>
          <w:p w14:paraId="2707486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14:paraId="766DC70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435" w:type="dxa"/>
            <w:tcBorders>
              <w:tl2br w:val="nil"/>
              <w:tr2bl w:val="nil"/>
            </w:tcBorders>
            <w:noWrap w:val="0"/>
            <w:vAlign w:val="center"/>
          </w:tcPr>
          <w:p w14:paraId="0DE564C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rPr>
            </w:pPr>
            <w:r>
              <w:rPr>
                <w:rFonts w:hint="eastAsia" w:ascii="宋体" w:hAnsi="宋体" w:eastAsia="方正仿宋_GBK" w:cs="方正仿宋_GBK"/>
                <w:color w:val="000000"/>
                <w:kern w:val="0"/>
                <w:sz w:val="24"/>
                <w:szCs w:val="24"/>
                <w:lang w:val="en-US" w:eastAsia="zh-CN"/>
              </w:rPr>
              <w:t>95</w:t>
            </w:r>
          </w:p>
        </w:tc>
        <w:tc>
          <w:tcPr>
            <w:tcW w:w="735" w:type="dxa"/>
            <w:tcBorders>
              <w:tl2br w:val="nil"/>
              <w:tr2bl w:val="nil"/>
            </w:tcBorders>
            <w:noWrap w:val="0"/>
            <w:vAlign w:val="center"/>
          </w:tcPr>
          <w:p w14:paraId="673F1BB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035" w:type="dxa"/>
            <w:gridSpan w:val="2"/>
            <w:tcBorders>
              <w:tl2br w:val="nil"/>
              <w:tr2bl w:val="nil"/>
            </w:tcBorders>
            <w:noWrap w:val="0"/>
            <w:vAlign w:val="center"/>
          </w:tcPr>
          <w:p w14:paraId="33D207F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rPr>
            </w:pPr>
            <w:r>
              <w:rPr>
                <w:rFonts w:hint="eastAsia" w:ascii="宋体" w:hAnsi="宋体" w:eastAsia="方正仿宋_GBK" w:cs="方正仿宋_GBK"/>
                <w:color w:val="000000"/>
                <w:kern w:val="0"/>
                <w:sz w:val="24"/>
                <w:szCs w:val="24"/>
                <w:lang w:val="en-US" w:eastAsia="zh-CN"/>
              </w:rPr>
              <w:t>5.26</w:t>
            </w:r>
          </w:p>
        </w:tc>
        <w:tc>
          <w:tcPr>
            <w:tcW w:w="855" w:type="dxa"/>
            <w:tcBorders>
              <w:tl2br w:val="nil"/>
              <w:tr2bl w:val="nil"/>
            </w:tcBorders>
            <w:noWrap w:val="0"/>
            <w:vAlign w:val="center"/>
          </w:tcPr>
          <w:p w14:paraId="3D56B90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17F8B31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rPr>
            </w:pPr>
            <w:r>
              <w:rPr>
                <w:rFonts w:hint="eastAsia" w:ascii="宋体" w:hAnsi="宋体" w:eastAsia="方正仿宋_GBK" w:cs="方正仿宋_GBK"/>
                <w:color w:val="000000"/>
                <w:kern w:val="0"/>
                <w:sz w:val="24"/>
                <w:szCs w:val="24"/>
                <w:lang w:val="en-US" w:eastAsia="zh-CN"/>
              </w:rPr>
              <w:t>15</w:t>
            </w:r>
          </w:p>
        </w:tc>
        <w:tc>
          <w:tcPr>
            <w:tcW w:w="1236" w:type="dxa"/>
            <w:tcBorders>
              <w:tl2br w:val="nil"/>
              <w:tr2bl w:val="nil"/>
            </w:tcBorders>
            <w:noWrap w:val="0"/>
            <w:vAlign w:val="center"/>
          </w:tcPr>
          <w:p w14:paraId="6FA06BA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rPr>
            </w:pPr>
            <w:r>
              <w:rPr>
                <w:rFonts w:hint="eastAsia" w:ascii="宋体" w:hAnsi="宋体" w:eastAsia="方正仿宋_GBK" w:cs="方正仿宋_GBK"/>
                <w:color w:val="000000"/>
                <w:kern w:val="0"/>
                <w:sz w:val="24"/>
                <w:szCs w:val="24"/>
                <w:lang w:val="en-US" w:eastAsia="zh-CN"/>
              </w:rPr>
              <w:t>15</w:t>
            </w:r>
          </w:p>
        </w:tc>
        <w:tc>
          <w:tcPr>
            <w:tcW w:w="836" w:type="dxa"/>
            <w:tcBorders>
              <w:tl2br w:val="nil"/>
              <w:tr2bl w:val="nil"/>
            </w:tcBorders>
            <w:noWrap w:val="0"/>
            <w:vAlign w:val="center"/>
          </w:tcPr>
          <w:p w14:paraId="7B4C6F4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24F4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949085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93" w:type="dxa"/>
            <w:tcBorders>
              <w:tl2br w:val="nil"/>
              <w:tr2bl w:val="nil"/>
            </w:tcBorders>
            <w:noWrap w:val="0"/>
            <w:vAlign w:val="center"/>
          </w:tcPr>
          <w:p w14:paraId="3F8D908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服务收养对象人数</w:t>
            </w:r>
          </w:p>
        </w:tc>
        <w:tc>
          <w:tcPr>
            <w:tcW w:w="525" w:type="dxa"/>
            <w:tcBorders>
              <w:tl2br w:val="nil"/>
              <w:tr2bl w:val="nil"/>
            </w:tcBorders>
            <w:noWrap w:val="0"/>
            <w:vAlign w:val="center"/>
          </w:tcPr>
          <w:p w14:paraId="41E198E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人数</w:t>
            </w:r>
          </w:p>
        </w:tc>
        <w:tc>
          <w:tcPr>
            <w:tcW w:w="455" w:type="dxa"/>
            <w:tcBorders>
              <w:tl2br w:val="nil"/>
              <w:tr2bl w:val="nil"/>
            </w:tcBorders>
            <w:shd w:val="clear" w:color="auto" w:fill="auto"/>
            <w:noWrap w:val="0"/>
            <w:vAlign w:val="center"/>
          </w:tcPr>
          <w:p w14:paraId="6F920DF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1435" w:type="dxa"/>
            <w:tcBorders>
              <w:tl2br w:val="nil"/>
              <w:tr2bl w:val="nil"/>
            </w:tcBorders>
            <w:noWrap w:val="0"/>
            <w:vAlign w:val="center"/>
          </w:tcPr>
          <w:p w14:paraId="7FB4B40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167</w:t>
            </w:r>
          </w:p>
        </w:tc>
        <w:tc>
          <w:tcPr>
            <w:tcW w:w="735" w:type="dxa"/>
            <w:tcBorders>
              <w:tl2br w:val="nil"/>
              <w:tr2bl w:val="nil"/>
            </w:tcBorders>
            <w:noWrap w:val="0"/>
            <w:vAlign w:val="center"/>
          </w:tcPr>
          <w:p w14:paraId="37B66FC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178</w:t>
            </w:r>
          </w:p>
        </w:tc>
        <w:tc>
          <w:tcPr>
            <w:tcW w:w="1035" w:type="dxa"/>
            <w:gridSpan w:val="2"/>
            <w:tcBorders>
              <w:tl2br w:val="nil"/>
              <w:tr2bl w:val="nil"/>
            </w:tcBorders>
            <w:noWrap w:val="0"/>
            <w:vAlign w:val="center"/>
          </w:tcPr>
          <w:p w14:paraId="7FDC9FE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6.59</w:t>
            </w:r>
          </w:p>
        </w:tc>
        <w:tc>
          <w:tcPr>
            <w:tcW w:w="855" w:type="dxa"/>
            <w:tcBorders>
              <w:tl2br w:val="nil"/>
              <w:tr2bl w:val="nil"/>
            </w:tcBorders>
            <w:noWrap w:val="0"/>
            <w:vAlign w:val="center"/>
          </w:tcPr>
          <w:p w14:paraId="286FEFF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343AD70A">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1DD8402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2833298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7213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6F431E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93" w:type="dxa"/>
            <w:tcBorders>
              <w:tl2br w:val="nil"/>
              <w:tr2bl w:val="nil"/>
            </w:tcBorders>
            <w:noWrap w:val="0"/>
            <w:vAlign w:val="center"/>
          </w:tcPr>
          <w:p w14:paraId="3F4E3A6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部门预决算公开情况</w:t>
            </w:r>
          </w:p>
        </w:tc>
        <w:tc>
          <w:tcPr>
            <w:tcW w:w="525" w:type="dxa"/>
            <w:tcBorders>
              <w:tl2br w:val="nil"/>
              <w:tr2bl w:val="nil"/>
            </w:tcBorders>
            <w:noWrap w:val="0"/>
            <w:vAlign w:val="center"/>
          </w:tcPr>
          <w:p w14:paraId="7F54536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455" w:type="dxa"/>
            <w:tcBorders>
              <w:tl2br w:val="nil"/>
              <w:tr2bl w:val="nil"/>
            </w:tcBorders>
            <w:noWrap w:val="0"/>
            <w:vAlign w:val="center"/>
          </w:tcPr>
          <w:p w14:paraId="08748AB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定性</w:t>
            </w:r>
          </w:p>
        </w:tc>
        <w:tc>
          <w:tcPr>
            <w:tcW w:w="1435" w:type="dxa"/>
            <w:tcBorders>
              <w:tl2br w:val="nil"/>
              <w:tr2bl w:val="nil"/>
            </w:tcBorders>
            <w:noWrap w:val="0"/>
            <w:vAlign w:val="center"/>
          </w:tcPr>
          <w:p w14:paraId="3EFE07A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无问题得满分</w:t>
            </w:r>
          </w:p>
        </w:tc>
        <w:tc>
          <w:tcPr>
            <w:tcW w:w="735" w:type="dxa"/>
            <w:tcBorders>
              <w:tl2br w:val="nil"/>
              <w:tr2bl w:val="nil"/>
            </w:tcBorders>
            <w:noWrap w:val="0"/>
            <w:vAlign w:val="center"/>
          </w:tcPr>
          <w:p w14:paraId="7B054B9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1035" w:type="dxa"/>
            <w:gridSpan w:val="2"/>
            <w:tcBorders>
              <w:tl2br w:val="nil"/>
              <w:tr2bl w:val="nil"/>
            </w:tcBorders>
            <w:noWrap w:val="0"/>
            <w:vAlign w:val="center"/>
          </w:tcPr>
          <w:p w14:paraId="3913299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55" w:type="dxa"/>
            <w:tcBorders>
              <w:tl2br w:val="nil"/>
              <w:tr2bl w:val="nil"/>
            </w:tcBorders>
            <w:noWrap w:val="0"/>
            <w:vAlign w:val="center"/>
          </w:tcPr>
          <w:p w14:paraId="25E7D08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5058939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1849010A">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1FE0D28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4D6F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256B57B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p w14:paraId="12E6F5D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93" w:type="dxa"/>
            <w:tcBorders>
              <w:tl2br w:val="nil"/>
              <w:tr2bl w:val="nil"/>
            </w:tcBorders>
            <w:shd w:val="clear" w:color="auto" w:fill="auto"/>
            <w:noWrap w:val="0"/>
            <w:vAlign w:val="center"/>
          </w:tcPr>
          <w:p w14:paraId="1B0D757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项目预算执行序时进度</w:t>
            </w:r>
          </w:p>
        </w:tc>
        <w:tc>
          <w:tcPr>
            <w:tcW w:w="525" w:type="dxa"/>
            <w:tcBorders>
              <w:tl2br w:val="nil"/>
              <w:tr2bl w:val="nil"/>
            </w:tcBorders>
            <w:shd w:val="clear" w:color="auto" w:fill="auto"/>
            <w:noWrap w:val="0"/>
            <w:vAlign w:val="center"/>
          </w:tcPr>
          <w:p w14:paraId="714B379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455" w:type="dxa"/>
            <w:tcBorders>
              <w:tl2br w:val="nil"/>
              <w:tr2bl w:val="nil"/>
            </w:tcBorders>
            <w:shd w:val="clear" w:color="auto" w:fill="auto"/>
            <w:noWrap w:val="0"/>
            <w:vAlign w:val="center"/>
          </w:tcPr>
          <w:p w14:paraId="6598F43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1435" w:type="dxa"/>
            <w:tcBorders>
              <w:tl2br w:val="nil"/>
              <w:tr2bl w:val="nil"/>
            </w:tcBorders>
            <w:shd w:val="clear" w:color="auto" w:fill="auto"/>
            <w:noWrap w:val="0"/>
            <w:vAlign w:val="center"/>
          </w:tcPr>
          <w:p w14:paraId="7C22073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90</w:t>
            </w:r>
          </w:p>
        </w:tc>
        <w:tc>
          <w:tcPr>
            <w:tcW w:w="735" w:type="dxa"/>
            <w:tcBorders>
              <w:tl2br w:val="nil"/>
              <w:tr2bl w:val="nil"/>
            </w:tcBorders>
            <w:shd w:val="clear" w:color="auto" w:fill="auto"/>
            <w:noWrap w:val="0"/>
            <w:vAlign w:val="center"/>
          </w:tcPr>
          <w:p w14:paraId="7B636A1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1035" w:type="dxa"/>
            <w:gridSpan w:val="2"/>
            <w:tcBorders>
              <w:tl2br w:val="nil"/>
              <w:tr2bl w:val="nil"/>
            </w:tcBorders>
            <w:shd w:val="clear" w:color="auto" w:fill="auto"/>
            <w:noWrap w:val="0"/>
            <w:vAlign w:val="center"/>
          </w:tcPr>
          <w:p w14:paraId="6A8F07B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11.11</w:t>
            </w:r>
          </w:p>
        </w:tc>
        <w:tc>
          <w:tcPr>
            <w:tcW w:w="855" w:type="dxa"/>
            <w:tcBorders>
              <w:tl2br w:val="nil"/>
              <w:tr2bl w:val="nil"/>
            </w:tcBorders>
            <w:shd w:val="clear" w:color="auto" w:fill="auto"/>
            <w:noWrap w:val="0"/>
            <w:vAlign w:val="center"/>
          </w:tcPr>
          <w:p w14:paraId="0CBC11A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shd w:val="clear" w:color="auto" w:fill="auto"/>
            <w:noWrap w:val="0"/>
            <w:vAlign w:val="center"/>
          </w:tcPr>
          <w:p w14:paraId="414437E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shd w:val="clear" w:color="auto" w:fill="auto"/>
            <w:noWrap w:val="0"/>
            <w:vAlign w:val="center"/>
          </w:tcPr>
          <w:p w14:paraId="35B3E46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shd w:val="clear" w:color="auto" w:fill="auto"/>
            <w:noWrap w:val="0"/>
            <w:vAlign w:val="center"/>
          </w:tcPr>
          <w:p w14:paraId="6B80FEB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bidi="ar-SA"/>
              </w:rPr>
            </w:pPr>
          </w:p>
        </w:tc>
      </w:tr>
      <w:tr w14:paraId="3311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0AC38E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0A380BC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绩效管理制度建设</w:t>
            </w:r>
          </w:p>
        </w:tc>
        <w:tc>
          <w:tcPr>
            <w:tcW w:w="525" w:type="dxa"/>
            <w:tcBorders>
              <w:tl2br w:val="nil"/>
              <w:tr2bl w:val="nil"/>
            </w:tcBorders>
            <w:noWrap w:val="0"/>
            <w:vAlign w:val="center"/>
          </w:tcPr>
          <w:p w14:paraId="14ABDFE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项</w:t>
            </w:r>
          </w:p>
        </w:tc>
        <w:tc>
          <w:tcPr>
            <w:tcW w:w="455" w:type="dxa"/>
            <w:tcBorders>
              <w:tl2br w:val="nil"/>
              <w:tr2bl w:val="nil"/>
            </w:tcBorders>
            <w:noWrap w:val="0"/>
            <w:vAlign w:val="center"/>
          </w:tcPr>
          <w:p w14:paraId="25B059C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定性</w:t>
            </w:r>
          </w:p>
        </w:tc>
        <w:tc>
          <w:tcPr>
            <w:tcW w:w="1435" w:type="dxa"/>
            <w:tcBorders>
              <w:tl2br w:val="nil"/>
              <w:tr2bl w:val="nil"/>
            </w:tcBorders>
            <w:noWrap w:val="0"/>
            <w:vAlign w:val="center"/>
          </w:tcPr>
          <w:p w14:paraId="6BFE613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基本建立</w:t>
            </w:r>
          </w:p>
        </w:tc>
        <w:tc>
          <w:tcPr>
            <w:tcW w:w="735" w:type="dxa"/>
            <w:tcBorders>
              <w:tl2br w:val="nil"/>
              <w:tr2bl w:val="nil"/>
            </w:tcBorders>
            <w:noWrap w:val="0"/>
            <w:vAlign w:val="center"/>
          </w:tcPr>
          <w:p w14:paraId="34F900F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w:t>
            </w:r>
          </w:p>
        </w:tc>
        <w:tc>
          <w:tcPr>
            <w:tcW w:w="1035" w:type="dxa"/>
            <w:gridSpan w:val="2"/>
            <w:tcBorders>
              <w:tl2br w:val="nil"/>
              <w:tr2bl w:val="nil"/>
            </w:tcBorders>
            <w:noWrap w:val="0"/>
            <w:vAlign w:val="center"/>
          </w:tcPr>
          <w:p w14:paraId="5BCA2C0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0</w:t>
            </w:r>
          </w:p>
        </w:tc>
        <w:tc>
          <w:tcPr>
            <w:tcW w:w="855" w:type="dxa"/>
            <w:tcBorders>
              <w:tl2br w:val="nil"/>
              <w:tr2bl w:val="nil"/>
            </w:tcBorders>
            <w:noWrap w:val="0"/>
            <w:vAlign w:val="center"/>
          </w:tcPr>
          <w:p w14:paraId="495D417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1226B93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5</w:t>
            </w:r>
          </w:p>
        </w:tc>
        <w:tc>
          <w:tcPr>
            <w:tcW w:w="1236" w:type="dxa"/>
            <w:tcBorders>
              <w:tl2br w:val="nil"/>
              <w:tr2bl w:val="nil"/>
            </w:tcBorders>
            <w:noWrap w:val="0"/>
            <w:vAlign w:val="center"/>
          </w:tcPr>
          <w:p w14:paraId="63B7F5E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14:paraId="4CA90AC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646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130FE0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418CBB5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社会维稳</w:t>
            </w:r>
          </w:p>
        </w:tc>
        <w:tc>
          <w:tcPr>
            <w:tcW w:w="525" w:type="dxa"/>
            <w:tcBorders>
              <w:tl2br w:val="nil"/>
              <w:tr2bl w:val="nil"/>
            </w:tcBorders>
            <w:noWrap w:val="0"/>
            <w:vAlign w:val="center"/>
          </w:tcPr>
          <w:p w14:paraId="7265B0C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455" w:type="dxa"/>
            <w:tcBorders>
              <w:tl2br w:val="nil"/>
              <w:tr2bl w:val="nil"/>
            </w:tcBorders>
            <w:noWrap w:val="0"/>
            <w:vAlign w:val="center"/>
          </w:tcPr>
          <w:p w14:paraId="5DA61D2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定性</w:t>
            </w:r>
          </w:p>
        </w:tc>
        <w:tc>
          <w:tcPr>
            <w:tcW w:w="1435" w:type="dxa"/>
            <w:tcBorders>
              <w:tl2br w:val="nil"/>
              <w:tr2bl w:val="nil"/>
            </w:tcBorders>
            <w:noWrap w:val="0"/>
            <w:vAlign w:val="center"/>
          </w:tcPr>
          <w:p w14:paraId="3F1B178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优</w:t>
            </w:r>
          </w:p>
        </w:tc>
        <w:tc>
          <w:tcPr>
            <w:tcW w:w="735" w:type="dxa"/>
            <w:tcBorders>
              <w:tl2br w:val="nil"/>
              <w:tr2bl w:val="nil"/>
            </w:tcBorders>
            <w:noWrap w:val="0"/>
            <w:vAlign w:val="center"/>
          </w:tcPr>
          <w:p w14:paraId="2623D2D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1035" w:type="dxa"/>
            <w:gridSpan w:val="2"/>
            <w:tcBorders>
              <w:tl2br w:val="nil"/>
              <w:tr2bl w:val="nil"/>
            </w:tcBorders>
            <w:noWrap w:val="0"/>
            <w:vAlign w:val="center"/>
          </w:tcPr>
          <w:p w14:paraId="0455B96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0</w:t>
            </w:r>
          </w:p>
        </w:tc>
        <w:tc>
          <w:tcPr>
            <w:tcW w:w="855" w:type="dxa"/>
            <w:tcBorders>
              <w:tl2br w:val="nil"/>
              <w:tr2bl w:val="nil"/>
            </w:tcBorders>
            <w:noWrap w:val="0"/>
            <w:vAlign w:val="center"/>
          </w:tcPr>
          <w:p w14:paraId="4AA477D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35C81A3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15A270B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488D4D2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497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0CD46B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7C0284D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设备正常使用率</w:t>
            </w:r>
          </w:p>
        </w:tc>
        <w:tc>
          <w:tcPr>
            <w:tcW w:w="525" w:type="dxa"/>
            <w:tcBorders>
              <w:tl2br w:val="nil"/>
              <w:tr2bl w:val="nil"/>
            </w:tcBorders>
            <w:noWrap w:val="0"/>
            <w:vAlign w:val="center"/>
          </w:tcPr>
          <w:p w14:paraId="7DC91E6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14:paraId="7B4D61E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1435" w:type="dxa"/>
            <w:tcBorders>
              <w:tl2br w:val="nil"/>
              <w:tr2bl w:val="nil"/>
            </w:tcBorders>
            <w:noWrap w:val="0"/>
            <w:vAlign w:val="center"/>
          </w:tcPr>
          <w:p w14:paraId="7B05C38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95</w:t>
            </w:r>
          </w:p>
        </w:tc>
        <w:tc>
          <w:tcPr>
            <w:tcW w:w="735" w:type="dxa"/>
            <w:tcBorders>
              <w:tl2br w:val="nil"/>
              <w:tr2bl w:val="nil"/>
            </w:tcBorders>
            <w:noWrap w:val="0"/>
            <w:vAlign w:val="center"/>
          </w:tcPr>
          <w:p w14:paraId="0EFE69F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95</w:t>
            </w:r>
          </w:p>
        </w:tc>
        <w:tc>
          <w:tcPr>
            <w:tcW w:w="1035" w:type="dxa"/>
            <w:gridSpan w:val="2"/>
            <w:tcBorders>
              <w:tl2br w:val="nil"/>
              <w:tr2bl w:val="nil"/>
            </w:tcBorders>
            <w:noWrap w:val="0"/>
            <w:vAlign w:val="center"/>
          </w:tcPr>
          <w:p w14:paraId="1DB97AB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0</w:t>
            </w:r>
          </w:p>
        </w:tc>
        <w:tc>
          <w:tcPr>
            <w:tcW w:w="855" w:type="dxa"/>
            <w:tcBorders>
              <w:tl2br w:val="nil"/>
              <w:tr2bl w:val="nil"/>
            </w:tcBorders>
            <w:noWrap w:val="0"/>
            <w:vAlign w:val="center"/>
          </w:tcPr>
          <w:p w14:paraId="44DDA6B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77CA5FC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236" w:type="dxa"/>
            <w:tcBorders>
              <w:tl2br w:val="nil"/>
              <w:tr2bl w:val="nil"/>
            </w:tcBorders>
            <w:noWrap w:val="0"/>
            <w:vAlign w:val="center"/>
          </w:tcPr>
          <w:p w14:paraId="5F9C9F90">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2C25F2B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EE0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21C630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133B12F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生活品质</w:t>
            </w:r>
          </w:p>
        </w:tc>
        <w:tc>
          <w:tcPr>
            <w:tcW w:w="525" w:type="dxa"/>
            <w:tcBorders>
              <w:tl2br w:val="nil"/>
              <w:tr2bl w:val="nil"/>
            </w:tcBorders>
            <w:noWrap w:val="0"/>
            <w:vAlign w:val="center"/>
          </w:tcPr>
          <w:p w14:paraId="5BF4900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455" w:type="dxa"/>
            <w:tcBorders>
              <w:tl2br w:val="nil"/>
              <w:tr2bl w:val="nil"/>
            </w:tcBorders>
            <w:noWrap w:val="0"/>
            <w:vAlign w:val="center"/>
          </w:tcPr>
          <w:p w14:paraId="5427EFA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定性</w:t>
            </w:r>
          </w:p>
        </w:tc>
        <w:tc>
          <w:tcPr>
            <w:tcW w:w="1435" w:type="dxa"/>
            <w:tcBorders>
              <w:tl2br w:val="nil"/>
              <w:tr2bl w:val="nil"/>
            </w:tcBorders>
            <w:noWrap w:val="0"/>
            <w:vAlign w:val="center"/>
          </w:tcPr>
          <w:p w14:paraId="60CD356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良</w:t>
            </w:r>
          </w:p>
        </w:tc>
        <w:tc>
          <w:tcPr>
            <w:tcW w:w="735" w:type="dxa"/>
            <w:tcBorders>
              <w:tl2br w:val="nil"/>
              <w:tr2bl w:val="nil"/>
            </w:tcBorders>
            <w:noWrap w:val="0"/>
            <w:vAlign w:val="center"/>
          </w:tcPr>
          <w:p w14:paraId="251CD17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w:t>
            </w:r>
          </w:p>
        </w:tc>
        <w:tc>
          <w:tcPr>
            <w:tcW w:w="1035" w:type="dxa"/>
            <w:gridSpan w:val="2"/>
            <w:tcBorders>
              <w:tl2br w:val="nil"/>
              <w:tr2bl w:val="nil"/>
            </w:tcBorders>
            <w:noWrap w:val="0"/>
            <w:vAlign w:val="center"/>
          </w:tcPr>
          <w:p w14:paraId="539FE62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0</w:t>
            </w:r>
          </w:p>
        </w:tc>
        <w:tc>
          <w:tcPr>
            <w:tcW w:w="855" w:type="dxa"/>
            <w:tcBorders>
              <w:tl2br w:val="nil"/>
              <w:tr2bl w:val="nil"/>
            </w:tcBorders>
            <w:noWrap w:val="0"/>
            <w:vAlign w:val="center"/>
          </w:tcPr>
          <w:p w14:paraId="40EF12B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4B1C906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37B1ECD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74305E9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178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0396844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5F1D562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“三公”经费控制</w:t>
            </w:r>
            <w:r>
              <w:rPr>
                <w:rFonts w:hint="eastAsia" w:ascii="宋体" w:hAnsi="宋体" w:eastAsia="方正仿宋_GBK" w:cs="方正仿宋_GBK"/>
                <w:color w:val="000000"/>
                <w:kern w:val="0"/>
                <w:sz w:val="24"/>
                <w:szCs w:val="24"/>
                <w:lang w:val="en-US" w:eastAsia="zh-CN"/>
              </w:rPr>
              <w:t>情况</w:t>
            </w:r>
          </w:p>
        </w:tc>
        <w:tc>
          <w:tcPr>
            <w:tcW w:w="525" w:type="dxa"/>
            <w:tcBorders>
              <w:tl2br w:val="nil"/>
              <w:tr2bl w:val="nil"/>
            </w:tcBorders>
            <w:noWrap w:val="0"/>
            <w:vAlign w:val="center"/>
          </w:tcPr>
          <w:p w14:paraId="613B8D0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万元</w:t>
            </w:r>
          </w:p>
        </w:tc>
        <w:tc>
          <w:tcPr>
            <w:tcW w:w="455" w:type="dxa"/>
            <w:tcBorders>
              <w:tl2br w:val="nil"/>
              <w:tr2bl w:val="nil"/>
            </w:tcBorders>
            <w:noWrap w:val="0"/>
            <w:vAlign w:val="center"/>
          </w:tcPr>
          <w:p w14:paraId="285CC2A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1435" w:type="dxa"/>
            <w:tcBorders>
              <w:tl2br w:val="nil"/>
              <w:tr2bl w:val="nil"/>
            </w:tcBorders>
            <w:noWrap w:val="0"/>
            <w:vAlign w:val="center"/>
          </w:tcPr>
          <w:p w14:paraId="7C1FA54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8.5</w:t>
            </w:r>
          </w:p>
        </w:tc>
        <w:tc>
          <w:tcPr>
            <w:tcW w:w="735" w:type="dxa"/>
            <w:tcBorders>
              <w:tl2br w:val="nil"/>
              <w:tr2bl w:val="nil"/>
            </w:tcBorders>
            <w:noWrap w:val="0"/>
            <w:vAlign w:val="center"/>
          </w:tcPr>
          <w:p w14:paraId="7533273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4.81</w:t>
            </w:r>
          </w:p>
        </w:tc>
        <w:tc>
          <w:tcPr>
            <w:tcW w:w="1035" w:type="dxa"/>
            <w:gridSpan w:val="2"/>
            <w:tcBorders>
              <w:tl2br w:val="nil"/>
              <w:tr2bl w:val="nil"/>
            </w:tcBorders>
            <w:noWrap w:val="0"/>
            <w:vAlign w:val="center"/>
          </w:tcPr>
          <w:p w14:paraId="12712AF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43.41</w:t>
            </w:r>
          </w:p>
        </w:tc>
        <w:tc>
          <w:tcPr>
            <w:tcW w:w="855" w:type="dxa"/>
            <w:tcBorders>
              <w:tl2br w:val="nil"/>
              <w:tr2bl w:val="nil"/>
            </w:tcBorders>
            <w:noWrap w:val="0"/>
            <w:vAlign w:val="center"/>
          </w:tcPr>
          <w:p w14:paraId="0525669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3809026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5</w:t>
            </w:r>
          </w:p>
        </w:tc>
        <w:tc>
          <w:tcPr>
            <w:tcW w:w="1236" w:type="dxa"/>
            <w:tcBorders>
              <w:tl2br w:val="nil"/>
              <w:tr2bl w:val="nil"/>
            </w:tcBorders>
            <w:noWrap w:val="0"/>
            <w:vAlign w:val="center"/>
          </w:tcPr>
          <w:p w14:paraId="7D8F90A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14:paraId="606165F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严控公务接待费</w:t>
            </w:r>
            <w:r>
              <w:rPr>
                <w:rFonts w:hint="eastAsia" w:ascii="宋体" w:hAnsi="宋体" w:eastAsia="方正仿宋_GBK" w:cs="方正仿宋_GBK"/>
                <w:color w:val="000000"/>
                <w:kern w:val="0"/>
                <w:sz w:val="24"/>
                <w:szCs w:val="24"/>
                <w:lang w:eastAsia="zh-CN"/>
              </w:rPr>
              <w:t>、</w:t>
            </w:r>
            <w:r>
              <w:rPr>
                <w:rFonts w:hint="eastAsia" w:ascii="宋体" w:hAnsi="宋体" w:eastAsia="方正仿宋_GBK" w:cs="方正仿宋_GBK"/>
                <w:color w:val="000000"/>
                <w:kern w:val="0"/>
                <w:sz w:val="24"/>
                <w:szCs w:val="24"/>
              </w:rPr>
              <w:t>公车运行维护费</w:t>
            </w:r>
          </w:p>
        </w:tc>
      </w:tr>
      <w:tr w14:paraId="4B8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79C553C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p w14:paraId="7E93B10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20DEF7A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采用保障金方式的政府采购占比情况</w:t>
            </w:r>
          </w:p>
        </w:tc>
        <w:tc>
          <w:tcPr>
            <w:tcW w:w="525" w:type="dxa"/>
            <w:tcBorders>
              <w:tl2br w:val="nil"/>
              <w:tr2bl w:val="nil"/>
            </w:tcBorders>
            <w:noWrap w:val="0"/>
            <w:vAlign w:val="center"/>
          </w:tcPr>
          <w:p w14:paraId="6AD10E6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c>
          <w:tcPr>
            <w:tcW w:w="455" w:type="dxa"/>
            <w:tcBorders>
              <w:tl2br w:val="nil"/>
              <w:tr2bl w:val="nil"/>
            </w:tcBorders>
            <w:noWrap w:val="0"/>
            <w:vAlign w:val="center"/>
          </w:tcPr>
          <w:p w14:paraId="1E30297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定性</w:t>
            </w:r>
          </w:p>
        </w:tc>
        <w:tc>
          <w:tcPr>
            <w:tcW w:w="1435" w:type="dxa"/>
            <w:tcBorders>
              <w:tl2br w:val="nil"/>
              <w:tr2bl w:val="nil"/>
            </w:tcBorders>
            <w:noWrap w:val="0"/>
            <w:vAlign w:val="center"/>
          </w:tcPr>
          <w:p w14:paraId="49AFF90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default" w:ascii="宋体" w:hAnsi="宋体" w:eastAsia="方正仿宋_GBK" w:cs="方正仿宋_GBK"/>
                <w:color w:val="000000"/>
                <w:kern w:val="0"/>
                <w:sz w:val="24"/>
                <w:szCs w:val="24"/>
                <w:lang w:val="en-US" w:eastAsia="zh-CN"/>
              </w:rPr>
              <w:t>无保障金采购的得满分；保障金占比&lt;=10%的，按该项指标分值的90%计算得分；占比&gt;10%不得分</w:t>
            </w:r>
          </w:p>
        </w:tc>
        <w:tc>
          <w:tcPr>
            <w:tcW w:w="735" w:type="dxa"/>
            <w:tcBorders>
              <w:tl2br w:val="nil"/>
              <w:tr2bl w:val="nil"/>
            </w:tcBorders>
            <w:noWrap w:val="0"/>
            <w:vAlign w:val="center"/>
          </w:tcPr>
          <w:p w14:paraId="1615472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w:t>
            </w:r>
          </w:p>
        </w:tc>
        <w:tc>
          <w:tcPr>
            <w:tcW w:w="1035" w:type="dxa"/>
            <w:gridSpan w:val="2"/>
            <w:tcBorders>
              <w:tl2br w:val="nil"/>
              <w:tr2bl w:val="nil"/>
            </w:tcBorders>
            <w:noWrap w:val="0"/>
            <w:vAlign w:val="center"/>
          </w:tcPr>
          <w:p w14:paraId="2028252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55" w:type="dxa"/>
            <w:tcBorders>
              <w:tl2br w:val="nil"/>
              <w:tr2bl w:val="nil"/>
            </w:tcBorders>
            <w:noWrap w:val="0"/>
            <w:vAlign w:val="center"/>
          </w:tcPr>
          <w:p w14:paraId="292FF17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80" w:type="dxa"/>
            <w:tcBorders>
              <w:tl2br w:val="nil"/>
              <w:tr2bl w:val="nil"/>
            </w:tcBorders>
            <w:noWrap w:val="0"/>
            <w:vAlign w:val="center"/>
          </w:tcPr>
          <w:p w14:paraId="4D4AC9B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1236" w:type="dxa"/>
            <w:tcBorders>
              <w:tl2br w:val="nil"/>
              <w:tr2bl w:val="nil"/>
            </w:tcBorders>
            <w:noWrap w:val="0"/>
            <w:vAlign w:val="center"/>
          </w:tcPr>
          <w:p w14:paraId="3DF7F4D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6" w:type="dxa"/>
            <w:tcBorders>
              <w:tl2br w:val="nil"/>
              <w:tr2bl w:val="nil"/>
            </w:tcBorders>
            <w:noWrap w:val="0"/>
            <w:vAlign w:val="center"/>
          </w:tcPr>
          <w:p w14:paraId="046A3E8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工作人员失误，实际未采用保障金支付</w:t>
            </w:r>
          </w:p>
        </w:tc>
      </w:tr>
      <w:tr w14:paraId="7629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5496450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p>
        </w:tc>
        <w:tc>
          <w:tcPr>
            <w:tcW w:w="1193" w:type="dxa"/>
            <w:tcBorders>
              <w:tl2br w:val="nil"/>
              <w:tr2bl w:val="nil"/>
            </w:tcBorders>
            <w:noWrap w:val="0"/>
            <w:vAlign w:val="center"/>
          </w:tcPr>
          <w:p w14:paraId="235DE63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聘用人员控制情况</w:t>
            </w:r>
          </w:p>
        </w:tc>
        <w:tc>
          <w:tcPr>
            <w:tcW w:w="525" w:type="dxa"/>
            <w:tcBorders>
              <w:tl2br w:val="nil"/>
              <w:tr2bl w:val="nil"/>
            </w:tcBorders>
            <w:noWrap w:val="0"/>
            <w:vAlign w:val="center"/>
          </w:tcPr>
          <w:p w14:paraId="3CBFC0B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人数</w:t>
            </w:r>
          </w:p>
        </w:tc>
        <w:tc>
          <w:tcPr>
            <w:tcW w:w="455" w:type="dxa"/>
            <w:tcBorders>
              <w:tl2br w:val="nil"/>
              <w:tr2bl w:val="nil"/>
            </w:tcBorders>
            <w:shd w:val="clear" w:color="auto" w:fill="auto"/>
            <w:noWrap w:val="0"/>
            <w:vAlign w:val="center"/>
          </w:tcPr>
          <w:p w14:paraId="1D10135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方正仿宋_GBK" w:cs="方正仿宋_GBK"/>
                <w:color w:val="000000"/>
                <w:kern w:val="0"/>
                <w:sz w:val="24"/>
                <w:szCs w:val="24"/>
              </w:rPr>
              <w:t>≤</w:t>
            </w:r>
          </w:p>
        </w:tc>
        <w:tc>
          <w:tcPr>
            <w:tcW w:w="1435" w:type="dxa"/>
            <w:tcBorders>
              <w:tl2br w:val="nil"/>
              <w:tr2bl w:val="nil"/>
            </w:tcBorders>
            <w:noWrap w:val="0"/>
            <w:vAlign w:val="center"/>
          </w:tcPr>
          <w:p w14:paraId="28206C2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120</w:t>
            </w:r>
          </w:p>
        </w:tc>
        <w:tc>
          <w:tcPr>
            <w:tcW w:w="735" w:type="dxa"/>
            <w:tcBorders>
              <w:tl2br w:val="nil"/>
              <w:tr2bl w:val="nil"/>
            </w:tcBorders>
            <w:noWrap w:val="0"/>
            <w:vAlign w:val="center"/>
          </w:tcPr>
          <w:p w14:paraId="0AB73C5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118</w:t>
            </w:r>
          </w:p>
        </w:tc>
        <w:tc>
          <w:tcPr>
            <w:tcW w:w="1035" w:type="dxa"/>
            <w:gridSpan w:val="2"/>
            <w:tcBorders>
              <w:tl2br w:val="nil"/>
              <w:tr2bl w:val="nil"/>
            </w:tcBorders>
            <w:noWrap w:val="0"/>
            <w:vAlign w:val="center"/>
          </w:tcPr>
          <w:p w14:paraId="7E5BA2D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1.67</w:t>
            </w:r>
          </w:p>
        </w:tc>
        <w:tc>
          <w:tcPr>
            <w:tcW w:w="855" w:type="dxa"/>
            <w:tcBorders>
              <w:tl2br w:val="nil"/>
              <w:tr2bl w:val="nil"/>
            </w:tcBorders>
            <w:noWrap w:val="0"/>
            <w:vAlign w:val="center"/>
          </w:tcPr>
          <w:p w14:paraId="66E1007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80" w:type="dxa"/>
            <w:tcBorders>
              <w:tl2br w:val="nil"/>
              <w:tr2bl w:val="nil"/>
            </w:tcBorders>
            <w:noWrap w:val="0"/>
            <w:vAlign w:val="center"/>
          </w:tcPr>
          <w:p w14:paraId="45701CD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14:paraId="63E3D6C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14:paraId="526FC91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39CF0F09">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14:paraId="407FB4CB">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14:paraId="2CE5F553">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09D8FF9C">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60FBF8DC">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19CF23AD">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p w14:paraId="74E56638">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tbl>
      <w:tblPr>
        <w:tblStyle w:val="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77"/>
        <w:gridCol w:w="711"/>
        <w:gridCol w:w="684"/>
        <w:gridCol w:w="720"/>
        <w:gridCol w:w="1095"/>
        <w:gridCol w:w="216"/>
        <w:gridCol w:w="825"/>
        <w:gridCol w:w="51"/>
        <w:gridCol w:w="924"/>
        <w:gridCol w:w="51"/>
        <w:gridCol w:w="924"/>
        <w:gridCol w:w="51"/>
        <w:gridCol w:w="864"/>
        <w:gridCol w:w="51"/>
        <w:gridCol w:w="841"/>
        <w:gridCol w:w="51"/>
      </w:tblGrid>
      <w:tr w14:paraId="3CD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tcBorders>
              <w:tl2br w:val="nil"/>
              <w:tr2bl w:val="nil"/>
            </w:tcBorders>
            <w:noWrap w:val="0"/>
            <w:vAlign w:val="center"/>
          </w:tcPr>
          <w:p w14:paraId="6F0753C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11D5BA3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703" w:type="dxa"/>
            <w:gridSpan w:val="6"/>
            <w:tcBorders>
              <w:tl2br w:val="nil"/>
              <w:tr2bl w:val="nil"/>
            </w:tcBorders>
            <w:noWrap w:val="0"/>
            <w:vAlign w:val="center"/>
          </w:tcPr>
          <w:p w14:paraId="61E90B8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贫困精神病人生活费</w:t>
            </w:r>
          </w:p>
        </w:tc>
        <w:tc>
          <w:tcPr>
            <w:tcW w:w="825" w:type="dxa"/>
            <w:tcBorders>
              <w:tl2br w:val="nil"/>
              <w:tr2bl w:val="nil"/>
            </w:tcBorders>
            <w:noWrap w:val="0"/>
            <w:vAlign w:val="center"/>
          </w:tcPr>
          <w:p w14:paraId="0D8C9C4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253EB9A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4DEBECA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757" w:type="dxa"/>
            <w:gridSpan w:val="8"/>
            <w:tcBorders>
              <w:tl2br w:val="nil"/>
              <w:tr2bl w:val="nil"/>
            </w:tcBorders>
            <w:noWrap w:val="0"/>
            <w:vAlign w:val="center"/>
          </w:tcPr>
          <w:p w14:paraId="36BB6FB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167B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tcBorders>
              <w:tl2br w:val="nil"/>
              <w:tr2bl w:val="nil"/>
            </w:tcBorders>
            <w:noWrap w:val="0"/>
            <w:vAlign w:val="center"/>
          </w:tcPr>
          <w:p w14:paraId="1B635B6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3DCF1D3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988" w:type="dxa"/>
            <w:gridSpan w:val="2"/>
            <w:tcBorders>
              <w:tl2br w:val="nil"/>
              <w:tr2bl w:val="nil"/>
            </w:tcBorders>
            <w:noWrap w:val="0"/>
            <w:vAlign w:val="center"/>
          </w:tcPr>
          <w:p w14:paraId="5D7AADB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310-重庆市江津精神康复院</w:t>
            </w:r>
          </w:p>
        </w:tc>
        <w:tc>
          <w:tcPr>
            <w:tcW w:w="1404" w:type="dxa"/>
            <w:gridSpan w:val="2"/>
            <w:tcBorders>
              <w:tl2br w:val="nil"/>
              <w:tr2bl w:val="nil"/>
            </w:tcBorders>
            <w:noWrap w:val="0"/>
            <w:vAlign w:val="center"/>
          </w:tcPr>
          <w:p w14:paraId="16DB726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311" w:type="dxa"/>
            <w:gridSpan w:val="2"/>
            <w:tcBorders>
              <w:tl2br w:val="nil"/>
              <w:tr2bl w:val="nil"/>
            </w:tcBorders>
            <w:noWrap w:val="0"/>
            <w:vAlign w:val="center"/>
          </w:tcPr>
          <w:p w14:paraId="2047D57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003-社会保障科</w:t>
            </w:r>
          </w:p>
        </w:tc>
        <w:tc>
          <w:tcPr>
            <w:tcW w:w="825" w:type="dxa"/>
            <w:tcBorders>
              <w:tl2br w:val="nil"/>
              <w:tr2bl w:val="nil"/>
            </w:tcBorders>
            <w:noWrap w:val="0"/>
            <w:vAlign w:val="center"/>
          </w:tcPr>
          <w:p w14:paraId="31E9355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5C5A447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75" w:type="dxa"/>
            <w:gridSpan w:val="2"/>
            <w:tcBorders>
              <w:tl2br w:val="nil"/>
              <w:tr2bl w:val="nil"/>
            </w:tcBorders>
            <w:noWrap w:val="0"/>
            <w:vAlign w:val="center"/>
          </w:tcPr>
          <w:p w14:paraId="36807F9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严江英</w:t>
            </w:r>
          </w:p>
        </w:tc>
        <w:tc>
          <w:tcPr>
            <w:tcW w:w="975" w:type="dxa"/>
            <w:gridSpan w:val="2"/>
            <w:tcBorders>
              <w:tl2br w:val="nil"/>
              <w:tr2bl w:val="nil"/>
            </w:tcBorders>
            <w:noWrap w:val="0"/>
            <w:vAlign w:val="center"/>
          </w:tcPr>
          <w:p w14:paraId="52F0360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1807" w:type="dxa"/>
            <w:gridSpan w:val="4"/>
            <w:tcBorders>
              <w:tl2br w:val="nil"/>
              <w:tr2bl w:val="nil"/>
            </w:tcBorders>
            <w:noWrap w:val="0"/>
            <w:vAlign w:val="center"/>
          </w:tcPr>
          <w:p w14:paraId="590FC24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61069688</w:t>
            </w:r>
          </w:p>
        </w:tc>
      </w:tr>
      <w:tr w14:paraId="4D91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restart"/>
            <w:tcBorders>
              <w:tl2br w:val="nil"/>
              <w:tr2bl w:val="nil"/>
            </w:tcBorders>
            <w:noWrap w:val="0"/>
            <w:textDirection w:val="tbRlV"/>
            <w:vAlign w:val="center"/>
          </w:tcPr>
          <w:p w14:paraId="3A504FEA">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988" w:type="dxa"/>
            <w:gridSpan w:val="2"/>
            <w:vMerge w:val="restart"/>
            <w:tcBorders>
              <w:tl2br w:val="nil"/>
              <w:tr2bl w:val="nil"/>
            </w:tcBorders>
            <w:noWrap w:val="0"/>
            <w:vAlign w:val="center"/>
          </w:tcPr>
          <w:p w14:paraId="5F7A4B02">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404" w:type="dxa"/>
            <w:gridSpan w:val="2"/>
            <w:tcBorders>
              <w:tl2br w:val="nil"/>
              <w:tr2bl w:val="nil"/>
            </w:tcBorders>
            <w:noWrap w:val="0"/>
            <w:vAlign w:val="center"/>
          </w:tcPr>
          <w:p w14:paraId="5A0C9CF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1D8B5C8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311" w:type="dxa"/>
            <w:gridSpan w:val="2"/>
            <w:tcBorders>
              <w:tl2br w:val="nil"/>
              <w:tr2bl w:val="nil"/>
            </w:tcBorders>
            <w:noWrap w:val="0"/>
            <w:vAlign w:val="center"/>
          </w:tcPr>
          <w:p w14:paraId="03E2CDA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800" w:type="dxa"/>
            <w:gridSpan w:val="3"/>
            <w:tcBorders>
              <w:tl2br w:val="nil"/>
              <w:tr2bl w:val="nil"/>
            </w:tcBorders>
            <w:noWrap w:val="0"/>
            <w:vAlign w:val="center"/>
          </w:tcPr>
          <w:p w14:paraId="3399808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75" w:type="dxa"/>
            <w:gridSpan w:val="2"/>
            <w:tcBorders>
              <w:tl2br w:val="nil"/>
              <w:tr2bl w:val="nil"/>
            </w:tcBorders>
            <w:noWrap w:val="0"/>
            <w:vAlign w:val="center"/>
          </w:tcPr>
          <w:p w14:paraId="1BEB56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05B8120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15" w:type="dxa"/>
            <w:gridSpan w:val="2"/>
            <w:tcBorders>
              <w:tl2br w:val="nil"/>
              <w:tr2bl w:val="nil"/>
            </w:tcBorders>
            <w:noWrap w:val="0"/>
            <w:vAlign w:val="center"/>
          </w:tcPr>
          <w:p w14:paraId="4EC405E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37CB65E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92" w:type="dxa"/>
            <w:gridSpan w:val="2"/>
            <w:tcBorders>
              <w:tl2br w:val="nil"/>
              <w:tr2bl w:val="nil"/>
            </w:tcBorders>
            <w:noWrap w:val="0"/>
            <w:vAlign w:val="center"/>
          </w:tcPr>
          <w:p w14:paraId="4473932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7A2C28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D2343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0820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continue"/>
            <w:tcBorders>
              <w:tl2br w:val="nil"/>
              <w:tr2bl w:val="nil"/>
            </w:tcBorders>
            <w:noWrap w:val="0"/>
            <w:vAlign w:val="center"/>
          </w:tcPr>
          <w:p w14:paraId="2833886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988" w:type="dxa"/>
            <w:gridSpan w:val="2"/>
            <w:vMerge w:val="continue"/>
            <w:tcBorders>
              <w:tl2br w:val="nil"/>
              <w:tr2bl w:val="nil"/>
            </w:tcBorders>
            <w:noWrap w:val="0"/>
            <w:vAlign w:val="center"/>
          </w:tcPr>
          <w:p w14:paraId="576B255A">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404" w:type="dxa"/>
            <w:gridSpan w:val="2"/>
            <w:tcBorders>
              <w:tl2br w:val="nil"/>
              <w:tr2bl w:val="nil"/>
            </w:tcBorders>
            <w:noWrap w:val="0"/>
            <w:vAlign w:val="center"/>
          </w:tcPr>
          <w:p w14:paraId="5A5469E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311" w:type="dxa"/>
            <w:gridSpan w:val="2"/>
            <w:tcBorders>
              <w:tl2br w:val="nil"/>
              <w:tr2bl w:val="nil"/>
            </w:tcBorders>
            <w:noWrap w:val="0"/>
            <w:vAlign w:val="center"/>
          </w:tcPr>
          <w:p w14:paraId="275443F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800" w:type="dxa"/>
            <w:gridSpan w:val="3"/>
            <w:tcBorders>
              <w:tl2br w:val="nil"/>
              <w:tr2bl w:val="nil"/>
            </w:tcBorders>
            <w:noWrap w:val="0"/>
            <w:vAlign w:val="center"/>
          </w:tcPr>
          <w:p w14:paraId="7881748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975" w:type="dxa"/>
            <w:gridSpan w:val="2"/>
            <w:tcBorders>
              <w:tl2br w:val="nil"/>
              <w:tr2bl w:val="nil"/>
            </w:tcBorders>
            <w:noWrap w:val="0"/>
            <w:vAlign w:val="center"/>
          </w:tcPr>
          <w:p w14:paraId="4D89AD3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5" w:type="dxa"/>
            <w:gridSpan w:val="2"/>
            <w:tcBorders>
              <w:tl2br w:val="nil"/>
              <w:tr2bl w:val="nil"/>
            </w:tcBorders>
            <w:noWrap w:val="0"/>
            <w:vAlign w:val="center"/>
          </w:tcPr>
          <w:p w14:paraId="12EB05F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892" w:type="dxa"/>
            <w:gridSpan w:val="2"/>
            <w:tcBorders>
              <w:tl2br w:val="nil"/>
              <w:tr2bl w:val="nil"/>
            </w:tcBorders>
            <w:noWrap w:val="0"/>
            <w:vAlign w:val="center"/>
          </w:tcPr>
          <w:p w14:paraId="3DC41D3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3D4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continue"/>
            <w:tcBorders>
              <w:tl2br w:val="nil"/>
              <w:tr2bl w:val="nil"/>
            </w:tcBorders>
            <w:noWrap w:val="0"/>
            <w:vAlign w:val="center"/>
          </w:tcPr>
          <w:p w14:paraId="1750601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988" w:type="dxa"/>
            <w:gridSpan w:val="2"/>
            <w:tcBorders>
              <w:tl2br w:val="nil"/>
              <w:tr2bl w:val="nil"/>
            </w:tcBorders>
            <w:noWrap w:val="0"/>
            <w:vAlign w:val="center"/>
          </w:tcPr>
          <w:p w14:paraId="7DBD300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6542984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404" w:type="dxa"/>
            <w:gridSpan w:val="2"/>
            <w:tcBorders>
              <w:tl2br w:val="nil"/>
              <w:tr2bl w:val="nil"/>
            </w:tcBorders>
            <w:noWrap w:val="0"/>
            <w:vAlign w:val="center"/>
          </w:tcPr>
          <w:p w14:paraId="25BE2477">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311" w:type="dxa"/>
            <w:gridSpan w:val="2"/>
            <w:tcBorders>
              <w:tl2br w:val="nil"/>
              <w:tr2bl w:val="nil"/>
            </w:tcBorders>
            <w:noWrap w:val="0"/>
            <w:vAlign w:val="center"/>
          </w:tcPr>
          <w:p w14:paraId="765EC164">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800" w:type="dxa"/>
            <w:gridSpan w:val="3"/>
            <w:tcBorders>
              <w:tl2br w:val="nil"/>
              <w:tr2bl w:val="nil"/>
            </w:tcBorders>
            <w:noWrap w:val="0"/>
            <w:vAlign w:val="center"/>
          </w:tcPr>
          <w:p w14:paraId="00EC5A0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975" w:type="dxa"/>
            <w:gridSpan w:val="2"/>
            <w:tcBorders>
              <w:tl2br w:val="nil"/>
              <w:tr2bl w:val="nil"/>
            </w:tcBorders>
            <w:noWrap w:val="0"/>
            <w:vAlign w:val="center"/>
          </w:tcPr>
          <w:p w14:paraId="7FF956C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5" w:type="dxa"/>
            <w:gridSpan w:val="2"/>
            <w:tcBorders>
              <w:tl2br w:val="nil"/>
              <w:tr2bl w:val="nil"/>
            </w:tcBorders>
            <w:noWrap w:val="0"/>
            <w:vAlign w:val="center"/>
          </w:tcPr>
          <w:p w14:paraId="2690BE6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1809CCEA">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03F6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restart"/>
            <w:tcBorders>
              <w:tl2br w:val="nil"/>
              <w:tr2bl w:val="nil"/>
            </w:tcBorders>
            <w:noWrap w:val="0"/>
            <w:vAlign w:val="center"/>
          </w:tcPr>
          <w:p w14:paraId="35CAD8D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392" w:type="dxa"/>
            <w:gridSpan w:val="4"/>
            <w:tcBorders>
              <w:tl2br w:val="nil"/>
              <w:tr2bl w:val="nil"/>
            </w:tcBorders>
            <w:noWrap w:val="0"/>
            <w:vAlign w:val="center"/>
          </w:tcPr>
          <w:p w14:paraId="6385035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111" w:type="dxa"/>
            <w:gridSpan w:val="5"/>
            <w:tcBorders>
              <w:tl2br w:val="nil"/>
              <w:tr2bl w:val="nil"/>
            </w:tcBorders>
            <w:noWrap w:val="0"/>
            <w:vAlign w:val="center"/>
          </w:tcPr>
          <w:p w14:paraId="6B5AFA0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782" w:type="dxa"/>
            <w:gridSpan w:val="6"/>
            <w:tcBorders>
              <w:tl2br w:val="nil"/>
              <w:tr2bl w:val="nil"/>
            </w:tcBorders>
            <w:noWrap w:val="0"/>
            <w:vAlign w:val="center"/>
          </w:tcPr>
          <w:p w14:paraId="54E14BC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44E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1055" w:hRule="atLeast"/>
          <w:jc w:val="center"/>
        </w:trPr>
        <w:tc>
          <w:tcPr>
            <w:tcW w:w="847" w:type="dxa"/>
            <w:vMerge w:val="continue"/>
            <w:tcBorders>
              <w:tl2br w:val="nil"/>
              <w:tr2bl w:val="nil"/>
            </w:tcBorders>
            <w:noWrap w:val="0"/>
            <w:vAlign w:val="center"/>
          </w:tcPr>
          <w:p w14:paraId="2BD11B9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392" w:type="dxa"/>
            <w:gridSpan w:val="4"/>
            <w:tcBorders>
              <w:tl2br w:val="nil"/>
              <w:tr2bl w:val="nil"/>
            </w:tcBorders>
            <w:noWrap w:val="0"/>
            <w:vAlign w:val="center"/>
          </w:tcPr>
          <w:p w14:paraId="03EA5B9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对贫困精神病人做到“应管尽管、应收尽收、应治尽治、应助尽助”，有效减轻患者及家庭负担，最大限度预防和减少肇事肇祸案事件发生</w:t>
            </w:r>
            <w:r>
              <w:rPr>
                <w:rFonts w:hint="eastAsia" w:ascii="宋体" w:hAnsi="宋体" w:eastAsia="方正仿宋_GBK" w:cs="方正仿宋_GBK"/>
                <w:color w:val="000000"/>
                <w:kern w:val="0"/>
                <w:sz w:val="24"/>
                <w:szCs w:val="24"/>
                <w:lang w:eastAsia="zh-CN"/>
              </w:rPr>
              <w:t>。</w:t>
            </w:r>
          </w:p>
        </w:tc>
        <w:tc>
          <w:tcPr>
            <w:tcW w:w="3111" w:type="dxa"/>
            <w:gridSpan w:val="5"/>
            <w:tcBorders>
              <w:tl2br w:val="nil"/>
              <w:tr2bl w:val="nil"/>
            </w:tcBorders>
            <w:noWrap w:val="0"/>
            <w:vAlign w:val="center"/>
          </w:tcPr>
          <w:p w14:paraId="30F13A9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对贫困精神病人做到“应管尽管、应收尽收、应治尽治、应助尽助”，有效减轻患者及家庭负担，最大限度预防和减少肇事肇祸案事件发生</w:t>
            </w:r>
            <w:r>
              <w:rPr>
                <w:rFonts w:hint="eastAsia" w:ascii="宋体" w:hAnsi="宋体" w:eastAsia="方正仿宋_GBK" w:cs="方正仿宋_GBK"/>
                <w:color w:val="000000"/>
                <w:kern w:val="0"/>
                <w:sz w:val="24"/>
                <w:szCs w:val="24"/>
                <w:lang w:eastAsia="zh-CN"/>
              </w:rPr>
              <w:t>。</w:t>
            </w:r>
          </w:p>
        </w:tc>
        <w:tc>
          <w:tcPr>
            <w:tcW w:w="2782" w:type="dxa"/>
            <w:gridSpan w:val="6"/>
            <w:tcBorders>
              <w:tl2br w:val="nil"/>
              <w:tr2bl w:val="nil"/>
            </w:tcBorders>
            <w:noWrap w:val="0"/>
            <w:vAlign w:val="center"/>
          </w:tcPr>
          <w:p w14:paraId="7774967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根据区级相关制度进行贫困精神病人生活补助，共计发生14万元的生活补助支出，有效的减轻患者及家庭负担及减少肇事肇祸案事件发生。</w:t>
            </w:r>
          </w:p>
        </w:tc>
      </w:tr>
      <w:tr w14:paraId="6C17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337F3BF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277" w:type="dxa"/>
            <w:tcBorders>
              <w:tl2br w:val="nil"/>
              <w:tr2bl w:val="nil"/>
            </w:tcBorders>
            <w:noWrap w:val="0"/>
            <w:vAlign w:val="center"/>
          </w:tcPr>
          <w:p w14:paraId="62F4538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0E72667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11" w:type="dxa"/>
            <w:tcBorders>
              <w:tl2br w:val="nil"/>
              <w:tr2bl w:val="nil"/>
            </w:tcBorders>
            <w:noWrap w:val="0"/>
            <w:vAlign w:val="center"/>
          </w:tcPr>
          <w:p w14:paraId="0C5B19F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07533AF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684" w:type="dxa"/>
            <w:tcBorders>
              <w:tl2br w:val="nil"/>
              <w:tr2bl w:val="nil"/>
            </w:tcBorders>
            <w:noWrap w:val="0"/>
            <w:vAlign w:val="center"/>
          </w:tcPr>
          <w:p w14:paraId="132A7AC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1F3306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20" w:type="dxa"/>
            <w:tcBorders>
              <w:tl2br w:val="nil"/>
              <w:tr2bl w:val="nil"/>
            </w:tcBorders>
            <w:noWrap w:val="0"/>
            <w:vAlign w:val="center"/>
          </w:tcPr>
          <w:p w14:paraId="5341BED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B95CB6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095" w:type="dxa"/>
            <w:tcBorders>
              <w:tl2br w:val="nil"/>
              <w:tr2bl w:val="nil"/>
            </w:tcBorders>
            <w:noWrap w:val="0"/>
            <w:vAlign w:val="center"/>
          </w:tcPr>
          <w:p w14:paraId="32A0CF0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81AEA9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092" w:type="dxa"/>
            <w:gridSpan w:val="3"/>
            <w:tcBorders>
              <w:tl2br w:val="nil"/>
              <w:tr2bl w:val="nil"/>
            </w:tcBorders>
            <w:noWrap w:val="0"/>
            <w:vAlign w:val="center"/>
          </w:tcPr>
          <w:p w14:paraId="0E45F9F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975" w:type="dxa"/>
            <w:gridSpan w:val="2"/>
            <w:tcBorders>
              <w:tl2br w:val="nil"/>
              <w:tr2bl w:val="nil"/>
            </w:tcBorders>
            <w:noWrap w:val="0"/>
            <w:vAlign w:val="center"/>
          </w:tcPr>
          <w:p w14:paraId="15E142C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3A355E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6555D5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75" w:type="dxa"/>
            <w:gridSpan w:val="2"/>
            <w:tcBorders>
              <w:tl2br w:val="nil"/>
              <w:tr2bl w:val="nil"/>
            </w:tcBorders>
            <w:noWrap w:val="0"/>
            <w:vAlign w:val="center"/>
          </w:tcPr>
          <w:p w14:paraId="440891D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2C4992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07DBB4B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915" w:type="dxa"/>
            <w:gridSpan w:val="2"/>
            <w:tcBorders>
              <w:tl2br w:val="nil"/>
              <w:tr2bl w:val="nil"/>
            </w:tcBorders>
            <w:noWrap w:val="0"/>
            <w:vAlign w:val="center"/>
          </w:tcPr>
          <w:p w14:paraId="70512FF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0CB00B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gridSpan w:val="2"/>
            <w:tcBorders>
              <w:tl2br w:val="nil"/>
              <w:tr2bl w:val="nil"/>
            </w:tcBorders>
            <w:noWrap w:val="0"/>
            <w:vAlign w:val="center"/>
          </w:tcPr>
          <w:p w14:paraId="27ADC2F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52A4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B4617D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7217E36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补助人次</w:t>
            </w:r>
          </w:p>
        </w:tc>
        <w:tc>
          <w:tcPr>
            <w:tcW w:w="711" w:type="dxa"/>
            <w:tcBorders>
              <w:tl2br w:val="nil"/>
              <w:tr2bl w:val="nil"/>
            </w:tcBorders>
            <w:noWrap w:val="0"/>
            <w:vAlign w:val="center"/>
          </w:tcPr>
          <w:p w14:paraId="4A05C40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人/次</w:t>
            </w:r>
          </w:p>
        </w:tc>
        <w:tc>
          <w:tcPr>
            <w:tcW w:w="684" w:type="dxa"/>
            <w:tcBorders>
              <w:tl2br w:val="nil"/>
              <w:tr2bl w:val="nil"/>
            </w:tcBorders>
            <w:noWrap w:val="0"/>
            <w:vAlign w:val="center"/>
          </w:tcPr>
          <w:p w14:paraId="43D7BCB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0C5F63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w:t>
            </w:r>
          </w:p>
        </w:tc>
        <w:tc>
          <w:tcPr>
            <w:tcW w:w="1095" w:type="dxa"/>
            <w:tcBorders>
              <w:tl2br w:val="nil"/>
              <w:tr2bl w:val="nil"/>
            </w:tcBorders>
            <w:noWrap w:val="0"/>
            <w:vAlign w:val="center"/>
          </w:tcPr>
          <w:p w14:paraId="13A89E3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43</w:t>
            </w:r>
          </w:p>
        </w:tc>
        <w:tc>
          <w:tcPr>
            <w:tcW w:w="1092" w:type="dxa"/>
            <w:gridSpan w:val="3"/>
            <w:tcBorders>
              <w:tl2br w:val="nil"/>
              <w:tr2bl w:val="nil"/>
            </w:tcBorders>
            <w:noWrap w:val="0"/>
            <w:vAlign w:val="center"/>
          </w:tcPr>
          <w:p w14:paraId="1CD43B2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7.5</w:t>
            </w:r>
          </w:p>
        </w:tc>
        <w:tc>
          <w:tcPr>
            <w:tcW w:w="975" w:type="dxa"/>
            <w:gridSpan w:val="2"/>
            <w:tcBorders>
              <w:tl2br w:val="nil"/>
              <w:tr2bl w:val="nil"/>
            </w:tcBorders>
            <w:noWrap w:val="0"/>
            <w:vAlign w:val="center"/>
          </w:tcPr>
          <w:p w14:paraId="100A0DB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37E97D0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61991CD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795F454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08B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233D71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34D8EB0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补助合格率</w:t>
            </w:r>
          </w:p>
        </w:tc>
        <w:tc>
          <w:tcPr>
            <w:tcW w:w="711" w:type="dxa"/>
            <w:tcBorders>
              <w:tl2br w:val="nil"/>
              <w:tr2bl w:val="nil"/>
            </w:tcBorders>
            <w:noWrap w:val="0"/>
            <w:vAlign w:val="center"/>
          </w:tcPr>
          <w:p w14:paraId="0EF981B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79B3375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7C2258E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98</w:t>
            </w:r>
          </w:p>
        </w:tc>
        <w:tc>
          <w:tcPr>
            <w:tcW w:w="1095" w:type="dxa"/>
            <w:tcBorders>
              <w:tl2br w:val="nil"/>
              <w:tr2bl w:val="nil"/>
            </w:tcBorders>
            <w:noWrap w:val="0"/>
            <w:vAlign w:val="center"/>
          </w:tcPr>
          <w:p w14:paraId="70B5A18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98</w:t>
            </w:r>
          </w:p>
        </w:tc>
        <w:tc>
          <w:tcPr>
            <w:tcW w:w="1092" w:type="dxa"/>
            <w:gridSpan w:val="3"/>
            <w:tcBorders>
              <w:tl2br w:val="nil"/>
              <w:tr2bl w:val="nil"/>
            </w:tcBorders>
            <w:noWrap w:val="0"/>
            <w:vAlign w:val="center"/>
          </w:tcPr>
          <w:p w14:paraId="1F37EB6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298913A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613E238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768C94E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3D3D75D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0CB4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B2515C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315A988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补助按时到位率</w:t>
            </w:r>
          </w:p>
        </w:tc>
        <w:tc>
          <w:tcPr>
            <w:tcW w:w="711" w:type="dxa"/>
            <w:tcBorders>
              <w:tl2br w:val="nil"/>
              <w:tr2bl w:val="nil"/>
            </w:tcBorders>
            <w:noWrap w:val="0"/>
            <w:vAlign w:val="center"/>
          </w:tcPr>
          <w:p w14:paraId="3BAF20C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1CBC93B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5501944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12D69BA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16B3000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1588058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F7D590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2D2B9AB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143E168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C95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2D3DFB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6BDA55C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贫困精神病人补助标准</w:t>
            </w:r>
          </w:p>
        </w:tc>
        <w:tc>
          <w:tcPr>
            <w:tcW w:w="711" w:type="dxa"/>
            <w:tcBorders>
              <w:tl2br w:val="nil"/>
              <w:tr2bl w:val="nil"/>
            </w:tcBorders>
            <w:noWrap w:val="0"/>
            <w:vAlign w:val="center"/>
          </w:tcPr>
          <w:p w14:paraId="0965E17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元/人·次</w:t>
            </w:r>
          </w:p>
        </w:tc>
        <w:tc>
          <w:tcPr>
            <w:tcW w:w="684" w:type="dxa"/>
            <w:tcBorders>
              <w:tl2br w:val="nil"/>
              <w:tr2bl w:val="nil"/>
            </w:tcBorders>
            <w:noWrap w:val="0"/>
            <w:vAlign w:val="center"/>
          </w:tcPr>
          <w:p w14:paraId="5F14DD4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713965A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450</w:t>
            </w:r>
          </w:p>
        </w:tc>
        <w:tc>
          <w:tcPr>
            <w:tcW w:w="1095" w:type="dxa"/>
            <w:tcBorders>
              <w:tl2br w:val="nil"/>
              <w:tr2bl w:val="nil"/>
            </w:tcBorders>
            <w:noWrap w:val="0"/>
            <w:vAlign w:val="center"/>
          </w:tcPr>
          <w:p w14:paraId="1E63BB2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450</w:t>
            </w:r>
          </w:p>
        </w:tc>
        <w:tc>
          <w:tcPr>
            <w:tcW w:w="1092" w:type="dxa"/>
            <w:gridSpan w:val="3"/>
            <w:tcBorders>
              <w:tl2br w:val="nil"/>
              <w:tr2bl w:val="nil"/>
            </w:tcBorders>
            <w:noWrap w:val="0"/>
            <w:vAlign w:val="center"/>
          </w:tcPr>
          <w:p w14:paraId="237FD63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6A13F3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4A71AD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4F76DEE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0A4BDDD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ED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5C4662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23335B6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补助事项公示率</w:t>
            </w:r>
          </w:p>
        </w:tc>
        <w:tc>
          <w:tcPr>
            <w:tcW w:w="711" w:type="dxa"/>
            <w:tcBorders>
              <w:tl2br w:val="nil"/>
              <w:tr2bl w:val="nil"/>
            </w:tcBorders>
            <w:noWrap w:val="0"/>
            <w:vAlign w:val="center"/>
          </w:tcPr>
          <w:p w14:paraId="3A22CAC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76219E6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16EBB58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248140A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24050F4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9C59E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406F566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78B6552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286C2C8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r>
      <w:tr w14:paraId="5788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5B28C4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55BAB87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补助政策知晓率</w:t>
            </w:r>
          </w:p>
        </w:tc>
        <w:tc>
          <w:tcPr>
            <w:tcW w:w="711" w:type="dxa"/>
            <w:tcBorders>
              <w:tl2br w:val="nil"/>
              <w:tr2bl w:val="nil"/>
            </w:tcBorders>
            <w:noWrap w:val="0"/>
            <w:vAlign w:val="center"/>
          </w:tcPr>
          <w:p w14:paraId="7B3255E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600C837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0D2FC15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1095" w:type="dxa"/>
            <w:tcBorders>
              <w:tl2br w:val="nil"/>
              <w:tr2bl w:val="nil"/>
            </w:tcBorders>
            <w:noWrap w:val="0"/>
            <w:vAlign w:val="center"/>
          </w:tcPr>
          <w:p w14:paraId="6CCA1CD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1092" w:type="dxa"/>
            <w:gridSpan w:val="3"/>
            <w:tcBorders>
              <w:tl2br w:val="nil"/>
              <w:tr2bl w:val="nil"/>
            </w:tcBorders>
            <w:noWrap w:val="0"/>
            <w:vAlign w:val="center"/>
          </w:tcPr>
          <w:p w14:paraId="2F80097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09DECB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52CD446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15" w:type="dxa"/>
            <w:gridSpan w:val="2"/>
            <w:tcBorders>
              <w:tl2br w:val="nil"/>
              <w:tr2bl w:val="nil"/>
            </w:tcBorders>
            <w:noWrap w:val="0"/>
            <w:vAlign w:val="center"/>
          </w:tcPr>
          <w:p w14:paraId="03E48E5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683DCAE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BB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102ECE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1C58563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受益对象满意度</w:t>
            </w:r>
          </w:p>
        </w:tc>
        <w:tc>
          <w:tcPr>
            <w:tcW w:w="711" w:type="dxa"/>
            <w:tcBorders>
              <w:tl2br w:val="nil"/>
              <w:tr2bl w:val="nil"/>
            </w:tcBorders>
            <w:noWrap w:val="0"/>
            <w:vAlign w:val="center"/>
          </w:tcPr>
          <w:p w14:paraId="45C2CD4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0CE57F2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5BF49F1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280653D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22CF4C2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D85783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1E63BD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15" w:type="dxa"/>
            <w:gridSpan w:val="2"/>
            <w:tcBorders>
              <w:tl2br w:val="nil"/>
              <w:tr2bl w:val="nil"/>
            </w:tcBorders>
            <w:noWrap w:val="0"/>
            <w:vAlign w:val="center"/>
          </w:tcPr>
          <w:p w14:paraId="3155B83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3A3F3DC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7BBCB679">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14:paraId="1B7492EF">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3AF03C9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本单位无此事项。</w:t>
      </w:r>
    </w:p>
    <w:p w14:paraId="3E5F5C5D">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192C80B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lang w:val="en-US" w:eastAsia="zh-CN"/>
        </w:rPr>
        <w:t>自评均已完成</w:t>
      </w:r>
      <w:r>
        <w:rPr>
          <w:rFonts w:hint="eastAsia" w:ascii="宋体" w:hAnsi="宋体" w:eastAsia="方正仿宋_GBK" w:cs="方正仿宋_GBK"/>
          <w:kern w:val="0"/>
          <w:sz w:val="32"/>
          <w:szCs w:val="32"/>
        </w:rPr>
        <w:t>年度绩效目标。</w:t>
      </w:r>
    </w:p>
    <w:p w14:paraId="4646180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4D6D732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3A813809">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57C6888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3D86F6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6BC507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7B83EF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B80D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0E7990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13E5FA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7CA562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4BBAAC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76D3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00AB1D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E5C8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9F0F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0AEFBE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65F0E7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724276E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DA567E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1866240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211F463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联系人：刁胜梅</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联系电话：15123353387</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FA94">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C75C">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rPr>
        <w:rFonts w:hint="default"/>
        <w:b/>
        <w:bCs/>
      </w:rPr>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rPr>
        <w:rFonts w:hint="default"/>
        <w:b/>
        <w:bCs/>
      </w:rPr>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6375D"/>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0AA8"/>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C020AE"/>
    <w:rsid w:val="04E36610"/>
    <w:rsid w:val="04E50BB2"/>
    <w:rsid w:val="04E841EF"/>
    <w:rsid w:val="05081AD1"/>
    <w:rsid w:val="052E6699"/>
    <w:rsid w:val="053E15A9"/>
    <w:rsid w:val="057728DC"/>
    <w:rsid w:val="05912D04"/>
    <w:rsid w:val="05C1448E"/>
    <w:rsid w:val="05C1761D"/>
    <w:rsid w:val="05D90398"/>
    <w:rsid w:val="05E52FAD"/>
    <w:rsid w:val="060A24AD"/>
    <w:rsid w:val="06AF2146"/>
    <w:rsid w:val="07063166"/>
    <w:rsid w:val="07640956"/>
    <w:rsid w:val="07A34544"/>
    <w:rsid w:val="07E21F1E"/>
    <w:rsid w:val="08190B33"/>
    <w:rsid w:val="08C10882"/>
    <w:rsid w:val="08C7668D"/>
    <w:rsid w:val="08CC205B"/>
    <w:rsid w:val="08DB1609"/>
    <w:rsid w:val="092032AD"/>
    <w:rsid w:val="09327D67"/>
    <w:rsid w:val="097859D4"/>
    <w:rsid w:val="09823D8A"/>
    <w:rsid w:val="09C9617E"/>
    <w:rsid w:val="0A280DE4"/>
    <w:rsid w:val="0A2D21B2"/>
    <w:rsid w:val="0A751EDD"/>
    <w:rsid w:val="0AB177F2"/>
    <w:rsid w:val="0AB319EF"/>
    <w:rsid w:val="0AEC3562"/>
    <w:rsid w:val="0B194746"/>
    <w:rsid w:val="0B447CC4"/>
    <w:rsid w:val="0B5C19F8"/>
    <w:rsid w:val="0B5C2CF7"/>
    <w:rsid w:val="0B6B4922"/>
    <w:rsid w:val="0B840250"/>
    <w:rsid w:val="0BBB1C03"/>
    <w:rsid w:val="0BBD1CFB"/>
    <w:rsid w:val="0BC63C92"/>
    <w:rsid w:val="0BCF17F7"/>
    <w:rsid w:val="0C1A7343"/>
    <w:rsid w:val="0C3C56A3"/>
    <w:rsid w:val="0C3E1C6B"/>
    <w:rsid w:val="0C8D0553"/>
    <w:rsid w:val="0C994F52"/>
    <w:rsid w:val="0CAE419E"/>
    <w:rsid w:val="0CB6160D"/>
    <w:rsid w:val="0D2E56BE"/>
    <w:rsid w:val="0D4A231C"/>
    <w:rsid w:val="0DBA0DC1"/>
    <w:rsid w:val="0DCE605A"/>
    <w:rsid w:val="0E5158C5"/>
    <w:rsid w:val="0EA66A76"/>
    <w:rsid w:val="0EAD6E68"/>
    <w:rsid w:val="0EB15612"/>
    <w:rsid w:val="0EB96B17"/>
    <w:rsid w:val="0ECF621B"/>
    <w:rsid w:val="0EFB5876"/>
    <w:rsid w:val="0F107EE3"/>
    <w:rsid w:val="0F1130C0"/>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1B869C6"/>
    <w:rsid w:val="11BC1F4C"/>
    <w:rsid w:val="11E84C15"/>
    <w:rsid w:val="12000F69"/>
    <w:rsid w:val="12554B29"/>
    <w:rsid w:val="12AD3E7D"/>
    <w:rsid w:val="12C42FA0"/>
    <w:rsid w:val="12D35C61"/>
    <w:rsid w:val="12E0359D"/>
    <w:rsid w:val="12EA2F1A"/>
    <w:rsid w:val="130558D9"/>
    <w:rsid w:val="13424E21"/>
    <w:rsid w:val="135737E6"/>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6E601DF"/>
    <w:rsid w:val="17532A55"/>
    <w:rsid w:val="17932EDC"/>
    <w:rsid w:val="17A36DDB"/>
    <w:rsid w:val="17A532AB"/>
    <w:rsid w:val="180B07AE"/>
    <w:rsid w:val="181A2360"/>
    <w:rsid w:val="181F4708"/>
    <w:rsid w:val="18221462"/>
    <w:rsid w:val="183A64A3"/>
    <w:rsid w:val="184F1121"/>
    <w:rsid w:val="185B2A86"/>
    <w:rsid w:val="18C66253"/>
    <w:rsid w:val="18CD5743"/>
    <w:rsid w:val="19510E95"/>
    <w:rsid w:val="19620342"/>
    <w:rsid w:val="197B50D2"/>
    <w:rsid w:val="19926875"/>
    <w:rsid w:val="1A297DDD"/>
    <w:rsid w:val="1A7919B9"/>
    <w:rsid w:val="1A9B4B49"/>
    <w:rsid w:val="1B1350D9"/>
    <w:rsid w:val="1B9A7C0E"/>
    <w:rsid w:val="1B9B203B"/>
    <w:rsid w:val="1BFD1CC9"/>
    <w:rsid w:val="1BFE6842"/>
    <w:rsid w:val="1C96385A"/>
    <w:rsid w:val="1CE92F5C"/>
    <w:rsid w:val="1D093D92"/>
    <w:rsid w:val="1D130784"/>
    <w:rsid w:val="1D412E8A"/>
    <w:rsid w:val="1D437979"/>
    <w:rsid w:val="1D4708B1"/>
    <w:rsid w:val="1D656164"/>
    <w:rsid w:val="1E6D6F6E"/>
    <w:rsid w:val="1E8900BD"/>
    <w:rsid w:val="1ECB269E"/>
    <w:rsid w:val="1EE66C3C"/>
    <w:rsid w:val="1EF96BEA"/>
    <w:rsid w:val="1F116510"/>
    <w:rsid w:val="1F1C3B7B"/>
    <w:rsid w:val="1F3537A6"/>
    <w:rsid w:val="1FF30BD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4FA193F"/>
    <w:rsid w:val="257F04AC"/>
    <w:rsid w:val="25C50E52"/>
    <w:rsid w:val="25E53B95"/>
    <w:rsid w:val="25EB17AB"/>
    <w:rsid w:val="25FF1317"/>
    <w:rsid w:val="26487E8F"/>
    <w:rsid w:val="266362EA"/>
    <w:rsid w:val="26791D53"/>
    <w:rsid w:val="268A5041"/>
    <w:rsid w:val="269A59A1"/>
    <w:rsid w:val="26D96305"/>
    <w:rsid w:val="26E96527"/>
    <w:rsid w:val="27293F76"/>
    <w:rsid w:val="274174EF"/>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25DF1"/>
    <w:rsid w:val="2A254E63"/>
    <w:rsid w:val="2A275D31"/>
    <w:rsid w:val="2AE168E0"/>
    <w:rsid w:val="2B2F33CE"/>
    <w:rsid w:val="2B762790"/>
    <w:rsid w:val="2B81747F"/>
    <w:rsid w:val="2B960BA1"/>
    <w:rsid w:val="2BAC2B14"/>
    <w:rsid w:val="2BC73FBA"/>
    <w:rsid w:val="2BFF60E5"/>
    <w:rsid w:val="2C0042E3"/>
    <w:rsid w:val="2C093962"/>
    <w:rsid w:val="2C0D59AC"/>
    <w:rsid w:val="2C2D5D74"/>
    <w:rsid w:val="2C334F61"/>
    <w:rsid w:val="2C3D20DB"/>
    <w:rsid w:val="2C71221F"/>
    <w:rsid w:val="2C715093"/>
    <w:rsid w:val="2CF75D34"/>
    <w:rsid w:val="2D551E03"/>
    <w:rsid w:val="2DA34B5C"/>
    <w:rsid w:val="2DDB0952"/>
    <w:rsid w:val="2E0221C2"/>
    <w:rsid w:val="2E0C46C8"/>
    <w:rsid w:val="2E2A738E"/>
    <w:rsid w:val="2E4A0CBE"/>
    <w:rsid w:val="2EAB46F5"/>
    <w:rsid w:val="2EC6420A"/>
    <w:rsid w:val="2EF3059D"/>
    <w:rsid w:val="2F1C3DF2"/>
    <w:rsid w:val="2F2C0A85"/>
    <w:rsid w:val="2F414FFF"/>
    <w:rsid w:val="2F8676D9"/>
    <w:rsid w:val="2F8D5831"/>
    <w:rsid w:val="2FA6445E"/>
    <w:rsid w:val="2FAC25DB"/>
    <w:rsid w:val="2FAF3097"/>
    <w:rsid w:val="2FB617C0"/>
    <w:rsid w:val="300C6664"/>
    <w:rsid w:val="30450B4E"/>
    <w:rsid w:val="30465275"/>
    <w:rsid w:val="30CC71F7"/>
    <w:rsid w:val="30EF4A25"/>
    <w:rsid w:val="31061102"/>
    <w:rsid w:val="3148458D"/>
    <w:rsid w:val="31A04CAD"/>
    <w:rsid w:val="31A70211"/>
    <w:rsid w:val="31B15053"/>
    <w:rsid w:val="31C0661C"/>
    <w:rsid w:val="320A0A74"/>
    <w:rsid w:val="320A79AF"/>
    <w:rsid w:val="321C5AF3"/>
    <w:rsid w:val="3256082B"/>
    <w:rsid w:val="327D7E69"/>
    <w:rsid w:val="32826152"/>
    <w:rsid w:val="328A09D8"/>
    <w:rsid w:val="32E60304"/>
    <w:rsid w:val="32EC51EE"/>
    <w:rsid w:val="33116010"/>
    <w:rsid w:val="331546C4"/>
    <w:rsid w:val="33656AA9"/>
    <w:rsid w:val="33782EB9"/>
    <w:rsid w:val="33A16094"/>
    <w:rsid w:val="33E6234B"/>
    <w:rsid w:val="33F80618"/>
    <w:rsid w:val="340E49EF"/>
    <w:rsid w:val="345073B6"/>
    <w:rsid w:val="3465554A"/>
    <w:rsid w:val="34977848"/>
    <w:rsid w:val="34983DE3"/>
    <w:rsid w:val="34A64D07"/>
    <w:rsid w:val="34B10AAC"/>
    <w:rsid w:val="34BF6C35"/>
    <w:rsid w:val="34F5635F"/>
    <w:rsid w:val="354811BC"/>
    <w:rsid w:val="35521A2B"/>
    <w:rsid w:val="355E472E"/>
    <w:rsid w:val="359E40E8"/>
    <w:rsid w:val="35BF6203"/>
    <w:rsid w:val="35C22B6B"/>
    <w:rsid w:val="35EA737B"/>
    <w:rsid w:val="36706ADF"/>
    <w:rsid w:val="36833C5C"/>
    <w:rsid w:val="36A129F2"/>
    <w:rsid w:val="36B3095D"/>
    <w:rsid w:val="36D22597"/>
    <w:rsid w:val="371719A6"/>
    <w:rsid w:val="371E35B2"/>
    <w:rsid w:val="37564D03"/>
    <w:rsid w:val="37751EC2"/>
    <w:rsid w:val="37862734"/>
    <w:rsid w:val="3794030D"/>
    <w:rsid w:val="37C77C1E"/>
    <w:rsid w:val="385D623A"/>
    <w:rsid w:val="3868611A"/>
    <w:rsid w:val="388010B8"/>
    <w:rsid w:val="38FA6DBA"/>
    <w:rsid w:val="390E5CB1"/>
    <w:rsid w:val="39165990"/>
    <w:rsid w:val="39474657"/>
    <w:rsid w:val="394C1552"/>
    <w:rsid w:val="394E2214"/>
    <w:rsid w:val="399A1E48"/>
    <w:rsid w:val="39A10C32"/>
    <w:rsid w:val="39CC7911"/>
    <w:rsid w:val="39E44839"/>
    <w:rsid w:val="3A457B72"/>
    <w:rsid w:val="3A4A2286"/>
    <w:rsid w:val="3AA6726B"/>
    <w:rsid w:val="3AE82075"/>
    <w:rsid w:val="3B017FBE"/>
    <w:rsid w:val="3B307A72"/>
    <w:rsid w:val="3B6F12AC"/>
    <w:rsid w:val="3B9335A4"/>
    <w:rsid w:val="3B992613"/>
    <w:rsid w:val="3BB24F73"/>
    <w:rsid w:val="3BCD490E"/>
    <w:rsid w:val="3BDB6726"/>
    <w:rsid w:val="3C056780"/>
    <w:rsid w:val="3C0B3B20"/>
    <w:rsid w:val="3C1860E9"/>
    <w:rsid w:val="3C265FAB"/>
    <w:rsid w:val="3C45620B"/>
    <w:rsid w:val="3D7312A1"/>
    <w:rsid w:val="3D8D7C98"/>
    <w:rsid w:val="3D8F2FFE"/>
    <w:rsid w:val="3D8F779B"/>
    <w:rsid w:val="3DA050E4"/>
    <w:rsid w:val="3DB31849"/>
    <w:rsid w:val="3E15702B"/>
    <w:rsid w:val="3E247857"/>
    <w:rsid w:val="3E984240"/>
    <w:rsid w:val="3EAD34C3"/>
    <w:rsid w:val="3EBE7C37"/>
    <w:rsid w:val="3F120426"/>
    <w:rsid w:val="3F1976B6"/>
    <w:rsid w:val="3F5E6431"/>
    <w:rsid w:val="3F797E8F"/>
    <w:rsid w:val="3F8C0907"/>
    <w:rsid w:val="3F9B5E29"/>
    <w:rsid w:val="3FA751CA"/>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B73E40"/>
    <w:rsid w:val="45CE60A3"/>
    <w:rsid w:val="461C57E1"/>
    <w:rsid w:val="464D2106"/>
    <w:rsid w:val="46572A53"/>
    <w:rsid w:val="465B2718"/>
    <w:rsid w:val="46651F6D"/>
    <w:rsid w:val="46BE763A"/>
    <w:rsid w:val="46C178CC"/>
    <w:rsid w:val="46F31024"/>
    <w:rsid w:val="46FD3AFE"/>
    <w:rsid w:val="471E0A34"/>
    <w:rsid w:val="4723739A"/>
    <w:rsid w:val="47250EF5"/>
    <w:rsid w:val="472B200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533C05"/>
    <w:rsid w:val="4B7D224D"/>
    <w:rsid w:val="4B88354F"/>
    <w:rsid w:val="4B897577"/>
    <w:rsid w:val="4BA739F3"/>
    <w:rsid w:val="4BAA41B4"/>
    <w:rsid w:val="4BC52A35"/>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87706B"/>
    <w:rsid w:val="4E8F4BF2"/>
    <w:rsid w:val="4E91728C"/>
    <w:rsid w:val="4ED17894"/>
    <w:rsid w:val="4EF42EFE"/>
    <w:rsid w:val="4F6C3467"/>
    <w:rsid w:val="4FC90106"/>
    <w:rsid w:val="4FDE358A"/>
    <w:rsid w:val="501832A3"/>
    <w:rsid w:val="50632B28"/>
    <w:rsid w:val="50C63B0F"/>
    <w:rsid w:val="50F36C04"/>
    <w:rsid w:val="51011AC0"/>
    <w:rsid w:val="51086CD3"/>
    <w:rsid w:val="511B035E"/>
    <w:rsid w:val="512B6610"/>
    <w:rsid w:val="517A3160"/>
    <w:rsid w:val="519D5270"/>
    <w:rsid w:val="51D53FD0"/>
    <w:rsid w:val="527F0375"/>
    <w:rsid w:val="5287241E"/>
    <w:rsid w:val="528D4348"/>
    <w:rsid w:val="52BF3EA5"/>
    <w:rsid w:val="52E5462F"/>
    <w:rsid w:val="53030193"/>
    <w:rsid w:val="531427EC"/>
    <w:rsid w:val="531C785E"/>
    <w:rsid w:val="533770C8"/>
    <w:rsid w:val="5338243A"/>
    <w:rsid w:val="53BD0CC2"/>
    <w:rsid w:val="53E84DC7"/>
    <w:rsid w:val="54091EFA"/>
    <w:rsid w:val="543B42DA"/>
    <w:rsid w:val="54481E7C"/>
    <w:rsid w:val="54985DE1"/>
    <w:rsid w:val="54E64A90"/>
    <w:rsid w:val="54EF1C22"/>
    <w:rsid w:val="54F43EB0"/>
    <w:rsid w:val="55025399"/>
    <w:rsid w:val="552F21B3"/>
    <w:rsid w:val="55432178"/>
    <w:rsid w:val="55631682"/>
    <w:rsid w:val="55913DE9"/>
    <w:rsid w:val="55B36956"/>
    <w:rsid w:val="55BC0A87"/>
    <w:rsid w:val="55C44EE3"/>
    <w:rsid w:val="55CD6DBF"/>
    <w:rsid w:val="55D409AB"/>
    <w:rsid w:val="560E70A6"/>
    <w:rsid w:val="564C33E3"/>
    <w:rsid w:val="565A5E3A"/>
    <w:rsid w:val="56AA311A"/>
    <w:rsid w:val="56B357D4"/>
    <w:rsid w:val="576B630C"/>
    <w:rsid w:val="57906076"/>
    <w:rsid w:val="57E207EA"/>
    <w:rsid w:val="57F77E8D"/>
    <w:rsid w:val="584101D8"/>
    <w:rsid w:val="5841256A"/>
    <w:rsid w:val="584366A5"/>
    <w:rsid w:val="58464AEC"/>
    <w:rsid w:val="58D37D03"/>
    <w:rsid w:val="58F80B81"/>
    <w:rsid w:val="59171D29"/>
    <w:rsid w:val="594B64BC"/>
    <w:rsid w:val="59C1394B"/>
    <w:rsid w:val="59E4333B"/>
    <w:rsid w:val="5A327175"/>
    <w:rsid w:val="5A461F67"/>
    <w:rsid w:val="5A4D12DB"/>
    <w:rsid w:val="5AA95942"/>
    <w:rsid w:val="5ACF0D18"/>
    <w:rsid w:val="5ADC28AF"/>
    <w:rsid w:val="5B484DCB"/>
    <w:rsid w:val="5B9A1A90"/>
    <w:rsid w:val="5BEA616D"/>
    <w:rsid w:val="5C620610"/>
    <w:rsid w:val="5C7C27CC"/>
    <w:rsid w:val="5C8E6646"/>
    <w:rsid w:val="5C9C024C"/>
    <w:rsid w:val="5CA1473C"/>
    <w:rsid w:val="5CC02C36"/>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2C4480F"/>
    <w:rsid w:val="62DE12EC"/>
    <w:rsid w:val="63B16DA6"/>
    <w:rsid w:val="63E61662"/>
    <w:rsid w:val="64325BAA"/>
    <w:rsid w:val="6474563E"/>
    <w:rsid w:val="64DD2E2F"/>
    <w:rsid w:val="64EA3900"/>
    <w:rsid w:val="650C79CC"/>
    <w:rsid w:val="651F0B40"/>
    <w:rsid w:val="654A3BA1"/>
    <w:rsid w:val="65720792"/>
    <w:rsid w:val="65727ED4"/>
    <w:rsid w:val="658D11B9"/>
    <w:rsid w:val="65A15618"/>
    <w:rsid w:val="65A86DAB"/>
    <w:rsid w:val="660467A7"/>
    <w:rsid w:val="661139E9"/>
    <w:rsid w:val="66471D7C"/>
    <w:rsid w:val="667D6EFB"/>
    <w:rsid w:val="667E1963"/>
    <w:rsid w:val="66FD7813"/>
    <w:rsid w:val="67825ED9"/>
    <w:rsid w:val="67A0385B"/>
    <w:rsid w:val="67B37940"/>
    <w:rsid w:val="686C2A53"/>
    <w:rsid w:val="688D3066"/>
    <w:rsid w:val="689C4BB9"/>
    <w:rsid w:val="68A245E2"/>
    <w:rsid w:val="68B0544A"/>
    <w:rsid w:val="68F117DF"/>
    <w:rsid w:val="690F3CAF"/>
    <w:rsid w:val="6952799E"/>
    <w:rsid w:val="69BB2BEC"/>
    <w:rsid w:val="6A0C28CE"/>
    <w:rsid w:val="6A650A4D"/>
    <w:rsid w:val="6A6D7295"/>
    <w:rsid w:val="6A9F07BD"/>
    <w:rsid w:val="6B7060C6"/>
    <w:rsid w:val="6B8D6867"/>
    <w:rsid w:val="6BB46B95"/>
    <w:rsid w:val="6C60029B"/>
    <w:rsid w:val="6C927168"/>
    <w:rsid w:val="6CDC3602"/>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0B7BF9"/>
    <w:rsid w:val="721C092E"/>
    <w:rsid w:val="72345922"/>
    <w:rsid w:val="723D7934"/>
    <w:rsid w:val="727266B8"/>
    <w:rsid w:val="72804A5F"/>
    <w:rsid w:val="72C81D24"/>
    <w:rsid w:val="73510736"/>
    <w:rsid w:val="73772C48"/>
    <w:rsid w:val="73B34B68"/>
    <w:rsid w:val="73C87749"/>
    <w:rsid w:val="74003E23"/>
    <w:rsid w:val="742D20BE"/>
    <w:rsid w:val="74300B51"/>
    <w:rsid w:val="74373E1F"/>
    <w:rsid w:val="74557B08"/>
    <w:rsid w:val="745909D3"/>
    <w:rsid w:val="74757604"/>
    <w:rsid w:val="756026FD"/>
    <w:rsid w:val="757027FD"/>
    <w:rsid w:val="764C7835"/>
    <w:rsid w:val="76606237"/>
    <w:rsid w:val="76BC0040"/>
    <w:rsid w:val="76E97240"/>
    <w:rsid w:val="771B1EBE"/>
    <w:rsid w:val="77547F95"/>
    <w:rsid w:val="77581BDC"/>
    <w:rsid w:val="778155EB"/>
    <w:rsid w:val="77DF77F2"/>
    <w:rsid w:val="77F53FBA"/>
    <w:rsid w:val="77FE3901"/>
    <w:rsid w:val="78A056D5"/>
    <w:rsid w:val="78B612F9"/>
    <w:rsid w:val="78B86F01"/>
    <w:rsid w:val="78BD180A"/>
    <w:rsid w:val="78BD2213"/>
    <w:rsid w:val="78CA62AD"/>
    <w:rsid w:val="79383F91"/>
    <w:rsid w:val="794E20BB"/>
    <w:rsid w:val="796C56F2"/>
    <w:rsid w:val="79CE33EF"/>
    <w:rsid w:val="79DA4CD9"/>
    <w:rsid w:val="79DC3C10"/>
    <w:rsid w:val="79F32D29"/>
    <w:rsid w:val="7A3031E0"/>
    <w:rsid w:val="7A5F3AF6"/>
    <w:rsid w:val="7A640644"/>
    <w:rsid w:val="7A66765A"/>
    <w:rsid w:val="7AB07AB2"/>
    <w:rsid w:val="7ADE6653"/>
    <w:rsid w:val="7B7C3CE3"/>
    <w:rsid w:val="7B84301F"/>
    <w:rsid w:val="7B937DA9"/>
    <w:rsid w:val="7BB813CF"/>
    <w:rsid w:val="7BFB159A"/>
    <w:rsid w:val="7C240326"/>
    <w:rsid w:val="7C5365EF"/>
    <w:rsid w:val="7C5F4A2B"/>
    <w:rsid w:val="7C6E6F9B"/>
    <w:rsid w:val="7C724B1A"/>
    <w:rsid w:val="7D4433F2"/>
    <w:rsid w:val="7DDB79A8"/>
    <w:rsid w:val="7DE6477E"/>
    <w:rsid w:val="7E17286F"/>
    <w:rsid w:val="7E265B35"/>
    <w:rsid w:val="7E395726"/>
    <w:rsid w:val="7E54076D"/>
    <w:rsid w:val="7E6B34F6"/>
    <w:rsid w:val="7E836D97"/>
    <w:rsid w:val="7E8E73EF"/>
    <w:rsid w:val="7ED724E7"/>
    <w:rsid w:val="7EF23A73"/>
    <w:rsid w:val="7F523D4E"/>
    <w:rsid w:val="7F7D4793"/>
    <w:rsid w:val="7F8D36BC"/>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5792</Words>
  <Characters>6502</Characters>
  <Lines>16</Lines>
  <Paragraphs>4</Paragraphs>
  <TotalTime>4</TotalTime>
  <ScaleCrop>false</ScaleCrop>
  <LinksUpToDate>false</LinksUpToDate>
  <CharactersWithSpaces>6517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Administrator</cp:lastModifiedBy>
  <cp:lastPrinted>2023-08-10T09:16:00Z</cp:lastPrinted>
  <dcterms:modified xsi:type="dcterms:W3CDTF">2025-08-20T02:50:30Z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eyJoZGlkIjoiZWIxMjljYzg0YjNkZWYyNzkzZWEzYTFmY2FmNjI1ZjEifQ==</vt:lpwstr>
  </property>
</Properties>
</file>