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C23FD">
      <w:pPr>
        <w:pStyle w:val="4"/>
        <w:shd w:val="clear" w:color="auto" w:fill="FFFFFF"/>
        <w:snapToGrid w:val="0"/>
        <w:jc w:val="center"/>
        <w:rPr>
          <w:b/>
          <w:bCs/>
          <w:sz w:val="44"/>
          <w:szCs w:val="44"/>
        </w:rPr>
      </w:pPr>
      <w:r>
        <w:rPr>
          <w:rFonts w:hint="eastAsia"/>
          <w:b/>
          <w:bCs/>
          <w:sz w:val="44"/>
          <w:szCs w:val="44"/>
        </w:rPr>
        <w:t>重庆市江津区民政局（本级）</w:t>
      </w:r>
    </w:p>
    <w:p w14:paraId="6005AD55">
      <w:pPr>
        <w:pStyle w:val="4"/>
        <w:shd w:val="clear" w:color="auto" w:fill="FFFFFF"/>
        <w:snapToGrid w:val="0"/>
        <w:jc w:val="center"/>
        <w:rPr>
          <w:sz w:val="44"/>
          <w:szCs w:val="44"/>
        </w:rPr>
      </w:pPr>
      <w:r>
        <w:rPr>
          <w:rFonts w:hint="eastAsia"/>
          <w:b/>
          <w:bCs/>
          <w:sz w:val="44"/>
          <w:szCs w:val="44"/>
        </w:rPr>
        <w:t>202</w:t>
      </w:r>
      <w:r>
        <w:rPr>
          <w:rFonts w:hint="eastAsia"/>
          <w:b/>
          <w:bCs/>
          <w:sz w:val="44"/>
          <w:szCs w:val="44"/>
          <w:lang w:val="en-US" w:eastAsia="zh-CN"/>
        </w:rPr>
        <w:t>3</w:t>
      </w:r>
      <w:r>
        <w:rPr>
          <w:rFonts w:hint="eastAsia"/>
          <w:b/>
          <w:bCs/>
          <w:sz w:val="44"/>
          <w:szCs w:val="44"/>
        </w:rPr>
        <w:t>年度部门决算情况说明</w:t>
      </w:r>
    </w:p>
    <w:p w14:paraId="5DAA5A32">
      <w:pPr>
        <w:pStyle w:val="4"/>
        <w:shd w:val="clear" w:color="auto" w:fill="FFFFFF"/>
        <w:snapToGrid w:val="0"/>
      </w:pPr>
      <w:r>
        <w:rPr>
          <w:rFonts w:hint="eastAsia"/>
        </w:rPr>
        <w:t> </w:t>
      </w:r>
    </w:p>
    <w:p w14:paraId="554AC0BA">
      <w:pPr>
        <w:pStyle w:val="4"/>
        <w:shd w:val="clear" w:color="auto" w:fill="FFFFFF"/>
        <w:snapToGrid w:val="0"/>
        <w:ind w:firstLine="663" w:firstLineChars="200"/>
        <w:rPr>
          <w:rStyle w:val="7"/>
          <w:sz w:val="33"/>
          <w:szCs w:val="33"/>
        </w:rPr>
      </w:pPr>
      <w:r>
        <w:rPr>
          <w:rStyle w:val="7"/>
          <w:rFonts w:hint="eastAsia"/>
          <w:sz w:val="33"/>
          <w:szCs w:val="33"/>
        </w:rPr>
        <w:t>一、部门基本情况</w:t>
      </w:r>
    </w:p>
    <w:p w14:paraId="6C248728">
      <w:pPr>
        <w:pStyle w:val="4"/>
        <w:shd w:val="clear" w:color="auto" w:fill="FFFFFF"/>
        <w:snapToGrid w:val="0"/>
        <w:ind w:firstLine="542" w:firstLineChars="200"/>
        <w:rPr>
          <w:rStyle w:val="7"/>
          <w:sz w:val="27"/>
          <w:szCs w:val="27"/>
        </w:rPr>
      </w:pPr>
      <w:r>
        <w:rPr>
          <w:rStyle w:val="7"/>
          <w:rFonts w:hint="eastAsia"/>
          <w:sz w:val="27"/>
          <w:szCs w:val="27"/>
        </w:rPr>
        <w:t>（一）职能职责</w:t>
      </w:r>
    </w:p>
    <w:p w14:paraId="329FB227">
      <w:pPr>
        <w:pStyle w:val="4"/>
        <w:widowControl w:val="0"/>
        <w:spacing w:before="0" w:beforeAutospacing="0" w:after="0" w:afterAutospacing="0" w:line="579" w:lineRule="exact"/>
        <w:ind w:firstLine="640" w:firstLineChars="200"/>
        <w:jc w:val="both"/>
        <w:rPr>
          <w:rFonts w:eastAsia="方正仿宋_GBK"/>
          <w:spacing w:val="-11"/>
          <w:kern w:val="2"/>
          <w:sz w:val="32"/>
          <w:szCs w:val="32"/>
        </w:rPr>
      </w:pPr>
      <w:r>
        <w:rPr>
          <w:rFonts w:eastAsia="方正仿宋_GBK" w:cs="Times New Roman"/>
          <w:sz w:val="32"/>
          <w:szCs w:val="32"/>
        </w:rPr>
        <w:t>1.拟订</w:t>
      </w:r>
      <w:r>
        <w:rPr>
          <w:rFonts w:hint="eastAsia" w:eastAsia="方正仿宋_GBK" w:cs="Times New Roman"/>
          <w:sz w:val="32"/>
          <w:szCs w:val="32"/>
        </w:rPr>
        <w:t>并组织实施民政事业发展</w:t>
      </w:r>
      <w:r>
        <w:rPr>
          <w:rFonts w:hint="eastAsia" w:eastAsia="方正仿宋_GBK"/>
          <w:spacing w:val="-11"/>
          <w:kern w:val="2"/>
          <w:sz w:val="32"/>
          <w:szCs w:val="32"/>
        </w:rPr>
        <w:t>规划、措施。</w:t>
      </w:r>
    </w:p>
    <w:p w14:paraId="27CFE812">
      <w:pPr>
        <w:pStyle w:val="4"/>
        <w:widowControl w:val="0"/>
        <w:spacing w:before="0" w:beforeAutospacing="0" w:after="0" w:afterAutospacing="0" w:line="579" w:lineRule="exact"/>
        <w:ind w:firstLine="640" w:firstLineChars="200"/>
        <w:jc w:val="both"/>
        <w:rPr>
          <w:rFonts w:eastAsia="方正仿宋_GBK" w:cs="Times New Roman"/>
          <w:sz w:val="32"/>
          <w:szCs w:val="32"/>
        </w:rPr>
      </w:pPr>
      <w:r>
        <w:rPr>
          <w:rFonts w:eastAsia="方正仿宋_GBK" w:cs="Times New Roman"/>
          <w:sz w:val="32"/>
          <w:szCs w:val="32"/>
        </w:rPr>
        <w:t>2.贯彻执行</w:t>
      </w:r>
      <w:r>
        <w:rPr>
          <w:rFonts w:hint="eastAsia" w:eastAsia="方正仿宋_GBK" w:cs="Times New Roman"/>
          <w:sz w:val="32"/>
          <w:szCs w:val="32"/>
        </w:rPr>
        <w:t>社会团体、基金会、社会服务机构等社会组织登记和监督管理办法，依法对社会组织进行登记管理和执法监督。</w:t>
      </w:r>
    </w:p>
    <w:p w14:paraId="3C16CE10">
      <w:pPr>
        <w:pStyle w:val="4"/>
        <w:widowControl w:val="0"/>
        <w:spacing w:before="0" w:beforeAutospacing="0" w:after="0" w:afterAutospacing="0" w:line="579" w:lineRule="exact"/>
        <w:ind w:firstLine="632"/>
        <w:jc w:val="both"/>
        <w:rPr>
          <w:rFonts w:eastAsia="方正仿宋_GBK" w:cs="Times New Roman"/>
          <w:sz w:val="32"/>
          <w:szCs w:val="32"/>
        </w:rPr>
      </w:pPr>
      <w:r>
        <w:rPr>
          <w:rFonts w:eastAsia="方正仿宋_GBK" w:cs="Times New Roman"/>
          <w:sz w:val="32"/>
          <w:szCs w:val="32"/>
        </w:rPr>
        <w:t>3.</w:t>
      </w:r>
      <w:r>
        <w:rPr>
          <w:rFonts w:hint="eastAsia" w:eastAsia="方正仿宋_GBK" w:cs="Times New Roman"/>
          <w:sz w:val="32"/>
          <w:szCs w:val="32"/>
        </w:rPr>
        <w:t>贯彻执行社会救助政策、标准，统筹全区社会救助体系建设，负责城乡居民最低生活保障、特困人员救助供养、临时救助、生活无着流浪乞讨人员救助工作。</w:t>
      </w:r>
    </w:p>
    <w:p w14:paraId="0CA2C965">
      <w:pPr>
        <w:pStyle w:val="4"/>
        <w:widowControl w:val="0"/>
        <w:spacing w:before="0" w:beforeAutospacing="0" w:after="0" w:afterAutospacing="0" w:line="579" w:lineRule="exact"/>
        <w:ind w:firstLine="632"/>
        <w:jc w:val="both"/>
        <w:rPr>
          <w:rFonts w:eastAsia="方正仿宋_GBK" w:cs="Times New Roman"/>
          <w:sz w:val="32"/>
          <w:szCs w:val="32"/>
        </w:rPr>
      </w:pPr>
      <w:r>
        <w:rPr>
          <w:rFonts w:eastAsia="方正仿宋_GBK" w:cs="Times New Roman"/>
          <w:sz w:val="32"/>
          <w:szCs w:val="32"/>
        </w:rPr>
        <w:t>4.</w:t>
      </w:r>
      <w:r>
        <w:rPr>
          <w:rFonts w:hint="eastAsia" w:eastAsia="方正仿宋_GBK" w:cs="Times New Roman"/>
          <w:sz w:val="32"/>
          <w:szCs w:val="32"/>
        </w:rPr>
        <w:t>拟订全区城乡基层群众自治建设和社区治理措施，指导城乡社区治理体系和治理能力建设，提出加强和改进城乡基层政权建设的建议，推动基层民主政治建设。</w:t>
      </w:r>
    </w:p>
    <w:p w14:paraId="47A8F138">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5.</w:t>
      </w:r>
      <w:r>
        <w:rPr>
          <w:rFonts w:hint="eastAsia" w:ascii="宋体" w:hAnsi="宋体" w:eastAsia="方正仿宋_GBK" w:cs="Times New Roman"/>
          <w:sz w:val="32"/>
          <w:szCs w:val="32"/>
        </w:rPr>
        <w:t>贯彻执行行政区划、行政区域界限管理和地名管理政策、标准，</w:t>
      </w:r>
      <w:r>
        <w:rPr>
          <w:rFonts w:ascii="宋体" w:hAnsi="宋体" w:eastAsia="方正仿宋_GBK" w:cs="Times New Roman"/>
          <w:sz w:val="32"/>
          <w:szCs w:val="32"/>
        </w:rPr>
        <w:t>按权限</w:t>
      </w:r>
      <w:r>
        <w:rPr>
          <w:rFonts w:hint="eastAsia" w:ascii="宋体" w:hAnsi="宋体" w:eastAsia="方正仿宋_GBK" w:cs="Times New Roman"/>
          <w:sz w:val="32"/>
          <w:szCs w:val="32"/>
        </w:rPr>
        <w:t>负责报市政府审批的行政区划设立、命名、变更和政府驻地迁移相关工作，负责区内行政区域界线的勘定和管理工作，负责地名管理工作。</w:t>
      </w:r>
    </w:p>
    <w:p w14:paraId="739F6C71">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6.</w:t>
      </w:r>
      <w:r>
        <w:rPr>
          <w:rFonts w:hint="eastAsia" w:ascii="宋体" w:hAnsi="宋体" w:eastAsia="方正仿宋_GBK" w:cs="Times New Roman"/>
          <w:sz w:val="32"/>
          <w:szCs w:val="32"/>
        </w:rPr>
        <w:t>贯彻执行婚姻管理政策，推进婚俗改革。</w:t>
      </w:r>
    </w:p>
    <w:p w14:paraId="3A319EDF">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7.</w:t>
      </w:r>
      <w:r>
        <w:rPr>
          <w:rFonts w:hint="eastAsia" w:ascii="宋体" w:hAnsi="宋体" w:eastAsia="方正仿宋_GBK" w:cs="Times New Roman"/>
          <w:sz w:val="32"/>
          <w:szCs w:val="32"/>
        </w:rPr>
        <w:t>贯彻执行殡葬管理政策、服务规范，推进殡葬改革。</w:t>
      </w:r>
    </w:p>
    <w:p w14:paraId="3691D7F4">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8.</w:t>
      </w:r>
      <w:r>
        <w:rPr>
          <w:rFonts w:hint="eastAsia" w:ascii="宋体" w:hAnsi="宋体" w:eastAsia="方正仿宋_GBK" w:cs="Times New Roman"/>
          <w:sz w:val="32"/>
          <w:szCs w:val="32"/>
        </w:rPr>
        <w:t>统筹推进、督促指导、监督管理养老服务工作，拟订养老服务体系建设规划、扶持政策</w:t>
      </w:r>
      <w:r>
        <w:rPr>
          <w:rFonts w:ascii="宋体" w:hAnsi="宋体" w:eastAsia="方正仿宋_GBK" w:cs="Times New Roman"/>
          <w:sz w:val="32"/>
          <w:szCs w:val="32"/>
        </w:rPr>
        <w:t>措施</w:t>
      </w:r>
      <w:r>
        <w:rPr>
          <w:rFonts w:hint="eastAsia" w:ascii="宋体" w:hAnsi="宋体" w:eastAsia="方正仿宋_GBK" w:cs="Times New Roman"/>
          <w:sz w:val="32"/>
          <w:szCs w:val="32"/>
        </w:rPr>
        <w:t>并组织实施，承担老年人福利和特殊困难老年人救助工作。</w:t>
      </w:r>
    </w:p>
    <w:p w14:paraId="38C56A16">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9.</w:t>
      </w:r>
      <w:r>
        <w:rPr>
          <w:rFonts w:hint="eastAsia" w:ascii="宋体" w:hAnsi="宋体" w:eastAsia="方正仿宋_GBK" w:cs="Times New Roman"/>
          <w:sz w:val="32"/>
          <w:szCs w:val="32"/>
        </w:rPr>
        <w:t>贯彻执行残疾人权益保护政策，统筹推进残疾人福利制度建设和康复辅助器具产业发展。</w:t>
      </w:r>
    </w:p>
    <w:p w14:paraId="50E2E85F">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10.</w:t>
      </w:r>
      <w:r>
        <w:rPr>
          <w:rFonts w:hint="eastAsia" w:ascii="宋体" w:hAnsi="宋体" w:eastAsia="方正仿宋_GBK" w:cs="Times New Roman"/>
          <w:sz w:val="32"/>
          <w:szCs w:val="32"/>
        </w:rPr>
        <w:t>贯彻执行儿童福利、孤弃儿童保障、儿童收养、儿童救助保护政策</w:t>
      </w:r>
      <w:r>
        <w:rPr>
          <w:rFonts w:ascii="宋体" w:hAnsi="宋体" w:eastAsia="方正仿宋_GBK" w:cs="Times New Roman"/>
          <w:sz w:val="32"/>
          <w:szCs w:val="32"/>
        </w:rPr>
        <w:t>、标准</w:t>
      </w:r>
      <w:r>
        <w:rPr>
          <w:rFonts w:hint="eastAsia" w:ascii="宋体" w:hAnsi="宋体" w:eastAsia="方正仿宋_GBK" w:cs="Times New Roman"/>
          <w:sz w:val="32"/>
          <w:szCs w:val="32"/>
        </w:rPr>
        <w:t>，健全农村留守儿童关爱服务体系和困境儿童保障制度。</w:t>
      </w:r>
    </w:p>
    <w:p w14:paraId="657AA5C4">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11.</w:t>
      </w:r>
      <w:r>
        <w:rPr>
          <w:rFonts w:hint="eastAsia" w:ascii="宋体" w:hAnsi="宋体" w:eastAsia="方正仿宋_GBK" w:cs="Times New Roman"/>
          <w:sz w:val="32"/>
          <w:szCs w:val="32"/>
        </w:rPr>
        <w:t>贯彻执行促进慈善事业发展政策，指导社会捐助工作，负责福利彩票管理</w:t>
      </w:r>
      <w:r>
        <w:rPr>
          <w:rFonts w:ascii="宋体" w:hAnsi="宋体" w:eastAsia="方正仿宋_GBK" w:cs="Times New Roman"/>
          <w:sz w:val="32"/>
          <w:szCs w:val="32"/>
        </w:rPr>
        <w:t>相关</w:t>
      </w:r>
      <w:r>
        <w:rPr>
          <w:rFonts w:hint="eastAsia" w:ascii="宋体" w:hAnsi="宋体" w:eastAsia="方正仿宋_GBK" w:cs="Times New Roman"/>
          <w:sz w:val="32"/>
          <w:szCs w:val="32"/>
        </w:rPr>
        <w:t>工作。</w:t>
      </w:r>
    </w:p>
    <w:p w14:paraId="12C923A5">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12.</w:t>
      </w:r>
      <w:r>
        <w:rPr>
          <w:rFonts w:hint="eastAsia" w:ascii="宋体" w:hAnsi="宋体" w:eastAsia="方正仿宋_GBK" w:cs="Times New Roman"/>
          <w:sz w:val="32"/>
          <w:szCs w:val="32"/>
        </w:rPr>
        <w:t>贯彻执行社会工作、志愿服务政策和标准，会同有关部门推进社会工作人才队伍建设和志愿者队伍建设。</w:t>
      </w:r>
    </w:p>
    <w:p w14:paraId="5908C05D">
      <w:pPr>
        <w:spacing w:line="579" w:lineRule="exact"/>
        <w:ind w:firstLine="632"/>
        <w:rPr>
          <w:rFonts w:ascii="宋体" w:hAnsi="宋体" w:eastAsia="方正仿宋_GBK" w:cs="Times New Roman"/>
          <w:sz w:val="32"/>
          <w:szCs w:val="32"/>
        </w:rPr>
      </w:pPr>
      <w:r>
        <w:rPr>
          <w:rFonts w:ascii="宋体" w:hAnsi="宋体" w:eastAsia="方正仿宋_GBK" w:cs="Times New Roman"/>
          <w:sz w:val="32"/>
          <w:szCs w:val="32"/>
        </w:rPr>
        <w:t>13.</w:t>
      </w:r>
      <w:r>
        <w:rPr>
          <w:rFonts w:hint="eastAsia" w:ascii="宋体" w:hAnsi="宋体" w:eastAsia="方正仿宋_GBK" w:cs="Times New Roman"/>
          <w:sz w:val="32"/>
          <w:szCs w:val="32"/>
        </w:rPr>
        <w:t>承担法律、法规、规章、政策规定的应急、安全、稳定等相关工作职责。</w:t>
      </w:r>
    </w:p>
    <w:p w14:paraId="00F3DC9D">
      <w:pPr>
        <w:spacing w:line="579" w:lineRule="exact"/>
        <w:ind w:firstLine="632"/>
        <w:rPr>
          <w:rFonts w:ascii="宋体" w:hAnsi="宋体" w:eastAsia="方正仿宋_GBK" w:cs="Times New Roman"/>
          <w:kern w:val="0"/>
          <w:sz w:val="32"/>
          <w:szCs w:val="32"/>
        </w:rPr>
      </w:pPr>
      <w:r>
        <w:rPr>
          <w:rFonts w:ascii="宋体" w:hAnsi="宋体" w:eastAsia="方正仿宋_GBK" w:cs="Times New Roman"/>
          <w:kern w:val="0"/>
          <w:sz w:val="32"/>
          <w:szCs w:val="32"/>
        </w:rPr>
        <w:t>14.</w:t>
      </w:r>
      <w:r>
        <w:rPr>
          <w:rFonts w:hint="eastAsia" w:ascii="宋体" w:hAnsi="宋体" w:eastAsia="方正仿宋_GBK" w:cs="Times New Roman"/>
          <w:kern w:val="0"/>
          <w:sz w:val="32"/>
          <w:szCs w:val="32"/>
        </w:rPr>
        <w:t>完成区委、区政府交办的其他任务。</w:t>
      </w:r>
    </w:p>
    <w:p w14:paraId="2C39823A">
      <w:pPr>
        <w:spacing w:line="579" w:lineRule="exact"/>
        <w:ind w:firstLine="632"/>
        <w:rPr>
          <w:rFonts w:ascii="宋体" w:hAnsi="宋体" w:eastAsia="方正仿宋_GBK" w:cs="Times New Roman"/>
          <w:kern w:val="0"/>
          <w:sz w:val="32"/>
          <w:szCs w:val="32"/>
        </w:rPr>
      </w:pPr>
      <w:r>
        <w:rPr>
          <w:rFonts w:ascii="宋体" w:hAnsi="宋体" w:eastAsia="方正仿宋_GBK" w:cs="Times New Roman"/>
          <w:kern w:val="0"/>
          <w:sz w:val="32"/>
          <w:szCs w:val="32"/>
        </w:rPr>
        <w:t>15.</w:t>
      </w:r>
      <w:r>
        <w:rPr>
          <w:rFonts w:hint="eastAsia" w:ascii="宋体" w:hAnsi="宋体" w:eastAsia="方正仿宋_GBK" w:cs="Times New Roman"/>
          <w:kern w:val="0"/>
          <w:sz w:val="32"/>
          <w:szCs w:val="32"/>
        </w:rPr>
        <w:t>职能转变。重庆市江津区民政局应强化基本民生保障职能，为困难群众、孤老孤残孤儿等特殊困难群体提供基本社会服务，促进资源向薄弱地区、领域、环节倾斜。积极培育社会组织、社会工作者等多元参与主体，推动搭建基层社会治理和社区公共服务平台。</w:t>
      </w:r>
    </w:p>
    <w:p w14:paraId="236857FE">
      <w:pPr>
        <w:spacing w:line="579" w:lineRule="exact"/>
        <w:ind w:firstLine="632"/>
        <w:rPr>
          <w:rFonts w:ascii="宋体" w:hAnsi="宋体" w:eastAsia="方正仿宋_GBK" w:cs="Times New Roman"/>
          <w:kern w:val="0"/>
          <w:sz w:val="32"/>
          <w:szCs w:val="32"/>
        </w:rPr>
      </w:pPr>
      <w:r>
        <w:rPr>
          <w:rFonts w:ascii="宋体" w:hAnsi="宋体" w:eastAsia="方正仿宋_GBK" w:cs="Times New Roman"/>
          <w:kern w:val="0"/>
          <w:sz w:val="32"/>
          <w:szCs w:val="32"/>
        </w:rPr>
        <w:t>16.</w:t>
      </w:r>
      <w:r>
        <w:rPr>
          <w:rFonts w:hint="eastAsia" w:ascii="宋体" w:hAnsi="宋体" w:eastAsia="方正仿宋_GBK" w:cs="Times New Roman"/>
          <w:kern w:val="0"/>
          <w:sz w:val="32"/>
          <w:szCs w:val="32"/>
        </w:rPr>
        <w:t>有关职责分工。</w:t>
      </w:r>
    </w:p>
    <w:p w14:paraId="61FA66A0">
      <w:pPr>
        <w:spacing w:line="579" w:lineRule="exact"/>
        <w:ind w:firstLine="632"/>
        <w:rPr>
          <w:rFonts w:ascii="宋体" w:hAnsi="宋体" w:eastAsia="方正仿宋_GBK" w:cs="Times New Roman"/>
          <w:kern w:val="0"/>
          <w:sz w:val="32"/>
          <w:szCs w:val="32"/>
        </w:rPr>
      </w:pPr>
      <w:r>
        <w:rPr>
          <w:rFonts w:ascii="宋体" w:hAnsi="宋体" w:eastAsia="方正仿宋_GBK" w:cs="Times New Roman"/>
          <w:kern w:val="0"/>
          <w:sz w:val="32"/>
          <w:szCs w:val="32"/>
        </w:rPr>
        <w:t>（1）</w:t>
      </w:r>
      <w:r>
        <w:rPr>
          <w:rFonts w:hint="eastAsia" w:ascii="宋体" w:hAnsi="宋体" w:eastAsia="方正仿宋_GBK" w:cs="Times New Roman"/>
          <w:kern w:val="0"/>
          <w:sz w:val="32"/>
          <w:szCs w:val="32"/>
        </w:rPr>
        <w:t>与重庆市江津区卫生健康委员会的有关职责分工。重庆市江津区民政局负责统筹推进、督促指导、监督管理养老服务工作，拟订全区养老服务体系建设规划、扶持政策</w:t>
      </w:r>
      <w:r>
        <w:rPr>
          <w:rFonts w:ascii="宋体" w:hAnsi="宋体" w:eastAsia="方正仿宋_GBK" w:cs="Times New Roman"/>
          <w:kern w:val="0"/>
          <w:sz w:val="32"/>
          <w:szCs w:val="32"/>
        </w:rPr>
        <w:t>措施</w:t>
      </w:r>
      <w:r>
        <w:rPr>
          <w:rFonts w:hint="eastAsia" w:ascii="宋体" w:hAnsi="宋体" w:eastAsia="方正仿宋_GBK" w:cs="Times New Roman"/>
          <w:kern w:val="0"/>
          <w:sz w:val="32"/>
          <w:szCs w:val="32"/>
        </w:rPr>
        <w:t>并组织实施，承担老年人福利和特殊困难老年人救助工作。重庆市江津区卫生健康委员会负责拟订应对人口老龄化、医养结合政策措施，综合协调、督促指导、组织推进老龄事业发展，承担老年疾病防治、老年人医疗照护、老年人心理健康与关怀服务等老年健康工作，负责区老龄工作委员会日常工作。</w:t>
      </w:r>
    </w:p>
    <w:p w14:paraId="2CED02FB">
      <w:pPr>
        <w:spacing w:line="579" w:lineRule="exact"/>
        <w:ind w:firstLine="632"/>
        <w:rPr>
          <w:rFonts w:ascii="宋体" w:hAnsi="宋体" w:eastAsia="方正仿宋_GBK" w:cs="Times New Roman"/>
          <w:kern w:val="0"/>
          <w:sz w:val="32"/>
          <w:szCs w:val="32"/>
        </w:rPr>
      </w:pPr>
      <w:r>
        <w:rPr>
          <w:rFonts w:ascii="宋体" w:hAnsi="宋体" w:eastAsia="方正仿宋_GBK" w:cs="Times New Roman"/>
          <w:kern w:val="0"/>
          <w:sz w:val="32"/>
          <w:szCs w:val="32"/>
        </w:rPr>
        <w:t>（2）</w:t>
      </w:r>
      <w:r>
        <w:rPr>
          <w:rFonts w:hint="eastAsia" w:ascii="宋体" w:hAnsi="宋体" w:eastAsia="方正仿宋_GBK" w:cs="Times New Roman"/>
          <w:kern w:val="0"/>
          <w:sz w:val="32"/>
          <w:szCs w:val="32"/>
        </w:rPr>
        <w:t>与重庆市江津区规划和自然资源局的有关职责分工。重庆市江津区民政局会同重庆市江津区规划和自然资源局组织编制公布行政区划信息的重庆市江津区行政区划图。</w:t>
      </w:r>
    </w:p>
    <w:p w14:paraId="5F8181FE">
      <w:pPr>
        <w:autoSpaceDN w:val="0"/>
        <w:adjustRightInd w:val="0"/>
        <w:spacing w:line="560" w:lineRule="exact"/>
        <w:ind w:firstLine="540" w:firstLineChars="200"/>
        <w:rPr>
          <w:rStyle w:val="7"/>
          <w:sz w:val="27"/>
          <w:szCs w:val="27"/>
        </w:rPr>
      </w:pPr>
      <w:r>
        <w:rPr>
          <w:rFonts w:hint="eastAsia"/>
          <w:sz w:val="27"/>
          <w:szCs w:val="27"/>
        </w:rPr>
        <w:t xml:space="preserve">  </w:t>
      </w:r>
      <w:r>
        <w:rPr>
          <w:rStyle w:val="7"/>
          <w:rFonts w:hint="eastAsia"/>
          <w:sz w:val="27"/>
          <w:szCs w:val="27"/>
        </w:rPr>
        <w:t>（二）机构设置</w:t>
      </w:r>
    </w:p>
    <w:p w14:paraId="4F8E7E02">
      <w:pPr>
        <w:autoSpaceDN w:val="0"/>
        <w:adjustRightInd w:val="0"/>
        <w:spacing w:line="560" w:lineRule="exact"/>
        <w:ind w:firstLine="640" w:firstLineChars="200"/>
        <w:rPr>
          <w:rFonts w:eastAsia="方正仿宋_GBK" w:cs="Times New Roman"/>
          <w:kern w:val="0"/>
          <w:sz w:val="32"/>
          <w:szCs w:val="32"/>
        </w:rPr>
      </w:pPr>
      <w:r>
        <w:rPr>
          <w:rFonts w:hint="eastAsia" w:ascii="方正仿宋_GBK" w:eastAsia="方正仿宋_GBK" w:cs="仿宋_GB2312"/>
          <w:sz w:val="32"/>
          <w:szCs w:val="32"/>
        </w:rPr>
        <w:t>区民政局机关设有8个内设科室。分别是：</w:t>
      </w:r>
      <w:r>
        <w:rPr>
          <w:rFonts w:hint="eastAsia" w:eastAsia="方正仿宋_GBK" w:cs="Times New Roman"/>
          <w:kern w:val="0"/>
          <w:sz w:val="32"/>
          <w:szCs w:val="32"/>
        </w:rPr>
        <w:t>办公室（综合执法科）</w:t>
      </w:r>
      <w:r>
        <w:rPr>
          <w:rFonts w:eastAsia="方正仿宋_GBK" w:cs="Times New Roman"/>
          <w:kern w:val="0"/>
          <w:sz w:val="32"/>
          <w:szCs w:val="32"/>
        </w:rPr>
        <w:t>、</w:t>
      </w:r>
      <w:r>
        <w:rPr>
          <w:rFonts w:hint="eastAsia" w:ascii="宋体" w:hAnsi="宋体" w:eastAsia="方正仿宋_GBK" w:cs="Times New Roman"/>
          <w:sz w:val="32"/>
          <w:szCs w:val="32"/>
        </w:rPr>
        <w:t>规划财务科</w:t>
      </w:r>
      <w:r>
        <w:rPr>
          <w:rFonts w:ascii="宋体" w:hAnsi="宋体" w:eastAsia="方正仿宋_GBK" w:cs="Times New Roman"/>
          <w:sz w:val="32"/>
          <w:szCs w:val="32"/>
        </w:rPr>
        <w:t>、</w:t>
      </w:r>
      <w:r>
        <w:rPr>
          <w:rFonts w:hint="eastAsia" w:eastAsia="方正仿宋_GBK" w:cs="Times New Roman"/>
          <w:kern w:val="0"/>
          <w:sz w:val="32"/>
          <w:szCs w:val="32"/>
        </w:rPr>
        <w:t>社会事务科（</w:t>
      </w:r>
      <w:r>
        <w:rPr>
          <w:rFonts w:hint="eastAsia" w:eastAsia="方正仿宋_GBK" w:cs="Times New Roman"/>
          <w:sz w:val="32"/>
          <w:szCs w:val="32"/>
        </w:rPr>
        <w:t>行政审批科</w:t>
      </w:r>
      <w:r>
        <w:rPr>
          <w:rFonts w:hint="eastAsia" w:eastAsia="方正仿宋_GBK" w:cs="Times New Roman"/>
          <w:kern w:val="0"/>
          <w:sz w:val="32"/>
          <w:szCs w:val="32"/>
        </w:rPr>
        <w:t>）</w:t>
      </w:r>
      <w:r>
        <w:rPr>
          <w:rFonts w:eastAsia="方正仿宋_GBK" w:cs="Times New Roman"/>
          <w:kern w:val="0"/>
          <w:sz w:val="32"/>
          <w:szCs w:val="32"/>
        </w:rPr>
        <w:t>、</w:t>
      </w:r>
      <w:r>
        <w:rPr>
          <w:rFonts w:hint="eastAsia" w:eastAsia="方正仿宋_GBK" w:cs="Times New Roman"/>
          <w:kern w:val="0"/>
          <w:sz w:val="32"/>
          <w:szCs w:val="32"/>
        </w:rPr>
        <w:t>社会救助科</w:t>
      </w:r>
      <w:r>
        <w:rPr>
          <w:rFonts w:eastAsia="方正仿宋_GBK" w:cs="Times New Roman"/>
          <w:kern w:val="0"/>
          <w:sz w:val="32"/>
          <w:szCs w:val="32"/>
        </w:rPr>
        <w:t>、</w:t>
      </w:r>
      <w:r>
        <w:rPr>
          <w:rFonts w:hint="eastAsia" w:eastAsia="方正仿宋_GBK" w:cs="Times New Roman"/>
          <w:kern w:val="0"/>
          <w:sz w:val="32"/>
          <w:szCs w:val="32"/>
        </w:rPr>
        <w:t>基层政权科（社会工作科）</w:t>
      </w:r>
      <w:r>
        <w:rPr>
          <w:rFonts w:eastAsia="方正仿宋_GBK" w:cs="Times New Roman"/>
          <w:kern w:val="0"/>
          <w:sz w:val="32"/>
          <w:szCs w:val="32"/>
        </w:rPr>
        <w:t>、</w:t>
      </w:r>
      <w:r>
        <w:rPr>
          <w:rFonts w:hint="eastAsia" w:eastAsia="方正仿宋_GBK" w:cs="Times New Roman"/>
          <w:kern w:val="0"/>
          <w:sz w:val="32"/>
          <w:szCs w:val="32"/>
        </w:rPr>
        <w:t>养老服务和儿童福利科</w:t>
      </w:r>
      <w:r>
        <w:rPr>
          <w:rFonts w:eastAsia="方正仿宋_GBK" w:cs="Times New Roman"/>
          <w:kern w:val="0"/>
          <w:sz w:val="32"/>
          <w:szCs w:val="32"/>
        </w:rPr>
        <w:t>、</w:t>
      </w:r>
      <w:r>
        <w:rPr>
          <w:rFonts w:hint="eastAsia" w:eastAsia="方正仿宋_GBK" w:cs="方正黑体_GBK"/>
          <w:kern w:val="0"/>
          <w:sz w:val="32"/>
          <w:szCs w:val="32"/>
        </w:rPr>
        <w:t>群众工作科（法制科）</w:t>
      </w:r>
      <w:r>
        <w:rPr>
          <w:rFonts w:eastAsia="方正仿宋_GBK" w:cs="方正黑体_GBK"/>
          <w:kern w:val="0"/>
          <w:sz w:val="32"/>
          <w:szCs w:val="32"/>
        </w:rPr>
        <w:t>、</w:t>
      </w:r>
      <w:r>
        <w:rPr>
          <w:rFonts w:hint="eastAsia" w:eastAsia="方正仿宋_GBK" w:cs="方正黑体_GBK"/>
          <w:kern w:val="0"/>
          <w:sz w:val="32"/>
          <w:szCs w:val="32"/>
        </w:rPr>
        <w:t>机关党委</w:t>
      </w:r>
      <w:r>
        <w:rPr>
          <w:rFonts w:eastAsia="方正仿宋_GBK" w:cs="方正黑体_GBK"/>
          <w:kern w:val="0"/>
          <w:sz w:val="32"/>
          <w:szCs w:val="32"/>
        </w:rPr>
        <w:t>。</w:t>
      </w:r>
    </w:p>
    <w:p w14:paraId="60D1DF14">
      <w:pPr>
        <w:autoSpaceDN w:val="0"/>
        <w:adjustRightInd w:val="0"/>
        <w:spacing w:line="560" w:lineRule="exact"/>
        <w:ind w:firstLine="540" w:firstLineChars="200"/>
        <w:rPr>
          <w:rStyle w:val="7"/>
          <w:sz w:val="27"/>
          <w:szCs w:val="27"/>
        </w:rPr>
      </w:pPr>
      <w:r>
        <w:rPr>
          <w:rFonts w:hint="eastAsia"/>
          <w:sz w:val="27"/>
          <w:szCs w:val="27"/>
        </w:rPr>
        <w:t xml:space="preserve">  </w:t>
      </w:r>
      <w:r>
        <w:rPr>
          <w:rStyle w:val="7"/>
          <w:rFonts w:hint="eastAsia"/>
          <w:sz w:val="27"/>
          <w:szCs w:val="27"/>
        </w:rPr>
        <w:t>（三）单位构成</w:t>
      </w:r>
    </w:p>
    <w:p w14:paraId="482E8CFF">
      <w:pPr>
        <w:autoSpaceDN w:val="0"/>
        <w:adjustRightInd w:val="0"/>
        <w:spacing w:line="560" w:lineRule="exact"/>
        <w:ind w:firstLine="640" w:firstLineChars="200"/>
        <w:rPr>
          <w:rFonts w:hint="default" w:ascii="方正仿宋_GBK" w:eastAsia="方正仿宋_GBK" w:cs="仿宋_GB2312"/>
          <w:sz w:val="32"/>
          <w:szCs w:val="32"/>
          <w:lang w:val="en-US" w:eastAsia="zh-CN"/>
        </w:rPr>
      </w:pPr>
      <w:r>
        <w:rPr>
          <w:rFonts w:hint="eastAsia" w:ascii="方正仿宋_GBK" w:eastAsia="方正仿宋_GBK" w:cs="仿宋_GB2312"/>
          <w:sz w:val="32"/>
          <w:szCs w:val="32"/>
        </w:rPr>
        <w:t>从预算单位构成看，202</w:t>
      </w:r>
      <w:r>
        <w:rPr>
          <w:rFonts w:hint="eastAsia" w:ascii="方正仿宋_GBK" w:eastAsia="方正仿宋_GBK" w:cs="仿宋_GB2312"/>
          <w:sz w:val="32"/>
          <w:szCs w:val="32"/>
          <w:lang w:val="en-US" w:eastAsia="zh-CN"/>
        </w:rPr>
        <w:t>3</w:t>
      </w:r>
      <w:r>
        <w:rPr>
          <w:rFonts w:hint="eastAsia" w:ascii="方正仿宋_GBK" w:eastAsia="方正仿宋_GBK" w:cs="仿宋_GB2312"/>
          <w:sz w:val="32"/>
          <w:szCs w:val="32"/>
        </w:rPr>
        <w:t>年</w:t>
      </w:r>
      <w:r>
        <w:rPr>
          <w:rFonts w:hint="eastAsia" w:ascii="方正仿宋_GBK" w:eastAsia="方正仿宋_GBK" w:cs="仿宋_GB2312"/>
          <w:sz w:val="32"/>
          <w:szCs w:val="32"/>
          <w:lang w:val="en-US" w:eastAsia="zh-CN"/>
        </w:rPr>
        <w:t>区民政局（本级）</w:t>
      </w:r>
      <w:r>
        <w:rPr>
          <w:rFonts w:hint="eastAsia" w:ascii="方正仿宋_GBK" w:eastAsia="方正仿宋_GBK" w:cs="仿宋_GB2312"/>
          <w:sz w:val="32"/>
          <w:szCs w:val="32"/>
        </w:rPr>
        <w:t>决算编制单位</w:t>
      </w:r>
      <w:r>
        <w:rPr>
          <w:rFonts w:hint="eastAsia" w:ascii="方正仿宋_GBK" w:eastAsia="方正仿宋_GBK" w:cs="仿宋_GB2312"/>
          <w:sz w:val="32"/>
          <w:szCs w:val="32"/>
          <w:lang w:val="en-US" w:eastAsia="zh-CN"/>
        </w:rPr>
        <w:t>仅为</w:t>
      </w:r>
      <w:r>
        <w:rPr>
          <w:rFonts w:hint="eastAsia" w:ascii="方正仿宋_GBK" w:eastAsia="方正仿宋_GBK" w:cs="仿宋_GB2312"/>
          <w:sz w:val="32"/>
          <w:szCs w:val="32"/>
        </w:rPr>
        <w:t>区民政局机关</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lang w:val="en-US" w:eastAsia="zh-CN"/>
        </w:rPr>
        <w:t>本级）一个单位。</w:t>
      </w:r>
    </w:p>
    <w:p w14:paraId="6A4D5415">
      <w:pPr>
        <w:autoSpaceDN w:val="0"/>
        <w:adjustRightInd w:val="0"/>
        <w:spacing w:line="560" w:lineRule="exact"/>
        <w:ind w:firstLine="723" w:firstLineChars="200"/>
        <w:rPr>
          <w:rFonts w:ascii="方正仿宋_GBK" w:eastAsia="方正仿宋_GBK" w:cs="仿宋_GB2312"/>
          <w:sz w:val="32"/>
          <w:szCs w:val="32"/>
        </w:rPr>
      </w:pPr>
      <w:r>
        <w:rPr>
          <w:rStyle w:val="7"/>
          <w:rFonts w:hint="eastAsia"/>
          <w:sz w:val="36"/>
          <w:szCs w:val="36"/>
        </w:rPr>
        <w:t>二、部门决算情况说明</w:t>
      </w:r>
    </w:p>
    <w:p w14:paraId="3715D63D">
      <w:pPr>
        <w:pStyle w:val="4"/>
        <w:shd w:val="clear" w:color="auto" w:fill="FFFFFF"/>
        <w:snapToGrid w:val="0"/>
        <w:ind w:firstLine="542" w:firstLineChars="200"/>
      </w:pPr>
      <w:r>
        <w:rPr>
          <w:rStyle w:val="7"/>
          <w:rFonts w:hint="eastAsia"/>
          <w:sz w:val="27"/>
          <w:szCs w:val="27"/>
        </w:rPr>
        <w:t>（一）收入支出决算总体情况说明</w:t>
      </w:r>
    </w:p>
    <w:p w14:paraId="38B13632">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542" w:firstLineChars="200"/>
        <w:textAlignment w:val="auto"/>
        <w:rPr>
          <w:rFonts w:hint="eastAsia" w:ascii="方正仿宋_GBK" w:eastAsia="方正仿宋_GBK" w:cs="仿宋_GB2312"/>
          <w:sz w:val="32"/>
          <w:szCs w:val="32"/>
          <w:lang w:val="en-US" w:eastAsia="zh-CN"/>
        </w:rPr>
      </w:pPr>
      <w:r>
        <w:rPr>
          <w:rStyle w:val="7"/>
          <w:rFonts w:hint="eastAsia"/>
          <w:sz w:val="27"/>
          <w:szCs w:val="27"/>
        </w:rPr>
        <w:t>1.总体情况</w:t>
      </w:r>
      <w:r>
        <w:rPr>
          <w:rFonts w:hint="eastAsia"/>
          <w:sz w:val="27"/>
          <w:szCs w:val="27"/>
        </w:rPr>
        <w:t>。</w:t>
      </w:r>
      <w:r>
        <w:rPr>
          <w:rFonts w:hint="eastAsia" w:ascii="方正仿宋_GBK" w:eastAsia="方正仿宋_GBK" w:cs="仿宋_GB2312" w:hAnsiTheme="minorHAnsi"/>
          <w:kern w:val="2"/>
          <w:sz w:val="32"/>
          <w:szCs w:val="32"/>
          <w:lang w:val="en-US" w:eastAsia="zh-CN" w:bidi="ar-SA"/>
        </w:rPr>
        <w:t>2023年度收入总计19126.96万元，支出总计19126.96万元，收支较上年决算数增加644.13万元，增长3%。收入支出总计增长的</w:t>
      </w:r>
      <w:r>
        <w:rPr>
          <w:rFonts w:hint="eastAsia" w:eastAsia="方正仿宋_GBK" w:cs="Times New Roman"/>
          <w:sz w:val="32"/>
          <w:szCs w:val="32"/>
        </w:rPr>
        <w:t>主要原因</w:t>
      </w:r>
      <w:r>
        <w:rPr>
          <w:rFonts w:hint="eastAsia" w:eastAsia="方正仿宋_GBK" w:cs="Times New Roman"/>
          <w:sz w:val="32"/>
          <w:szCs w:val="32"/>
          <w:lang w:val="en-US" w:eastAsia="zh-CN"/>
        </w:rPr>
        <w:t>一</w:t>
      </w:r>
      <w:r>
        <w:rPr>
          <w:rFonts w:hint="eastAsia" w:ascii="方正仿宋_GBK" w:eastAsia="方正仿宋_GBK" w:cs="仿宋_GB2312" w:hAnsiTheme="minorHAnsi"/>
          <w:kern w:val="2"/>
          <w:sz w:val="32"/>
          <w:szCs w:val="32"/>
          <w:lang w:val="en-US" w:eastAsia="zh-CN" w:bidi="ar-SA"/>
        </w:rPr>
        <w:t>是村（社区）建制调整，村（社区）干部补贴增加；二是新建救助站和未保中心建设项目土地成本划拨费用</w:t>
      </w:r>
      <w:r>
        <w:rPr>
          <w:rFonts w:hint="eastAsia" w:ascii="方正仿宋_GBK" w:eastAsia="方正仿宋_GBK" w:cs="仿宋_GB2312"/>
          <w:sz w:val="32"/>
          <w:szCs w:val="32"/>
          <w:lang w:val="en-US" w:eastAsia="zh-CN"/>
        </w:rPr>
        <w:t>。</w:t>
      </w:r>
    </w:p>
    <w:p w14:paraId="4A586DD4">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542" w:firstLineChars="200"/>
        <w:textAlignment w:val="auto"/>
        <w:rPr>
          <w:rFonts w:hint="eastAsia" w:ascii="方正仿宋_GBK" w:eastAsia="方正仿宋_GBK" w:cs="仿宋_GB2312"/>
          <w:sz w:val="32"/>
          <w:szCs w:val="32"/>
          <w:lang w:val="en-US" w:eastAsia="zh-CN"/>
        </w:rPr>
      </w:pPr>
      <w:r>
        <w:rPr>
          <w:rStyle w:val="7"/>
          <w:rFonts w:hint="eastAsia"/>
          <w:sz w:val="27"/>
          <w:szCs w:val="27"/>
        </w:rPr>
        <w:t>2.收入情况。</w:t>
      </w:r>
      <w:r>
        <w:rPr>
          <w:rFonts w:hint="eastAsia" w:eastAsia="方正仿宋_GBK" w:cs="Times New Roman"/>
          <w:sz w:val="32"/>
          <w:szCs w:val="32"/>
        </w:rPr>
        <w:t>202</w:t>
      </w:r>
      <w:r>
        <w:rPr>
          <w:rFonts w:hint="eastAsia" w:eastAsia="方正仿宋_GBK" w:cs="Times New Roman"/>
          <w:sz w:val="32"/>
          <w:szCs w:val="32"/>
          <w:lang w:val="en-US" w:eastAsia="zh-CN"/>
        </w:rPr>
        <w:t>3</w:t>
      </w:r>
      <w:r>
        <w:rPr>
          <w:rFonts w:hint="eastAsia" w:eastAsia="方正仿宋_GBK" w:cs="Times New Roman"/>
          <w:sz w:val="32"/>
          <w:szCs w:val="32"/>
        </w:rPr>
        <w:t>年度收入合计</w:t>
      </w:r>
      <w:r>
        <w:rPr>
          <w:rFonts w:hint="eastAsia" w:eastAsia="方正仿宋_GBK" w:cs="Times New Roman"/>
          <w:sz w:val="32"/>
          <w:szCs w:val="32"/>
          <w:lang w:val="en-US" w:eastAsia="zh-CN"/>
        </w:rPr>
        <w:t>19126.96</w:t>
      </w:r>
      <w:r>
        <w:rPr>
          <w:rFonts w:hint="eastAsia" w:eastAsia="方正仿宋_GBK" w:cs="Times New Roman"/>
          <w:sz w:val="32"/>
          <w:szCs w:val="32"/>
        </w:rPr>
        <w:t>万元，较上年决算数</w:t>
      </w:r>
      <w:r>
        <w:rPr>
          <w:rFonts w:hint="eastAsia" w:eastAsia="方正仿宋_GBK" w:cs="Times New Roman"/>
          <w:sz w:val="32"/>
          <w:szCs w:val="32"/>
          <w:lang w:val="en-US" w:eastAsia="zh-CN"/>
        </w:rPr>
        <w:t>增加747.49</w:t>
      </w:r>
      <w:r>
        <w:rPr>
          <w:rFonts w:hint="eastAsia" w:eastAsia="方正仿宋_GBK" w:cs="Times New Roman"/>
          <w:sz w:val="32"/>
          <w:szCs w:val="32"/>
        </w:rPr>
        <w:t>万元，</w:t>
      </w:r>
      <w:r>
        <w:rPr>
          <w:rFonts w:hint="eastAsia" w:eastAsia="方正仿宋_GBK" w:cs="Times New Roman"/>
          <w:sz w:val="32"/>
          <w:szCs w:val="32"/>
          <w:lang w:val="en-US" w:eastAsia="zh-CN"/>
        </w:rPr>
        <w:t>增加4</w:t>
      </w:r>
      <w:r>
        <w:rPr>
          <w:rFonts w:hint="eastAsia" w:eastAsia="方正仿宋_GBK" w:cs="Times New Roman"/>
          <w:sz w:val="32"/>
          <w:szCs w:val="32"/>
        </w:rPr>
        <w:t>%</w:t>
      </w:r>
      <w:r>
        <w:rPr>
          <w:rFonts w:hint="eastAsia" w:eastAsia="方正仿宋_GBK" w:cs="Times New Roman"/>
          <w:sz w:val="32"/>
          <w:szCs w:val="32"/>
          <w:lang w:eastAsia="zh-CN"/>
        </w:rPr>
        <w:t>。</w:t>
      </w:r>
      <w:r>
        <w:rPr>
          <w:rFonts w:hint="eastAsia" w:eastAsia="方正仿宋_GBK" w:cs="Times New Roman"/>
          <w:sz w:val="32"/>
          <w:szCs w:val="32"/>
        </w:rPr>
        <w:t>主要原因</w:t>
      </w:r>
      <w:r>
        <w:rPr>
          <w:rFonts w:hint="eastAsia" w:eastAsia="方正仿宋_GBK" w:cs="Times New Roman"/>
          <w:sz w:val="32"/>
          <w:szCs w:val="32"/>
          <w:lang w:val="en-US" w:eastAsia="zh-CN"/>
        </w:rPr>
        <w:t>一</w:t>
      </w:r>
      <w:r>
        <w:rPr>
          <w:rFonts w:hint="eastAsia" w:ascii="方正仿宋_GBK" w:eastAsia="方正仿宋_GBK" w:cs="仿宋_GB2312" w:hAnsiTheme="minorHAnsi"/>
          <w:kern w:val="2"/>
          <w:sz w:val="32"/>
          <w:szCs w:val="32"/>
          <w:lang w:val="en-US" w:eastAsia="zh-CN" w:bidi="ar-SA"/>
        </w:rPr>
        <w:t>是村（社区）建制调整，村（社区）干部补贴增加；二是新建救助站和未保中心建设项目土地成本划拨费用</w:t>
      </w:r>
      <w:r>
        <w:rPr>
          <w:rFonts w:hint="eastAsia" w:ascii="方正仿宋_GBK" w:eastAsia="方正仿宋_GBK" w:cs="仿宋_GB2312"/>
          <w:sz w:val="32"/>
          <w:szCs w:val="32"/>
          <w:lang w:val="en-US" w:eastAsia="zh-CN"/>
        </w:rPr>
        <w:t>。</w:t>
      </w:r>
    </w:p>
    <w:p w14:paraId="1314124B">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542" w:firstLineChars="200"/>
        <w:textAlignment w:val="auto"/>
        <w:rPr>
          <w:rFonts w:hint="eastAsia" w:eastAsia="方正仿宋_GBK" w:cs="Times New Roman"/>
          <w:sz w:val="32"/>
          <w:szCs w:val="32"/>
          <w:lang w:eastAsia="zh-CN"/>
        </w:rPr>
      </w:pPr>
      <w:r>
        <w:rPr>
          <w:rStyle w:val="7"/>
          <w:rFonts w:hint="eastAsia"/>
          <w:sz w:val="27"/>
          <w:szCs w:val="27"/>
        </w:rPr>
        <w:t>3.支出情况。</w:t>
      </w:r>
      <w:r>
        <w:rPr>
          <w:rFonts w:hint="eastAsia" w:eastAsia="方正仿宋_GBK" w:cs="Times New Roman"/>
          <w:sz w:val="32"/>
          <w:szCs w:val="32"/>
        </w:rPr>
        <w:t>20</w:t>
      </w:r>
      <w:r>
        <w:rPr>
          <w:rFonts w:hint="eastAsia" w:eastAsia="方正仿宋_GBK" w:cs="Times New Roman"/>
          <w:sz w:val="32"/>
          <w:szCs w:val="32"/>
          <w:lang w:val="en-US" w:eastAsia="zh-CN"/>
        </w:rPr>
        <w:t>23</w:t>
      </w:r>
      <w:r>
        <w:rPr>
          <w:rFonts w:hint="eastAsia" w:eastAsia="方正仿宋_GBK" w:cs="Times New Roman"/>
          <w:sz w:val="32"/>
          <w:szCs w:val="32"/>
        </w:rPr>
        <w:t>年度支出合计</w:t>
      </w:r>
      <w:r>
        <w:rPr>
          <w:rFonts w:hint="eastAsia" w:eastAsia="方正仿宋_GBK" w:cs="Times New Roman"/>
          <w:sz w:val="32"/>
          <w:szCs w:val="32"/>
          <w:lang w:val="en-US" w:eastAsia="zh-CN"/>
        </w:rPr>
        <w:t>19102.28</w:t>
      </w:r>
      <w:r>
        <w:rPr>
          <w:rFonts w:hint="eastAsia" w:eastAsia="方正仿宋_GBK" w:cs="Times New Roman"/>
          <w:sz w:val="32"/>
          <w:szCs w:val="32"/>
        </w:rPr>
        <w:t>万元，较上年决算数</w:t>
      </w:r>
      <w:r>
        <w:rPr>
          <w:rFonts w:hint="eastAsia" w:eastAsia="方正仿宋_GBK" w:cs="Times New Roman"/>
          <w:sz w:val="32"/>
          <w:szCs w:val="32"/>
          <w:lang w:val="en-US" w:eastAsia="zh-CN"/>
        </w:rPr>
        <w:t>增加619.45</w:t>
      </w:r>
      <w:r>
        <w:rPr>
          <w:rFonts w:hint="eastAsia" w:eastAsia="方正仿宋_GBK" w:cs="Times New Roman"/>
          <w:sz w:val="32"/>
          <w:szCs w:val="32"/>
        </w:rPr>
        <w:t>万元，</w:t>
      </w:r>
      <w:r>
        <w:rPr>
          <w:rFonts w:hint="eastAsia" w:eastAsia="方正仿宋_GBK" w:cs="Times New Roman"/>
          <w:sz w:val="32"/>
          <w:szCs w:val="32"/>
          <w:lang w:val="en-US" w:eastAsia="zh-CN"/>
        </w:rPr>
        <w:t>增长3</w:t>
      </w:r>
      <w:r>
        <w:rPr>
          <w:rFonts w:hint="eastAsia" w:eastAsia="方正仿宋_GBK" w:cs="Times New Roman"/>
          <w:sz w:val="32"/>
          <w:szCs w:val="32"/>
        </w:rPr>
        <w:t>%</w:t>
      </w:r>
      <w:r>
        <w:rPr>
          <w:rFonts w:hint="eastAsia" w:eastAsia="方正仿宋_GBK" w:cs="Times New Roman"/>
          <w:sz w:val="32"/>
          <w:szCs w:val="32"/>
          <w:lang w:eastAsia="zh-CN"/>
        </w:rPr>
        <w:t>。</w:t>
      </w:r>
      <w:r>
        <w:rPr>
          <w:rFonts w:hint="eastAsia" w:eastAsia="方正仿宋_GBK" w:cs="Times New Roman"/>
          <w:sz w:val="32"/>
          <w:szCs w:val="32"/>
        </w:rPr>
        <w:t>主要原因</w:t>
      </w:r>
      <w:r>
        <w:rPr>
          <w:rFonts w:hint="eastAsia" w:eastAsia="方正仿宋_GBK" w:cs="Times New Roman"/>
          <w:sz w:val="32"/>
          <w:szCs w:val="32"/>
          <w:lang w:val="en-US" w:eastAsia="zh-CN"/>
        </w:rPr>
        <w:t>一</w:t>
      </w:r>
      <w:r>
        <w:rPr>
          <w:rFonts w:hint="eastAsia" w:ascii="方正仿宋_GBK" w:eastAsia="方正仿宋_GBK" w:cs="仿宋_GB2312" w:hAnsiTheme="minorHAnsi"/>
          <w:kern w:val="2"/>
          <w:sz w:val="32"/>
          <w:szCs w:val="32"/>
          <w:lang w:val="en-US" w:eastAsia="zh-CN" w:bidi="ar-SA"/>
        </w:rPr>
        <w:t>是村（社区）建制调整，村（社区）干部补贴增加；二是新建救助站和未保中心建设项目土地成本划拨费用</w:t>
      </w:r>
      <w:r>
        <w:rPr>
          <w:rFonts w:hint="eastAsia" w:ascii="方正仿宋_GBK" w:eastAsia="方正仿宋_GBK" w:cs="仿宋_GB2312"/>
          <w:sz w:val="32"/>
          <w:szCs w:val="32"/>
          <w:lang w:val="en-US" w:eastAsia="zh-CN"/>
        </w:rPr>
        <w:t>。</w:t>
      </w:r>
      <w:r>
        <w:rPr>
          <w:rFonts w:hint="eastAsia" w:eastAsia="方正仿宋_GBK" w:cs="Times New Roman"/>
          <w:sz w:val="32"/>
          <w:szCs w:val="32"/>
        </w:rPr>
        <w:t>其中：基本支出</w:t>
      </w:r>
      <w:r>
        <w:rPr>
          <w:rFonts w:hint="eastAsia" w:eastAsia="方正仿宋_GBK" w:cs="Times New Roman"/>
          <w:sz w:val="32"/>
          <w:szCs w:val="32"/>
          <w:lang w:val="en-US" w:eastAsia="zh-CN"/>
        </w:rPr>
        <w:t>638.69</w:t>
      </w:r>
      <w:r>
        <w:rPr>
          <w:rFonts w:hint="eastAsia" w:eastAsia="方正仿宋_GBK" w:cs="Times New Roman"/>
          <w:sz w:val="32"/>
          <w:szCs w:val="32"/>
        </w:rPr>
        <w:t>万元，占</w:t>
      </w:r>
      <w:r>
        <w:rPr>
          <w:rFonts w:hint="eastAsia" w:eastAsia="方正仿宋_GBK" w:cs="Times New Roman"/>
          <w:sz w:val="32"/>
          <w:szCs w:val="32"/>
          <w:lang w:val="en-US" w:eastAsia="zh-CN"/>
        </w:rPr>
        <w:t>支出的3</w:t>
      </w:r>
      <w:r>
        <w:rPr>
          <w:rFonts w:hint="eastAsia" w:eastAsia="方正仿宋_GBK" w:cs="Times New Roman"/>
          <w:sz w:val="32"/>
          <w:szCs w:val="32"/>
        </w:rPr>
        <w:t>%；项目支出</w:t>
      </w:r>
      <w:r>
        <w:rPr>
          <w:rFonts w:hint="eastAsia" w:eastAsia="方正仿宋_GBK" w:cs="Times New Roman"/>
          <w:sz w:val="32"/>
          <w:szCs w:val="32"/>
          <w:lang w:val="en-US" w:eastAsia="zh-CN"/>
        </w:rPr>
        <w:t>18463.59</w:t>
      </w:r>
      <w:r>
        <w:rPr>
          <w:rFonts w:hint="eastAsia" w:eastAsia="方正仿宋_GBK" w:cs="Times New Roman"/>
          <w:sz w:val="32"/>
          <w:szCs w:val="32"/>
        </w:rPr>
        <w:t>万元，占</w:t>
      </w:r>
      <w:r>
        <w:rPr>
          <w:rFonts w:hint="eastAsia" w:eastAsia="方正仿宋_GBK" w:cs="Times New Roman"/>
          <w:sz w:val="32"/>
          <w:szCs w:val="32"/>
          <w:lang w:val="en-US" w:eastAsia="zh-CN"/>
        </w:rPr>
        <w:t>支出的97</w:t>
      </w:r>
      <w:r>
        <w:rPr>
          <w:rFonts w:hint="eastAsia" w:eastAsia="方正仿宋_GBK" w:cs="Times New Roman"/>
          <w:sz w:val="32"/>
          <w:szCs w:val="32"/>
        </w:rPr>
        <w:t>%</w:t>
      </w:r>
      <w:r>
        <w:rPr>
          <w:rFonts w:hint="eastAsia" w:eastAsia="方正仿宋_GBK" w:cs="Times New Roman"/>
          <w:sz w:val="32"/>
          <w:szCs w:val="32"/>
          <w:lang w:eastAsia="zh-CN"/>
        </w:rPr>
        <w:t>。</w:t>
      </w:r>
    </w:p>
    <w:p w14:paraId="53EB5EDD">
      <w:pPr>
        <w:pStyle w:val="4"/>
        <w:shd w:val="clear" w:color="auto" w:fill="FFFFFF"/>
        <w:snapToGrid w:val="0"/>
        <w:rPr>
          <w:rFonts w:hint="eastAsia" w:eastAsia="方正仿宋_GBK" w:cs="Times New Roman"/>
          <w:sz w:val="32"/>
          <w:szCs w:val="32"/>
          <w:lang w:val="en-US" w:eastAsia="zh-CN"/>
        </w:rPr>
      </w:pPr>
      <w:r>
        <w:rPr>
          <w:rStyle w:val="7"/>
          <w:rFonts w:hint="eastAsia"/>
          <w:sz w:val="27"/>
          <w:szCs w:val="27"/>
        </w:rPr>
        <w:t xml:space="preserve">     4.结转结余情况。</w:t>
      </w:r>
      <w:r>
        <w:rPr>
          <w:rFonts w:hint="eastAsia" w:eastAsia="方正仿宋_GBK" w:cs="Times New Roman"/>
          <w:sz w:val="32"/>
          <w:szCs w:val="32"/>
        </w:rPr>
        <w:t>202</w:t>
      </w:r>
      <w:r>
        <w:rPr>
          <w:rFonts w:hint="eastAsia" w:eastAsia="方正仿宋_GBK" w:cs="Times New Roman"/>
          <w:sz w:val="32"/>
          <w:szCs w:val="32"/>
          <w:lang w:val="en-US" w:eastAsia="zh-CN"/>
        </w:rPr>
        <w:t>3</w:t>
      </w:r>
      <w:r>
        <w:rPr>
          <w:rFonts w:hint="eastAsia" w:eastAsia="方正仿宋_GBK" w:cs="Times New Roman"/>
          <w:sz w:val="32"/>
          <w:szCs w:val="32"/>
        </w:rPr>
        <w:t>年度年末结转</w:t>
      </w:r>
      <w:r>
        <w:rPr>
          <w:rFonts w:hint="eastAsia" w:eastAsia="方正仿宋_GBK" w:cs="Times New Roman"/>
          <w:sz w:val="32"/>
          <w:szCs w:val="32"/>
          <w:lang w:val="en-US" w:eastAsia="zh-CN"/>
        </w:rPr>
        <w:t>资金24.68</w:t>
      </w:r>
      <w:r>
        <w:rPr>
          <w:rFonts w:hint="eastAsia" w:eastAsia="方正仿宋_GBK" w:cs="Times New Roman"/>
          <w:sz w:val="32"/>
          <w:szCs w:val="32"/>
        </w:rPr>
        <w:t>万元，较上年决算数</w:t>
      </w:r>
      <w:r>
        <w:rPr>
          <w:rFonts w:hint="eastAsia" w:eastAsia="方正仿宋_GBK" w:cs="Times New Roman"/>
          <w:sz w:val="32"/>
          <w:szCs w:val="32"/>
          <w:lang w:val="en-US" w:eastAsia="zh-CN"/>
        </w:rPr>
        <w:t>增加24.68</w:t>
      </w:r>
      <w:r>
        <w:rPr>
          <w:rFonts w:hint="eastAsia" w:eastAsia="方正仿宋_GBK" w:cs="Times New Roman"/>
          <w:sz w:val="32"/>
          <w:szCs w:val="32"/>
        </w:rPr>
        <w:t>万元，</w:t>
      </w:r>
      <w:r>
        <w:rPr>
          <w:rFonts w:hint="eastAsia" w:eastAsia="方正仿宋_GBK" w:cs="Times New Roman"/>
          <w:sz w:val="32"/>
          <w:szCs w:val="32"/>
          <w:lang w:val="en-US" w:eastAsia="zh-CN"/>
        </w:rPr>
        <w:t>增长100</w:t>
      </w:r>
      <w:r>
        <w:rPr>
          <w:rFonts w:hint="eastAsia" w:eastAsia="方正仿宋_GBK" w:cs="Times New Roman"/>
          <w:sz w:val="32"/>
          <w:szCs w:val="32"/>
        </w:rPr>
        <w:t>%</w:t>
      </w:r>
      <w:r>
        <w:rPr>
          <w:rFonts w:hint="eastAsia" w:eastAsia="方正仿宋_GBK" w:cs="Times New Roman"/>
          <w:sz w:val="32"/>
          <w:szCs w:val="32"/>
          <w:lang w:eastAsia="zh-CN"/>
        </w:rPr>
        <w:t>。</w:t>
      </w:r>
      <w:r>
        <w:rPr>
          <w:rFonts w:hint="eastAsia" w:eastAsia="方正仿宋_GBK" w:cs="Times New Roman"/>
          <w:sz w:val="32"/>
          <w:szCs w:val="32"/>
          <w:lang w:val="en-US" w:eastAsia="zh-CN"/>
        </w:rPr>
        <w:t>本年结转资金</w:t>
      </w:r>
      <w:r>
        <w:rPr>
          <w:rFonts w:hint="eastAsia" w:eastAsia="方正仿宋_GBK" w:cs="Times New Roman"/>
          <w:sz w:val="32"/>
          <w:szCs w:val="32"/>
        </w:rPr>
        <w:t>是</w:t>
      </w:r>
      <w:r>
        <w:rPr>
          <w:rFonts w:hint="eastAsia" w:eastAsia="方正仿宋_GBK" w:cs="Times New Roman"/>
          <w:sz w:val="32"/>
          <w:szCs w:val="32"/>
          <w:lang w:val="en-US" w:eastAsia="zh-CN"/>
        </w:rPr>
        <w:t>非财政补助拨款结转，主要原因一是结转</w:t>
      </w:r>
      <w:r>
        <w:rPr>
          <w:rFonts w:hint="eastAsia" w:eastAsia="方正仿宋_GBK" w:cs="Times New Roman"/>
          <w:sz w:val="32"/>
          <w:szCs w:val="32"/>
        </w:rPr>
        <w:t>市民政局拨来居家和社区基本养老服务提升行动项目24万元</w:t>
      </w:r>
      <w:r>
        <w:rPr>
          <w:rFonts w:hint="eastAsia" w:eastAsia="方正仿宋_GBK" w:cs="Times New Roman"/>
          <w:sz w:val="32"/>
          <w:szCs w:val="32"/>
          <w:lang w:eastAsia="zh-CN"/>
        </w:rPr>
        <w:t>；</w:t>
      </w:r>
      <w:r>
        <w:rPr>
          <w:rFonts w:hint="eastAsia" w:eastAsia="方正仿宋_GBK" w:cs="Times New Roman"/>
          <w:sz w:val="32"/>
          <w:szCs w:val="32"/>
          <w:lang w:val="en-US" w:eastAsia="zh-CN"/>
        </w:rPr>
        <w:t>二是结转市民政局拨来</w:t>
      </w:r>
      <w:r>
        <w:rPr>
          <w:rFonts w:hint="eastAsia" w:eastAsia="方正仿宋_GBK" w:cs="Times New Roman"/>
          <w:sz w:val="32"/>
          <w:szCs w:val="32"/>
        </w:rPr>
        <w:t>省级行政区划界桩管护费</w:t>
      </w:r>
      <w:r>
        <w:rPr>
          <w:rFonts w:hint="eastAsia" w:eastAsia="方正仿宋_GBK" w:cs="Times New Roman"/>
          <w:sz w:val="32"/>
          <w:szCs w:val="32"/>
          <w:lang w:val="en-US" w:eastAsia="zh-CN"/>
        </w:rPr>
        <w:t>6800</w:t>
      </w:r>
      <w:r>
        <w:rPr>
          <w:rFonts w:hint="eastAsia" w:eastAsia="方正仿宋_GBK" w:cs="Times New Roman"/>
          <w:sz w:val="32"/>
          <w:szCs w:val="32"/>
        </w:rPr>
        <w:t>元</w:t>
      </w:r>
      <w:r>
        <w:rPr>
          <w:rFonts w:hint="eastAsia" w:eastAsia="方正仿宋_GBK" w:cs="Times New Roman"/>
          <w:sz w:val="32"/>
          <w:szCs w:val="32"/>
          <w:lang w:eastAsia="zh-CN"/>
        </w:rPr>
        <w:t>。</w:t>
      </w:r>
    </w:p>
    <w:p w14:paraId="15BDC273">
      <w:pPr>
        <w:pStyle w:val="4"/>
        <w:shd w:val="clear" w:color="auto" w:fill="FFFFFF"/>
        <w:snapToGrid w:val="0"/>
        <w:ind w:firstLine="542" w:firstLineChars="200"/>
      </w:pPr>
      <w:r>
        <w:rPr>
          <w:rStyle w:val="7"/>
          <w:rFonts w:hint="eastAsia"/>
          <w:sz w:val="27"/>
          <w:szCs w:val="27"/>
        </w:rPr>
        <w:t>（二）财政拨款收入支出决算总体情况说明</w:t>
      </w:r>
    </w:p>
    <w:p w14:paraId="7BA24FAF">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202</w:t>
      </w:r>
      <w:r>
        <w:rPr>
          <w:rFonts w:hint="eastAsia" w:eastAsia="方正仿宋_GBK" w:cs="Times New Roman"/>
          <w:sz w:val="32"/>
          <w:szCs w:val="32"/>
          <w:lang w:val="en-US" w:eastAsia="zh-CN"/>
        </w:rPr>
        <w:t>3</w:t>
      </w:r>
      <w:r>
        <w:rPr>
          <w:rFonts w:hint="eastAsia" w:eastAsia="方正仿宋_GBK" w:cs="Times New Roman"/>
          <w:sz w:val="32"/>
          <w:szCs w:val="32"/>
        </w:rPr>
        <w:t>年度财政拨款收、支总计</w:t>
      </w:r>
      <w:r>
        <w:rPr>
          <w:rFonts w:hint="eastAsia" w:eastAsia="方正仿宋_GBK" w:cs="Times New Roman"/>
          <w:sz w:val="32"/>
          <w:szCs w:val="32"/>
          <w:lang w:val="en-US" w:eastAsia="zh-CN"/>
        </w:rPr>
        <w:t>19102.22</w:t>
      </w:r>
      <w:r>
        <w:rPr>
          <w:rFonts w:hint="eastAsia" w:eastAsia="方正仿宋_GBK" w:cs="Times New Roman"/>
          <w:sz w:val="32"/>
          <w:szCs w:val="32"/>
        </w:rPr>
        <w:t>万元。与</w:t>
      </w:r>
      <w:r>
        <w:rPr>
          <w:rFonts w:hint="eastAsia" w:eastAsia="方正仿宋_GBK" w:cs="Times New Roman"/>
          <w:sz w:val="32"/>
          <w:szCs w:val="32"/>
          <w:lang w:val="en-US" w:eastAsia="zh-CN"/>
        </w:rPr>
        <w:t>上</w:t>
      </w:r>
      <w:r>
        <w:rPr>
          <w:rFonts w:hint="eastAsia" w:eastAsia="方正仿宋_GBK" w:cs="Times New Roman"/>
          <w:sz w:val="32"/>
          <w:szCs w:val="32"/>
        </w:rPr>
        <w:t>年相比，财政拨款收、支总计各</w:t>
      </w:r>
      <w:r>
        <w:rPr>
          <w:rFonts w:hint="eastAsia" w:eastAsia="方正仿宋_GBK" w:cs="Times New Roman"/>
          <w:sz w:val="32"/>
          <w:szCs w:val="32"/>
          <w:lang w:val="en-US" w:eastAsia="zh-CN"/>
        </w:rPr>
        <w:t>增加619.39</w:t>
      </w:r>
      <w:r>
        <w:rPr>
          <w:rFonts w:hint="eastAsia" w:eastAsia="方正仿宋_GBK" w:cs="Times New Roman"/>
          <w:sz w:val="32"/>
          <w:szCs w:val="32"/>
        </w:rPr>
        <w:t>万元，</w:t>
      </w:r>
      <w:r>
        <w:rPr>
          <w:rFonts w:hint="eastAsia" w:eastAsia="方正仿宋_GBK" w:cs="Times New Roman"/>
          <w:sz w:val="32"/>
          <w:szCs w:val="32"/>
          <w:lang w:val="en-US" w:eastAsia="zh-CN"/>
        </w:rPr>
        <w:t>增长3</w:t>
      </w:r>
      <w:r>
        <w:rPr>
          <w:rFonts w:hint="eastAsia" w:eastAsia="方正仿宋_GBK" w:cs="Times New Roman"/>
          <w:sz w:val="32"/>
          <w:szCs w:val="32"/>
        </w:rPr>
        <w:t>%。收入支出</w:t>
      </w:r>
      <w:r>
        <w:rPr>
          <w:rFonts w:hint="eastAsia" w:eastAsia="方正仿宋_GBK" w:cs="Times New Roman"/>
          <w:sz w:val="32"/>
          <w:szCs w:val="32"/>
          <w:lang w:val="en-US" w:eastAsia="zh-CN"/>
        </w:rPr>
        <w:t>总</w:t>
      </w:r>
      <w:r>
        <w:rPr>
          <w:rFonts w:hint="eastAsia" w:eastAsia="方正仿宋_GBK" w:cs="Times New Roman"/>
          <w:sz w:val="32"/>
          <w:szCs w:val="32"/>
        </w:rPr>
        <w:t>计</w:t>
      </w:r>
      <w:r>
        <w:rPr>
          <w:rFonts w:hint="eastAsia" w:eastAsia="方正仿宋_GBK" w:cs="Times New Roman"/>
          <w:sz w:val="32"/>
          <w:szCs w:val="32"/>
          <w:lang w:val="en-US" w:eastAsia="zh-CN"/>
        </w:rPr>
        <w:t>增加</w:t>
      </w:r>
      <w:r>
        <w:rPr>
          <w:rFonts w:hint="eastAsia" w:eastAsia="方正仿宋_GBK" w:cs="Times New Roman"/>
          <w:sz w:val="32"/>
          <w:szCs w:val="32"/>
        </w:rPr>
        <w:t>的主要原因</w:t>
      </w:r>
      <w:r>
        <w:rPr>
          <w:rFonts w:hint="eastAsia" w:eastAsia="方正仿宋_GBK" w:cs="Times New Roman"/>
          <w:sz w:val="32"/>
          <w:szCs w:val="32"/>
          <w:lang w:val="en-US" w:eastAsia="zh-CN"/>
        </w:rPr>
        <w:t>一</w:t>
      </w:r>
      <w:r>
        <w:rPr>
          <w:rFonts w:hint="eastAsia" w:ascii="方正仿宋_GBK" w:eastAsia="方正仿宋_GBK" w:cs="仿宋_GB2312" w:hAnsiTheme="minorHAnsi"/>
          <w:kern w:val="2"/>
          <w:sz w:val="32"/>
          <w:szCs w:val="32"/>
          <w:lang w:val="en-US" w:eastAsia="zh-CN" w:bidi="ar-SA"/>
        </w:rPr>
        <w:t>是村（社区）建制调整，村（社区）干部补贴增加；二是新建救助站和未保中心建设项目土地成本划拨费用</w:t>
      </w:r>
      <w:r>
        <w:rPr>
          <w:rFonts w:hint="eastAsia" w:ascii="方正仿宋_GBK" w:eastAsia="方正仿宋_GBK" w:cs="仿宋_GB2312"/>
          <w:sz w:val="32"/>
          <w:szCs w:val="32"/>
          <w:lang w:val="en-US" w:eastAsia="zh-CN"/>
        </w:rPr>
        <w:t>。</w:t>
      </w:r>
    </w:p>
    <w:p w14:paraId="32B34B34">
      <w:pPr>
        <w:pStyle w:val="4"/>
        <w:shd w:val="clear" w:color="auto" w:fill="FFFFFF"/>
        <w:snapToGrid w:val="0"/>
        <w:ind w:firstLine="542" w:firstLineChars="200"/>
      </w:pPr>
      <w:r>
        <w:rPr>
          <w:rStyle w:val="7"/>
          <w:rFonts w:hint="eastAsia"/>
          <w:sz w:val="27"/>
          <w:szCs w:val="27"/>
        </w:rPr>
        <w:t>（三）一般公共预算财政拨款支出决算情况说明</w:t>
      </w:r>
    </w:p>
    <w:p w14:paraId="1FC5BEB8">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542" w:firstLineChars="200"/>
        <w:textAlignment w:val="auto"/>
        <w:rPr>
          <w:rFonts w:hint="eastAsia" w:ascii="方正仿宋_GBK" w:eastAsia="仿宋_GB2312" w:cs="仿宋_GB2312" w:hAnsiTheme="minorHAnsi"/>
          <w:kern w:val="2"/>
          <w:sz w:val="32"/>
          <w:szCs w:val="32"/>
          <w:lang w:val="en-US" w:eastAsia="zh-CN"/>
        </w:rPr>
      </w:pPr>
      <w:r>
        <w:rPr>
          <w:rStyle w:val="7"/>
          <w:rFonts w:hint="eastAsia"/>
          <w:sz w:val="27"/>
          <w:szCs w:val="27"/>
        </w:rPr>
        <w:t>1.收入情况。</w:t>
      </w: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年度一般公共预算财政拨款收入</w:t>
      </w:r>
      <w:r>
        <w:rPr>
          <w:rFonts w:hint="eastAsia" w:ascii="方正仿宋_GBK" w:eastAsia="方正仿宋_GBK" w:cs="仿宋_GB2312" w:hAnsiTheme="minorHAnsi"/>
          <w:kern w:val="2"/>
          <w:sz w:val="32"/>
          <w:szCs w:val="32"/>
          <w:lang w:val="en-US" w:eastAsia="zh-CN"/>
        </w:rPr>
        <w:t>17398.51</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增加939.73</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增长6</w:t>
      </w:r>
      <w:r>
        <w:rPr>
          <w:rFonts w:hint="eastAsia" w:ascii="方正仿宋_GBK" w:eastAsia="方正仿宋_GBK" w:cs="仿宋_GB2312" w:hAnsiTheme="minorHAnsi"/>
          <w:kern w:val="2"/>
          <w:sz w:val="32"/>
          <w:szCs w:val="32"/>
        </w:rPr>
        <w:t>%。</w:t>
      </w:r>
      <w:r>
        <w:rPr>
          <w:rFonts w:hint="eastAsia" w:eastAsia="方正仿宋_GBK" w:cs="Times New Roman"/>
          <w:sz w:val="32"/>
          <w:szCs w:val="32"/>
        </w:rPr>
        <w:t>主要原因</w:t>
      </w:r>
      <w:r>
        <w:rPr>
          <w:rFonts w:hint="eastAsia" w:eastAsia="方正仿宋_GBK" w:cs="Times New Roman"/>
          <w:sz w:val="32"/>
          <w:szCs w:val="32"/>
          <w:lang w:val="en-US" w:eastAsia="zh-CN"/>
        </w:rPr>
        <w:t>一</w:t>
      </w:r>
      <w:r>
        <w:rPr>
          <w:rFonts w:hint="eastAsia" w:ascii="方正仿宋_GBK" w:eastAsia="方正仿宋_GBK" w:cs="仿宋_GB2312" w:hAnsiTheme="minorHAnsi"/>
          <w:kern w:val="2"/>
          <w:sz w:val="32"/>
          <w:szCs w:val="32"/>
          <w:lang w:val="en-US" w:eastAsia="zh-CN" w:bidi="ar-SA"/>
        </w:rPr>
        <w:t>是村（社区）建制调整，村（社区）干部补贴增加；二是新建救助站和未保中心建设项目土地成本划拨费用</w:t>
      </w:r>
      <w:r>
        <w:rPr>
          <w:rFonts w:hint="eastAsia" w:ascii="方正仿宋_GBK" w:eastAsia="方正仿宋_GBK" w:cs="仿宋_GB2312"/>
          <w:sz w:val="32"/>
          <w:szCs w:val="32"/>
          <w:lang w:val="en-US" w:eastAsia="zh-CN"/>
        </w:rPr>
        <w:t>。</w:t>
      </w:r>
      <w:r>
        <w:rPr>
          <w:rFonts w:hint="eastAsia" w:ascii="方正仿宋_GBK" w:eastAsia="方正仿宋_GBK" w:cs="仿宋_GB2312" w:hAnsiTheme="minorHAnsi"/>
          <w:kern w:val="2"/>
          <w:sz w:val="32"/>
          <w:szCs w:val="32"/>
        </w:rPr>
        <w:t>较年初预算数</w:t>
      </w:r>
      <w:r>
        <w:rPr>
          <w:rFonts w:hint="eastAsia" w:ascii="方正仿宋_GBK" w:eastAsia="方正仿宋_GBK" w:cs="仿宋_GB2312" w:hAnsiTheme="minorHAnsi"/>
          <w:kern w:val="2"/>
          <w:sz w:val="32"/>
          <w:szCs w:val="32"/>
          <w:lang w:val="en-US" w:eastAsia="zh-CN"/>
        </w:rPr>
        <w:t>增加47.50</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增长0.27</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是年中追加</w:t>
      </w:r>
      <w:r>
        <w:rPr>
          <w:rFonts w:hint="eastAsia" w:ascii="方正仿宋_GBK" w:eastAsia="方正仿宋_GBK" w:cs="仿宋_GB2312" w:hAnsiTheme="minorHAnsi"/>
          <w:kern w:val="2"/>
          <w:sz w:val="32"/>
          <w:szCs w:val="32"/>
          <w:lang w:val="en-US" w:eastAsia="zh-CN" w:bidi="ar-SA"/>
        </w:rPr>
        <w:t>新建救助站和未保中心建设项目土地成本划拨费用</w:t>
      </w:r>
      <w:r>
        <w:rPr>
          <w:rFonts w:hint="eastAsia" w:ascii="方正仿宋_GBK" w:eastAsia="方正仿宋_GBK" w:cs="仿宋_GB2312" w:hAnsiTheme="minorHAnsi"/>
          <w:kern w:val="2"/>
          <w:sz w:val="32"/>
          <w:szCs w:val="32"/>
          <w:lang w:eastAsia="zh-CN"/>
        </w:rPr>
        <w:t>。</w:t>
      </w:r>
    </w:p>
    <w:p w14:paraId="14C4FC80">
      <w:pPr>
        <w:pStyle w:val="4"/>
        <w:shd w:val="clear" w:color="auto" w:fill="FFFFFF"/>
        <w:snapToGrid w:val="0"/>
        <w:ind w:firstLine="542" w:firstLineChars="200"/>
        <w:rPr>
          <w:rFonts w:hint="eastAsia" w:ascii="方正仿宋_GBK" w:eastAsia="方正仿宋_GBK" w:cs="仿宋_GB2312"/>
          <w:sz w:val="32"/>
          <w:szCs w:val="32"/>
          <w:lang w:val="en-US" w:eastAsia="zh-CN"/>
        </w:rPr>
      </w:pPr>
      <w:r>
        <w:rPr>
          <w:rStyle w:val="7"/>
          <w:rFonts w:hint="eastAsia"/>
          <w:sz w:val="27"/>
          <w:szCs w:val="27"/>
        </w:rPr>
        <w:t>2.支出情况。</w:t>
      </w: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年度一般公共预算财政拨款支出</w:t>
      </w:r>
      <w:r>
        <w:rPr>
          <w:rFonts w:hint="eastAsia" w:ascii="方正仿宋_GBK" w:eastAsia="方正仿宋_GBK" w:cs="仿宋_GB2312" w:hAnsiTheme="minorHAnsi"/>
          <w:kern w:val="2"/>
          <w:sz w:val="32"/>
          <w:szCs w:val="32"/>
          <w:lang w:val="en-US" w:eastAsia="zh-CN"/>
        </w:rPr>
        <w:t>17398.51</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增加939.73</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增长6</w:t>
      </w:r>
      <w:r>
        <w:rPr>
          <w:rFonts w:hint="eastAsia" w:ascii="方正仿宋_GBK" w:eastAsia="方正仿宋_GBK" w:cs="仿宋_GB2312" w:hAnsiTheme="minorHAnsi"/>
          <w:kern w:val="2"/>
          <w:sz w:val="32"/>
          <w:szCs w:val="32"/>
        </w:rPr>
        <w:t>%。</w:t>
      </w:r>
      <w:r>
        <w:rPr>
          <w:rFonts w:hint="eastAsia" w:eastAsia="方正仿宋_GBK" w:cs="Times New Roman"/>
          <w:sz w:val="32"/>
          <w:szCs w:val="32"/>
        </w:rPr>
        <w:t>主要原因</w:t>
      </w:r>
      <w:r>
        <w:rPr>
          <w:rFonts w:hint="eastAsia" w:eastAsia="方正仿宋_GBK" w:cs="Times New Roman"/>
          <w:sz w:val="32"/>
          <w:szCs w:val="32"/>
          <w:lang w:val="en-US" w:eastAsia="zh-CN"/>
        </w:rPr>
        <w:t>一</w:t>
      </w:r>
      <w:r>
        <w:rPr>
          <w:rFonts w:hint="eastAsia" w:ascii="方正仿宋_GBK" w:eastAsia="方正仿宋_GBK" w:cs="仿宋_GB2312" w:hAnsiTheme="minorHAnsi"/>
          <w:kern w:val="2"/>
          <w:sz w:val="32"/>
          <w:szCs w:val="32"/>
          <w:lang w:val="en-US" w:eastAsia="zh-CN" w:bidi="ar-SA"/>
        </w:rPr>
        <w:t>是村（社区）建制调整，村（社区）干部补贴增加；二是新建救助站和未保中心建设项目土地成本划拨费用</w:t>
      </w:r>
      <w:r>
        <w:rPr>
          <w:rFonts w:hint="eastAsia" w:ascii="方正仿宋_GBK" w:eastAsia="方正仿宋_GBK" w:cs="仿宋_GB2312"/>
          <w:sz w:val="32"/>
          <w:szCs w:val="32"/>
          <w:lang w:val="en-US" w:eastAsia="zh-CN"/>
        </w:rPr>
        <w:t>。</w:t>
      </w:r>
    </w:p>
    <w:p w14:paraId="497B0312">
      <w:pPr>
        <w:pStyle w:val="4"/>
        <w:shd w:val="clear" w:color="auto" w:fill="FFFFFF"/>
        <w:snapToGrid w:val="0"/>
        <w:ind w:firstLine="542" w:firstLineChars="200"/>
        <w:rPr>
          <w:rFonts w:hint="eastAsia" w:ascii="方正仿宋_GBK" w:eastAsia="方正仿宋_GBK" w:cs="仿宋_GB2312" w:hAnsiTheme="minorHAnsi"/>
          <w:kern w:val="2"/>
          <w:sz w:val="32"/>
          <w:szCs w:val="32"/>
          <w:lang w:val="en-US" w:eastAsia="zh-CN"/>
        </w:rPr>
      </w:pPr>
      <w:r>
        <w:rPr>
          <w:rStyle w:val="7"/>
          <w:rFonts w:hint="eastAsia"/>
          <w:sz w:val="27"/>
          <w:szCs w:val="27"/>
        </w:rPr>
        <w:t>3.结转结余情况。</w:t>
      </w: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年度年末一般公共预算财政拨款结转</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与上年无增减变化。</w:t>
      </w:r>
    </w:p>
    <w:p w14:paraId="14EC5E93">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4.比较情况</w:t>
      </w:r>
      <w:r>
        <w:rPr>
          <w:rFonts w:hint="eastAsia"/>
          <w:sz w:val="27"/>
          <w:szCs w:val="27"/>
        </w:rPr>
        <w:t>。</w:t>
      </w:r>
      <w:r>
        <w:rPr>
          <w:rFonts w:hint="eastAsia" w:ascii="方正仿宋_GBK" w:eastAsia="方正仿宋_GBK" w:cs="仿宋_GB2312" w:hAnsiTheme="minorHAnsi"/>
          <w:kern w:val="2"/>
          <w:sz w:val="32"/>
          <w:szCs w:val="32"/>
        </w:rPr>
        <w:t>本部门202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年度一般公共预算财政拨款支出主要用于以下几个方面：</w:t>
      </w:r>
    </w:p>
    <w:p w14:paraId="2BA5211C">
      <w:pPr>
        <w:pStyle w:val="4"/>
        <w:shd w:val="clear" w:color="auto" w:fill="FFFFFF"/>
        <w:snapToGrid w:val="0"/>
        <w:ind w:firstLine="640" w:firstLineChars="200"/>
        <w:rPr>
          <w:rFonts w:hint="default" w:ascii="方正仿宋_GBK" w:eastAsia="方正仿宋_GBK" w:cs="仿宋_GB2312" w:hAnsiTheme="minorHAnsi"/>
          <w:kern w:val="2"/>
          <w:sz w:val="32"/>
          <w:szCs w:val="32"/>
          <w:lang w:val="en-US"/>
        </w:rPr>
      </w:pPr>
      <w:r>
        <w:rPr>
          <w:rFonts w:hint="eastAsia" w:ascii="方正仿宋_GBK" w:eastAsia="方正仿宋_GBK" w:cs="仿宋_GB2312" w:hAnsiTheme="minorHAnsi"/>
          <w:kern w:val="2"/>
          <w:sz w:val="32"/>
          <w:szCs w:val="32"/>
        </w:rPr>
        <w:t>（1）教育支出</w:t>
      </w:r>
      <w:r>
        <w:rPr>
          <w:rFonts w:hint="eastAsia" w:ascii="方正仿宋_GBK" w:eastAsia="方正仿宋_GBK" w:cs="仿宋_GB2312" w:hAnsiTheme="minorHAnsi"/>
          <w:kern w:val="2"/>
          <w:sz w:val="32"/>
          <w:szCs w:val="32"/>
          <w:lang w:val="en-US" w:eastAsia="zh-CN"/>
        </w:rPr>
        <w:t>2.34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与</w:t>
      </w:r>
      <w:r>
        <w:rPr>
          <w:rFonts w:hint="eastAsia" w:ascii="方正仿宋_GBK" w:eastAsia="方正仿宋_GBK" w:cs="仿宋_GB2312" w:hAnsiTheme="minorHAnsi"/>
          <w:kern w:val="2"/>
          <w:sz w:val="32"/>
          <w:szCs w:val="32"/>
        </w:rPr>
        <w:t>年初预算数</w:t>
      </w:r>
      <w:r>
        <w:rPr>
          <w:rFonts w:hint="eastAsia" w:ascii="方正仿宋_GBK" w:eastAsia="方正仿宋_GBK" w:cs="仿宋_GB2312" w:hAnsiTheme="minorHAnsi"/>
          <w:kern w:val="2"/>
          <w:sz w:val="32"/>
          <w:szCs w:val="32"/>
          <w:lang w:val="en-US" w:eastAsia="zh-CN"/>
        </w:rPr>
        <w:t>无增减变化。</w:t>
      </w:r>
    </w:p>
    <w:p w14:paraId="3B9CF6C0">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（2）社会保障与就业支出</w:t>
      </w:r>
      <w:r>
        <w:rPr>
          <w:rFonts w:hint="eastAsia" w:ascii="方正仿宋_GBK" w:eastAsia="方正仿宋_GBK" w:cs="仿宋_GB2312" w:hAnsiTheme="minorHAnsi"/>
          <w:kern w:val="2"/>
          <w:sz w:val="32"/>
          <w:szCs w:val="32"/>
          <w:lang w:val="en-US" w:eastAsia="zh-CN"/>
        </w:rPr>
        <w:t>5653.02</w:t>
      </w:r>
      <w:r>
        <w:rPr>
          <w:rFonts w:hint="eastAsia" w:ascii="方正仿宋_GBK" w:eastAsia="方正仿宋_GBK" w:cs="仿宋_GB2312" w:hAnsiTheme="minorHAnsi"/>
          <w:kern w:val="2"/>
          <w:sz w:val="32"/>
          <w:szCs w:val="32"/>
        </w:rPr>
        <w:t>万元，占一般公共预算财政拨款支出</w:t>
      </w:r>
      <w:r>
        <w:rPr>
          <w:rFonts w:hint="eastAsia" w:ascii="方正仿宋_GBK" w:eastAsia="方正仿宋_GBK" w:cs="仿宋_GB2312" w:hAnsiTheme="minorHAnsi"/>
          <w:kern w:val="2"/>
          <w:sz w:val="32"/>
          <w:szCs w:val="32"/>
          <w:lang w:val="en-US" w:eastAsia="zh-CN"/>
        </w:rPr>
        <w:t>的32</w:t>
      </w:r>
      <w:r>
        <w:rPr>
          <w:rFonts w:hint="eastAsia" w:ascii="方正仿宋_GBK" w:eastAsia="方正仿宋_GBK" w:cs="仿宋_GB2312" w:hAnsiTheme="minorHAnsi"/>
          <w:kern w:val="2"/>
          <w:sz w:val="32"/>
          <w:szCs w:val="32"/>
        </w:rPr>
        <w:t>%，较年初预算数</w:t>
      </w:r>
      <w:r>
        <w:rPr>
          <w:rFonts w:hint="eastAsia" w:ascii="方正仿宋_GBK" w:eastAsia="方正仿宋_GBK" w:cs="仿宋_GB2312" w:hAnsiTheme="minorHAnsi"/>
          <w:kern w:val="2"/>
          <w:sz w:val="32"/>
          <w:szCs w:val="32"/>
          <w:lang w:val="en-US" w:eastAsia="zh-CN"/>
        </w:rPr>
        <w:t>增加616.29</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增长12</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w:t>
      </w:r>
      <w:r>
        <w:rPr>
          <w:rFonts w:hint="eastAsia" w:ascii="方正仿宋_GBK" w:eastAsia="方正仿宋_GBK" w:cs="仿宋_GB2312" w:hAnsiTheme="minorHAnsi"/>
          <w:kern w:val="2"/>
          <w:sz w:val="32"/>
          <w:szCs w:val="32"/>
          <w:lang w:val="en-US" w:eastAsia="zh-CN" w:bidi="ar-SA"/>
        </w:rPr>
        <w:t>新建救助站和未保中心建设项目土地成本划拨费用</w:t>
      </w:r>
      <w:r>
        <w:rPr>
          <w:rFonts w:hint="eastAsia" w:ascii="方正仿宋_GBK" w:eastAsia="方正仿宋_GBK" w:cs="仿宋_GB2312"/>
          <w:sz w:val="32"/>
          <w:szCs w:val="32"/>
          <w:lang w:val="en-US" w:eastAsia="zh-CN"/>
        </w:rPr>
        <w:t>。</w:t>
      </w:r>
    </w:p>
    <w:p w14:paraId="0F391E4F">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（3）卫生健康支出</w:t>
      </w:r>
      <w:r>
        <w:rPr>
          <w:rFonts w:hint="eastAsia" w:ascii="方正仿宋_GBK" w:eastAsia="方正仿宋_GBK" w:cs="仿宋_GB2312" w:hAnsiTheme="minorHAnsi"/>
          <w:kern w:val="2"/>
          <w:sz w:val="32"/>
          <w:szCs w:val="32"/>
          <w:lang w:val="en-US" w:eastAsia="zh-CN"/>
        </w:rPr>
        <w:t>38.3</w:t>
      </w:r>
      <w:r>
        <w:rPr>
          <w:rFonts w:hint="eastAsia" w:ascii="方正仿宋_GBK" w:eastAsia="方正仿宋_GBK" w:cs="仿宋_GB2312" w:hAnsiTheme="minorHAnsi"/>
          <w:kern w:val="2"/>
          <w:sz w:val="32"/>
          <w:szCs w:val="32"/>
        </w:rPr>
        <w:t>万元，较年初预算数</w:t>
      </w:r>
      <w:r>
        <w:rPr>
          <w:rFonts w:hint="eastAsia" w:ascii="方正仿宋_GBK" w:eastAsia="方正仿宋_GBK" w:cs="仿宋_GB2312" w:hAnsiTheme="minorHAnsi"/>
          <w:kern w:val="2"/>
          <w:sz w:val="32"/>
          <w:szCs w:val="32"/>
          <w:lang w:val="en-US" w:eastAsia="zh-CN"/>
        </w:rPr>
        <w:t>增加7.7万元，增长25%。主要原因是本年增加关爱殡葬行业一线工作人员临时补助9.59万元</w:t>
      </w:r>
      <w:r>
        <w:rPr>
          <w:rFonts w:hint="eastAsia" w:ascii="方正仿宋_GBK" w:eastAsia="方正仿宋_GBK" w:cs="仿宋_GB2312" w:hAnsiTheme="minorHAnsi"/>
          <w:kern w:val="2"/>
          <w:sz w:val="32"/>
          <w:szCs w:val="32"/>
        </w:rPr>
        <w:t>。</w:t>
      </w:r>
    </w:p>
    <w:p w14:paraId="60C1BF16">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（4）农林水支出</w:t>
      </w:r>
      <w:r>
        <w:rPr>
          <w:rFonts w:hint="eastAsia" w:ascii="方正仿宋_GBK" w:eastAsia="方正仿宋_GBK" w:cs="仿宋_GB2312" w:hAnsiTheme="minorHAnsi"/>
          <w:kern w:val="2"/>
          <w:sz w:val="32"/>
          <w:szCs w:val="32"/>
          <w:lang w:val="en-US" w:eastAsia="zh-CN"/>
        </w:rPr>
        <w:t>11672.69</w:t>
      </w:r>
      <w:r>
        <w:rPr>
          <w:rFonts w:hint="eastAsia" w:ascii="方正仿宋_GBK" w:eastAsia="方正仿宋_GBK" w:cs="仿宋_GB2312" w:hAnsiTheme="minorHAnsi"/>
          <w:kern w:val="2"/>
          <w:sz w:val="32"/>
          <w:szCs w:val="32"/>
        </w:rPr>
        <w:t>万元，占一般公共预算财政拨款支出</w:t>
      </w:r>
      <w:r>
        <w:rPr>
          <w:rFonts w:hint="eastAsia" w:ascii="方正仿宋_GBK" w:eastAsia="方正仿宋_GBK" w:cs="仿宋_GB2312" w:hAnsiTheme="minorHAnsi"/>
          <w:kern w:val="2"/>
          <w:sz w:val="32"/>
          <w:szCs w:val="32"/>
          <w:lang w:val="en-US" w:eastAsia="zh-CN"/>
        </w:rPr>
        <w:t>的67</w:t>
      </w:r>
      <w:r>
        <w:rPr>
          <w:rFonts w:hint="eastAsia" w:ascii="方正仿宋_GBK" w:eastAsia="方正仿宋_GBK" w:cs="仿宋_GB2312" w:hAnsiTheme="minorHAnsi"/>
          <w:kern w:val="2"/>
          <w:sz w:val="32"/>
          <w:szCs w:val="32"/>
        </w:rPr>
        <w:t>%，较年初预算数</w:t>
      </w:r>
      <w:r>
        <w:rPr>
          <w:rFonts w:hint="eastAsia" w:ascii="方正仿宋_GBK" w:eastAsia="方正仿宋_GBK" w:cs="仿宋_GB2312" w:hAnsiTheme="minorHAnsi"/>
          <w:kern w:val="2"/>
          <w:sz w:val="32"/>
          <w:szCs w:val="32"/>
          <w:lang w:val="en-US" w:eastAsia="zh-CN"/>
        </w:rPr>
        <w:t>减少576.43</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下降5</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是受经济增长速度放缓影响，村社区干部补贴增长率较年初预算下降</w:t>
      </w:r>
      <w:r>
        <w:rPr>
          <w:rFonts w:hint="eastAsia" w:ascii="方正仿宋_GBK" w:eastAsia="方正仿宋_GBK" w:cs="仿宋_GB2312" w:hAnsiTheme="minorHAnsi"/>
          <w:kern w:val="2"/>
          <w:sz w:val="32"/>
          <w:szCs w:val="32"/>
        </w:rPr>
        <w:t>。</w:t>
      </w:r>
    </w:p>
    <w:p w14:paraId="6BFF42B8">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（5）住房保障支出</w:t>
      </w:r>
      <w:r>
        <w:rPr>
          <w:rFonts w:hint="eastAsia" w:ascii="方正仿宋_GBK" w:eastAsia="方正仿宋_GBK" w:cs="仿宋_GB2312" w:hAnsiTheme="minorHAnsi"/>
          <w:kern w:val="2"/>
          <w:sz w:val="32"/>
          <w:szCs w:val="32"/>
          <w:lang w:val="en-US" w:eastAsia="zh-CN"/>
        </w:rPr>
        <w:t>32.22</w:t>
      </w:r>
      <w:r>
        <w:rPr>
          <w:rFonts w:hint="eastAsia" w:ascii="方正仿宋_GBK" w:eastAsia="方正仿宋_GBK" w:cs="仿宋_GB2312" w:hAnsiTheme="minorHAnsi"/>
          <w:kern w:val="2"/>
          <w:sz w:val="32"/>
          <w:szCs w:val="32"/>
        </w:rPr>
        <w:t>万元，较年初预算数</w:t>
      </w:r>
      <w:r>
        <w:rPr>
          <w:rFonts w:hint="eastAsia" w:ascii="方正仿宋_GBK" w:eastAsia="方正仿宋_GBK" w:cs="仿宋_GB2312" w:hAnsiTheme="minorHAnsi"/>
          <w:kern w:val="2"/>
          <w:sz w:val="32"/>
          <w:szCs w:val="32"/>
          <w:lang w:val="en-US" w:eastAsia="zh-CN"/>
        </w:rPr>
        <w:t>无增减变化</w:t>
      </w:r>
      <w:r>
        <w:rPr>
          <w:rFonts w:hint="eastAsia" w:ascii="方正仿宋_GBK" w:eastAsia="方正仿宋_GBK" w:cs="仿宋_GB2312" w:hAnsiTheme="minorHAnsi"/>
          <w:kern w:val="2"/>
          <w:sz w:val="32"/>
          <w:szCs w:val="32"/>
        </w:rPr>
        <w:t>。</w:t>
      </w:r>
    </w:p>
    <w:p w14:paraId="2DFA3F17">
      <w:pPr>
        <w:pStyle w:val="4"/>
        <w:shd w:val="clear" w:color="auto" w:fill="FFFFFF"/>
        <w:snapToGrid w:val="0"/>
        <w:ind w:firstLine="643"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b/>
          <w:bCs/>
          <w:kern w:val="2"/>
          <w:sz w:val="32"/>
          <w:szCs w:val="32"/>
        </w:rPr>
        <w:t>（四）一般公共预算财政拨款基本支出决算情况说明</w:t>
      </w:r>
    </w:p>
    <w:p w14:paraId="4C192725">
      <w:pPr>
        <w:pStyle w:val="4"/>
        <w:shd w:val="clear" w:color="auto" w:fill="FFFFFF"/>
        <w:snapToGrid w:val="0"/>
        <w:ind w:firstLine="640" w:firstLineChars="200"/>
        <w:rPr>
          <w:rFonts w:hint="default" w:ascii="方正仿宋_GBK" w:eastAsia="方正仿宋_GBK" w:cs="仿宋_GB2312" w:hAnsiTheme="minorHAnsi"/>
          <w:kern w:val="2"/>
          <w:sz w:val="32"/>
          <w:szCs w:val="32"/>
          <w:lang w:val="en-US"/>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年度一般公共财政拨款基本支出</w:t>
      </w:r>
      <w:r>
        <w:rPr>
          <w:rFonts w:hint="eastAsia" w:ascii="方正仿宋_GBK" w:eastAsia="方正仿宋_GBK" w:cs="仿宋_GB2312" w:hAnsiTheme="minorHAnsi"/>
          <w:kern w:val="2"/>
          <w:sz w:val="32"/>
          <w:szCs w:val="32"/>
          <w:lang w:val="en-US" w:eastAsia="zh-CN"/>
        </w:rPr>
        <w:t>638.69</w:t>
      </w:r>
      <w:r>
        <w:rPr>
          <w:rFonts w:hint="eastAsia" w:ascii="方正仿宋_GBK" w:eastAsia="方正仿宋_GBK" w:cs="仿宋_GB2312" w:hAnsiTheme="minorHAnsi"/>
          <w:kern w:val="2"/>
          <w:sz w:val="32"/>
          <w:szCs w:val="32"/>
        </w:rPr>
        <w:t>万元。其中：人员经费</w:t>
      </w:r>
      <w:r>
        <w:rPr>
          <w:rFonts w:hint="eastAsia" w:ascii="方正仿宋_GBK" w:eastAsia="方正仿宋_GBK" w:cs="仿宋_GB2312" w:hAnsiTheme="minorHAnsi"/>
          <w:kern w:val="2"/>
          <w:sz w:val="32"/>
          <w:szCs w:val="32"/>
          <w:lang w:val="en-US" w:eastAsia="zh-CN"/>
        </w:rPr>
        <w:t>560.42</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增加75.42</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增长16</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主要原因一是本年新进人员1人，二是本年社保缴费等基数调整，社保缴费增加</w:t>
      </w:r>
      <w:r>
        <w:rPr>
          <w:rFonts w:hint="eastAsia" w:ascii="方正仿宋_GBK" w:eastAsia="方正仿宋_GBK" w:cs="仿宋_GB2312" w:hAnsiTheme="minorHAnsi"/>
          <w:kern w:val="2"/>
          <w:sz w:val="32"/>
          <w:szCs w:val="32"/>
          <w:lang w:val="en-US" w:eastAsia="zh-CN" w:bidi="ar-SA"/>
        </w:rPr>
        <w:t>。</w:t>
      </w:r>
      <w:r>
        <w:rPr>
          <w:rFonts w:hint="eastAsia" w:ascii="方正仿宋_GBK" w:eastAsia="方正仿宋_GBK" w:cs="仿宋_GB2312" w:hAnsiTheme="minorHAnsi"/>
          <w:kern w:val="2"/>
          <w:sz w:val="32"/>
          <w:szCs w:val="32"/>
        </w:rPr>
        <w:t>人员经费用途主要包括基本工资、津贴补贴、奖金、社会保障缴费、住房公积金、离休费、抚恤金、生活补助等。公用经费</w:t>
      </w:r>
      <w:r>
        <w:rPr>
          <w:rFonts w:hint="eastAsia" w:ascii="方正仿宋_GBK" w:eastAsia="方正仿宋_GBK" w:cs="仿宋_GB2312" w:hAnsiTheme="minorHAnsi"/>
          <w:kern w:val="2"/>
          <w:sz w:val="32"/>
          <w:szCs w:val="32"/>
          <w:lang w:val="en-US" w:eastAsia="zh-CN"/>
        </w:rPr>
        <w:t>78.26</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增加21.13</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增长37</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一是本年压缩项目支出，上年从项目支出中列支的费用，本年不得不开展的项目只有从公用经费列支；二是本年严格部门经济分类科目列报支出。主要是办公费、印刷费、咨询费、邮电费、差旅费比上年增加。</w:t>
      </w:r>
    </w:p>
    <w:p w14:paraId="5C82A109">
      <w:pPr>
        <w:pStyle w:val="4"/>
        <w:shd w:val="clear" w:color="auto" w:fill="FFFFFF"/>
        <w:snapToGrid w:val="0"/>
        <w:ind w:firstLine="542" w:firstLineChars="200"/>
      </w:pPr>
      <w:r>
        <w:rPr>
          <w:rStyle w:val="7"/>
          <w:rFonts w:hint="eastAsia"/>
          <w:sz w:val="27"/>
          <w:szCs w:val="27"/>
        </w:rPr>
        <w:t>（五）政府性基金预算收支决算情况说明</w:t>
      </w:r>
    </w:p>
    <w:p w14:paraId="7653619C">
      <w:pPr>
        <w:pStyle w:val="4"/>
        <w:shd w:val="clear" w:color="auto" w:fill="FFFFFF"/>
        <w:snapToGrid w:val="0"/>
        <w:ind w:firstLine="640" w:firstLineChars="200"/>
        <w:rPr>
          <w:rFonts w:hint="eastAsia" w:eastAsia="方正仿宋_GBK"/>
          <w:lang w:eastAsia="zh-CN"/>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年度政府性基金预算财政拨款年初结转</w:t>
      </w:r>
      <w:r>
        <w:rPr>
          <w:rFonts w:hint="eastAsia" w:ascii="方正仿宋_GBK" w:eastAsia="方正仿宋_GBK" w:cs="仿宋_GB2312" w:hAnsiTheme="minorHAnsi"/>
          <w:kern w:val="2"/>
          <w:sz w:val="32"/>
          <w:szCs w:val="32"/>
          <w:lang w:val="en-US" w:eastAsia="zh-CN"/>
        </w:rPr>
        <w:t>资金0</w:t>
      </w:r>
      <w:r>
        <w:rPr>
          <w:rFonts w:hint="eastAsia" w:ascii="方正仿宋_GBK" w:eastAsia="方正仿宋_GBK" w:cs="仿宋_GB2312" w:hAnsiTheme="minorHAnsi"/>
          <w:kern w:val="2"/>
          <w:sz w:val="32"/>
          <w:szCs w:val="32"/>
        </w:rPr>
        <w:t>万元，年末结转</w:t>
      </w:r>
      <w:r>
        <w:rPr>
          <w:rFonts w:hint="eastAsia" w:ascii="方正仿宋_GBK" w:eastAsia="方正仿宋_GBK" w:cs="仿宋_GB2312" w:hAnsiTheme="minorHAnsi"/>
          <w:kern w:val="2"/>
          <w:sz w:val="32"/>
          <w:szCs w:val="32"/>
          <w:lang w:val="en-US" w:eastAsia="zh-CN"/>
        </w:rPr>
        <w:t>资金0</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本年收入</w:t>
      </w:r>
      <w:r>
        <w:rPr>
          <w:rFonts w:hint="eastAsia" w:ascii="方正仿宋_GBK" w:eastAsia="方正仿宋_GBK" w:cs="仿宋_GB2312" w:hAnsiTheme="minorHAnsi"/>
          <w:kern w:val="2"/>
          <w:sz w:val="32"/>
          <w:szCs w:val="32"/>
          <w:lang w:val="en-US" w:eastAsia="zh-CN"/>
        </w:rPr>
        <w:t>1703.71</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减少216.98</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下降11</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本年中央和市级福利彩票资金收入减少</w:t>
      </w:r>
      <w:r>
        <w:rPr>
          <w:rFonts w:hint="eastAsia" w:eastAsia="方正仿宋_GBK" w:cs="Times New Roman"/>
          <w:sz w:val="32"/>
          <w:szCs w:val="32"/>
          <w:lang w:val="en-US" w:eastAsia="zh-CN"/>
        </w:rPr>
        <w:t>。</w:t>
      </w:r>
      <w:r>
        <w:rPr>
          <w:rFonts w:hint="eastAsia" w:ascii="宋体" w:hAnsi="宋体" w:eastAsia="方正仿宋_GBK" w:cs="Times New Roman"/>
          <w:kern w:val="2"/>
          <w:sz w:val="32"/>
          <w:szCs w:val="32"/>
          <w:lang w:val="en-US" w:eastAsia="zh-CN" w:bidi="ar-SA"/>
        </w:rPr>
        <w:t>本年支出</w:t>
      </w:r>
      <w:r>
        <w:rPr>
          <w:rFonts w:hint="eastAsia" w:eastAsia="方正仿宋_GBK" w:cs="Times New Roman"/>
          <w:kern w:val="2"/>
          <w:sz w:val="32"/>
          <w:szCs w:val="32"/>
          <w:lang w:val="en-US" w:eastAsia="zh-CN" w:bidi="ar-SA"/>
        </w:rPr>
        <w:t>1703.71</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减少237.32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下降12</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主要原因是部分项目推进缓慢，未验收拨款，未形成支出</w:t>
      </w:r>
      <w:r>
        <w:rPr>
          <w:rFonts w:hint="eastAsia" w:ascii="方正仿宋_GBK" w:eastAsia="方正仿宋_GBK" w:cs="仿宋_GB2312" w:hAnsiTheme="minorHAnsi"/>
          <w:kern w:val="2"/>
          <w:sz w:val="32"/>
          <w:szCs w:val="32"/>
          <w:lang w:eastAsia="zh-CN"/>
        </w:rPr>
        <w:t>。</w:t>
      </w:r>
    </w:p>
    <w:p w14:paraId="75DF316F">
      <w:pPr>
        <w:pStyle w:val="4"/>
        <w:numPr>
          <w:ilvl w:val="0"/>
          <w:numId w:val="1"/>
        </w:numPr>
        <w:shd w:val="clear" w:color="auto" w:fill="FFFFFF"/>
        <w:snapToGrid w:val="0"/>
        <w:ind w:left="269" w:leftChars="128" w:firstLine="271" w:firstLineChars="100"/>
      </w:pPr>
      <w:r>
        <w:rPr>
          <w:rStyle w:val="7"/>
          <w:rFonts w:hint="eastAsia"/>
          <w:sz w:val="27"/>
          <w:szCs w:val="27"/>
        </w:rPr>
        <w:t>国有资本经营预算财政拨款支</w:t>
      </w:r>
      <w:r>
        <w:rPr>
          <w:rStyle w:val="7"/>
          <w:rFonts w:hint="eastAsia"/>
          <w:sz w:val="27"/>
          <w:szCs w:val="27"/>
          <w:lang w:val="en-US" w:eastAsia="zh-CN"/>
        </w:rPr>
        <w:t>出</w:t>
      </w:r>
      <w:r>
        <w:rPr>
          <w:rStyle w:val="7"/>
          <w:rFonts w:hint="eastAsia"/>
          <w:sz w:val="27"/>
          <w:szCs w:val="27"/>
        </w:rPr>
        <w:t>决算情况说明。</w:t>
      </w:r>
    </w:p>
    <w:p w14:paraId="78F309B6">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本单位202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年度无国有资本经营预算财政拨款收支。无年初预算数，无上年决算数。</w:t>
      </w:r>
    </w:p>
    <w:p w14:paraId="7880DF87">
      <w:pPr>
        <w:pStyle w:val="4"/>
        <w:shd w:val="clear" w:color="auto" w:fill="FFFFFF"/>
        <w:snapToGrid w:val="0"/>
        <w:ind w:firstLine="723" w:firstLineChars="200"/>
      </w:pPr>
      <w:r>
        <w:rPr>
          <w:rStyle w:val="7"/>
          <w:rFonts w:hint="eastAsia"/>
          <w:sz w:val="36"/>
          <w:szCs w:val="36"/>
        </w:rPr>
        <w:t>三、“三公”经费情况说明</w:t>
      </w:r>
    </w:p>
    <w:p w14:paraId="25FE79A4">
      <w:pPr>
        <w:pStyle w:val="4"/>
        <w:shd w:val="clear" w:color="auto" w:fill="FFFFFF"/>
        <w:snapToGrid w:val="0"/>
        <w:ind w:firstLine="542" w:firstLineChars="200"/>
      </w:pPr>
      <w:r>
        <w:rPr>
          <w:rStyle w:val="7"/>
          <w:rFonts w:hint="eastAsia"/>
          <w:sz w:val="27"/>
          <w:szCs w:val="27"/>
        </w:rPr>
        <w:t>（一）“三公”经费支出总体情况说明</w:t>
      </w:r>
    </w:p>
    <w:p w14:paraId="5D686E65">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年度“三公”经费支出共计</w:t>
      </w:r>
      <w:r>
        <w:rPr>
          <w:rFonts w:hint="eastAsia" w:ascii="方正仿宋_GBK" w:eastAsia="方正仿宋_GBK" w:cs="仿宋_GB2312" w:hAnsiTheme="minorHAnsi"/>
          <w:kern w:val="2"/>
          <w:sz w:val="32"/>
          <w:szCs w:val="32"/>
          <w:lang w:val="en-US" w:eastAsia="zh-CN"/>
        </w:rPr>
        <w:t>3.52</w:t>
      </w:r>
      <w:r>
        <w:rPr>
          <w:rFonts w:hint="eastAsia" w:ascii="方正仿宋_GBK" w:eastAsia="方正仿宋_GBK" w:cs="仿宋_GB2312" w:hAnsiTheme="minorHAnsi"/>
          <w:kern w:val="2"/>
          <w:sz w:val="32"/>
          <w:szCs w:val="32"/>
        </w:rPr>
        <w:t>万元，较年初预算数减少</w:t>
      </w:r>
      <w:r>
        <w:rPr>
          <w:rFonts w:hint="eastAsia" w:ascii="方正仿宋_GBK" w:eastAsia="方正仿宋_GBK" w:cs="仿宋_GB2312" w:hAnsiTheme="minorHAnsi"/>
          <w:kern w:val="2"/>
          <w:sz w:val="32"/>
          <w:szCs w:val="32"/>
          <w:lang w:val="en-US" w:eastAsia="zh-CN"/>
        </w:rPr>
        <w:t>1.98</w:t>
      </w:r>
      <w:r>
        <w:rPr>
          <w:rFonts w:hint="eastAsia" w:ascii="方正仿宋_GBK" w:eastAsia="方正仿宋_GBK" w:cs="仿宋_GB2312" w:hAnsiTheme="minorHAnsi"/>
          <w:kern w:val="2"/>
          <w:sz w:val="32"/>
          <w:szCs w:val="32"/>
        </w:rPr>
        <w:t>万元，下降</w:t>
      </w:r>
      <w:r>
        <w:rPr>
          <w:rFonts w:hint="eastAsia" w:ascii="方正仿宋_GBK" w:eastAsia="方正仿宋_GBK" w:cs="仿宋_GB2312" w:hAnsiTheme="minorHAnsi"/>
          <w:kern w:val="2"/>
          <w:sz w:val="32"/>
          <w:szCs w:val="32"/>
          <w:lang w:val="en-US" w:eastAsia="zh-CN"/>
        </w:rPr>
        <w:t>36</w:t>
      </w:r>
      <w:r>
        <w:rPr>
          <w:rFonts w:hint="eastAsia" w:ascii="方正仿宋_GBK" w:eastAsia="方正仿宋_GBK" w:cs="仿宋_GB2312" w:hAnsiTheme="minorHAnsi"/>
          <w:kern w:val="2"/>
          <w:sz w:val="32"/>
          <w:szCs w:val="32"/>
        </w:rPr>
        <w:t>%，主要原因一是认真贯彻落实中央八项规定精神和厉行节约要求，做好“过紧日子”十条举措；二是严格落实公车使用规定，严禁公车私用；三是强化公务接待支出管理，严格遵守公务接待开支范围和开支标准，严格控制陪餐人数。较上年支出数</w:t>
      </w:r>
      <w:r>
        <w:rPr>
          <w:rFonts w:hint="eastAsia" w:ascii="方正仿宋_GBK" w:eastAsia="方正仿宋_GBK" w:cs="仿宋_GB2312" w:hAnsiTheme="minorHAnsi"/>
          <w:kern w:val="2"/>
          <w:sz w:val="32"/>
          <w:szCs w:val="32"/>
          <w:lang w:val="en-US" w:eastAsia="zh-CN"/>
        </w:rPr>
        <w:t>减少2.51</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下降42</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w:t>
      </w:r>
      <w:r>
        <w:rPr>
          <w:rFonts w:hint="eastAsia" w:ascii="方正仿宋_GBK" w:eastAsia="方正仿宋_GBK" w:cs="仿宋_GB2312" w:hAnsiTheme="minorHAnsi"/>
          <w:kern w:val="2"/>
          <w:sz w:val="32"/>
          <w:szCs w:val="32"/>
        </w:rPr>
        <w:t>一是认真贯彻落实中央八项规定精神和厉行节约要求，做好“过紧日子”十条举措；二是严格落实公车使用规定，严禁公车私用；三是强化公务接待支出管理，严格遵守公务接待开支范围和开支标准，严格控制陪餐人数。</w:t>
      </w:r>
    </w:p>
    <w:p w14:paraId="2CD0E44E">
      <w:pPr>
        <w:pStyle w:val="4"/>
        <w:shd w:val="clear" w:color="auto" w:fill="FFFFFF"/>
        <w:snapToGrid w:val="0"/>
        <w:ind w:firstLine="542" w:firstLineChars="200"/>
      </w:pPr>
      <w:r>
        <w:rPr>
          <w:rStyle w:val="7"/>
          <w:rFonts w:hint="eastAsia"/>
          <w:sz w:val="27"/>
          <w:szCs w:val="27"/>
        </w:rPr>
        <w:t>（二）“三公”经费分项支出情况</w:t>
      </w:r>
    </w:p>
    <w:p w14:paraId="1660E2AD">
      <w:pPr>
        <w:pStyle w:val="4"/>
        <w:shd w:val="clear" w:color="auto" w:fill="FFFFFF"/>
        <w:snapToGrid w:val="0"/>
        <w:ind w:firstLine="640" w:firstLineChars="200"/>
        <w:rPr>
          <w:rFonts w:hint="eastAsia"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年度因公出国（境）费用0.00万元，未发生因公出国（境）费用支出。费用支出较年初预算数增加0.00万元</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主要原因是本年未发生因公出国（境）费用支出。较上年支出数增加0.00万元，主要原因是本年与上年均未发生因公出国（境）费用支出。</w:t>
      </w:r>
    </w:p>
    <w:p w14:paraId="089B5BD3">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公务车购置费</w:t>
      </w:r>
      <w:r>
        <w:rPr>
          <w:rFonts w:hint="eastAsia" w:ascii="方正仿宋_GBK" w:eastAsia="方正仿宋_GBK" w:cs="仿宋_GB2312" w:hAnsiTheme="minorHAnsi"/>
          <w:kern w:val="2"/>
          <w:sz w:val="32"/>
          <w:szCs w:val="32"/>
          <w:lang w:val="en-US" w:eastAsia="zh-CN"/>
        </w:rPr>
        <w:t>0万</w:t>
      </w:r>
      <w:r>
        <w:rPr>
          <w:rFonts w:hint="eastAsia" w:ascii="方正仿宋_GBK" w:eastAsia="方正仿宋_GBK" w:cs="仿宋_GB2312" w:hAnsiTheme="minorHAnsi"/>
          <w:kern w:val="2"/>
          <w:sz w:val="32"/>
          <w:szCs w:val="32"/>
        </w:rPr>
        <w:t>元，</w:t>
      </w:r>
      <w:r>
        <w:rPr>
          <w:rFonts w:hint="eastAsia" w:ascii="方正仿宋_GBK" w:eastAsia="方正仿宋_GBK" w:cs="仿宋_GB2312" w:hAnsiTheme="minorHAnsi"/>
          <w:kern w:val="2"/>
          <w:sz w:val="32"/>
          <w:szCs w:val="32"/>
          <w:lang w:val="en-US" w:eastAsia="zh-CN"/>
        </w:rPr>
        <w:t>与上年无增减变化</w:t>
      </w:r>
      <w:r>
        <w:rPr>
          <w:rFonts w:hint="eastAsia" w:ascii="方正仿宋_GBK" w:eastAsia="方正仿宋_GBK" w:cs="仿宋_GB2312" w:hAnsiTheme="minorHAnsi"/>
          <w:kern w:val="2"/>
          <w:sz w:val="32"/>
          <w:szCs w:val="32"/>
        </w:rPr>
        <w:t>。</w:t>
      </w:r>
    </w:p>
    <w:p w14:paraId="0E9E953B">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公务车运行维护费</w:t>
      </w:r>
      <w:r>
        <w:rPr>
          <w:rFonts w:hint="eastAsia" w:ascii="方正仿宋_GBK" w:eastAsia="方正仿宋_GBK" w:cs="仿宋_GB2312" w:hAnsiTheme="minorHAnsi"/>
          <w:kern w:val="2"/>
          <w:sz w:val="32"/>
          <w:szCs w:val="32"/>
          <w:lang w:val="en-US" w:eastAsia="zh-CN"/>
        </w:rPr>
        <w:t>2.67</w:t>
      </w:r>
      <w:r>
        <w:rPr>
          <w:rFonts w:hint="eastAsia" w:ascii="方正仿宋_GBK" w:eastAsia="方正仿宋_GBK" w:cs="仿宋_GB2312" w:hAnsiTheme="minorHAnsi"/>
          <w:kern w:val="2"/>
          <w:sz w:val="32"/>
          <w:szCs w:val="32"/>
        </w:rPr>
        <w:t>万元，主要用于公车用油、维修费、过路过桥费、保险费、停车费、洗车费等。费用支出较年初预算数减少</w:t>
      </w:r>
      <w:r>
        <w:rPr>
          <w:rFonts w:hint="eastAsia" w:ascii="方正仿宋_GBK" w:eastAsia="方正仿宋_GBK" w:cs="仿宋_GB2312" w:hAnsiTheme="minorHAnsi"/>
          <w:kern w:val="2"/>
          <w:sz w:val="32"/>
          <w:szCs w:val="32"/>
          <w:lang w:val="en-US" w:eastAsia="zh-CN"/>
        </w:rPr>
        <w:t>2.33</w:t>
      </w:r>
      <w:r>
        <w:rPr>
          <w:rFonts w:hint="eastAsia" w:ascii="方正仿宋_GBK" w:eastAsia="方正仿宋_GBK" w:cs="仿宋_GB2312" w:hAnsiTheme="minorHAnsi"/>
          <w:kern w:val="2"/>
          <w:sz w:val="32"/>
          <w:szCs w:val="32"/>
        </w:rPr>
        <w:t>万元，下降</w:t>
      </w:r>
      <w:r>
        <w:rPr>
          <w:rFonts w:hint="eastAsia" w:ascii="方正仿宋_GBK" w:eastAsia="方正仿宋_GBK" w:cs="仿宋_GB2312" w:hAnsiTheme="minorHAnsi"/>
          <w:kern w:val="2"/>
          <w:sz w:val="32"/>
          <w:szCs w:val="32"/>
          <w:lang w:val="en-US" w:eastAsia="zh-CN"/>
        </w:rPr>
        <w:t>47</w:t>
      </w:r>
      <w:r>
        <w:rPr>
          <w:rFonts w:hint="eastAsia" w:ascii="方正仿宋_GBK" w:eastAsia="方正仿宋_GBK" w:cs="仿宋_GB2312" w:hAnsiTheme="minorHAnsi"/>
          <w:kern w:val="2"/>
          <w:sz w:val="32"/>
          <w:szCs w:val="32"/>
        </w:rPr>
        <w:t>%，主要原因是严格公务用车管理。较上年支出数减少</w:t>
      </w:r>
      <w:r>
        <w:rPr>
          <w:rFonts w:hint="eastAsia" w:ascii="方正仿宋_GBK" w:eastAsia="方正仿宋_GBK" w:cs="仿宋_GB2312" w:hAnsiTheme="minorHAnsi"/>
          <w:kern w:val="2"/>
          <w:sz w:val="32"/>
          <w:szCs w:val="32"/>
          <w:lang w:val="en-US" w:eastAsia="zh-CN"/>
        </w:rPr>
        <w:t>2.27</w:t>
      </w:r>
      <w:r>
        <w:rPr>
          <w:rFonts w:hint="eastAsia" w:ascii="方正仿宋_GBK" w:eastAsia="方正仿宋_GBK" w:cs="仿宋_GB2312" w:hAnsiTheme="minorHAnsi"/>
          <w:kern w:val="2"/>
          <w:sz w:val="32"/>
          <w:szCs w:val="32"/>
        </w:rPr>
        <w:t>万元，下降</w:t>
      </w:r>
      <w:r>
        <w:rPr>
          <w:rFonts w:hint="eastAsia" w:ascii="方正仿宋_GBK" w:eastAsia="方正仿宋_GBK" w:cs="仿宋_GB2312" w:hAnsiTheme="minorHAnsi"/>
          <w:kern w:val="2"/>
          <w:sz w:val="32"/>
          <w:szCs w:val="32"/>
          <w:lang w:val="en-US" w:eastAsia="zh-CN"/>
        </w:rPr>
        <w:t>46</w:t>
      </w:r>
      <w:r>
        <w:rPr>
          <w:rFonts w:hint="eastAsia" w:ascii="方正仿宋_GBK" w:eastAsia="方正仿宋_GBK" w:cs="仿宋_GB2312" w:hAnsiTheme="minorHAnsi"/>
          <w:kern w:val="2"/>
          <w:sz w:val="32"/>
          <w:szCs w:val="32"/>
        </w:rPr>
        <w:t>%，主要原因是严格公务用车管理。</w:t>
      </w:r>
    </w:p>
    <w:p w14:paraId="5673D57D">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公务接待费</w:t>
      </w:r>
      <w:r>
        <w:rPr>
          <w:rFonts w:hint="eastAsia" w:ascii="方正仿宋_GBK" w:eastAsia="方正仿宋_GBK" w:cs="仿宋_GB2312" w:hAnsiTheme="minorHAnsi"/>
          <w:kern w:val="2"/>
          <w:sz w:val="32"/>
          <w:szCs w:val="32"/>
          <w:lang w:val="en-US" w:eastAsia="zh-CN"/>
        </w:rPr>
        <w:t>0.85</w:t>
      </w:r>
      <w:r>
        <w:rPr>
          <w:rFonts w:hint="eastAsia" w:ascii="方正仿宋_GBK" w:eastAsia="方正仿宋_GBK" w:cs="仿宋_GB2312" w:hAnsiTheme="minorHAnsi"/>
          <w:kern w:val="2"/>
          <w:sz w:val="32"/>
          <w:szCs w:val="32"/>
        </w:rPr>
        <w:t>万元，主要用于接待区县民政局交流学习</w:t>
      </w:r>
      <w:r>
        <w:rPr>
          <w:rFonts w:hint="eastAsia" w:ascii="方正仿宋_GBK" w:eastAsia="方正仿宋_GBK" w:cs="仿宋_GB2312" w:hAnsiTheme="minorHAnsi"/>
          <w:kern w:val="2"/>
          <w:sz w:val="32"/>
          <w:szCs w:val="32"/>
          <w:lang w:val="en-US" w:eastAsia="zh-CN"/>
        </w:rPr>
        <w:t>养老服务、</w:t>
      </w:r>
      <w:r>
        <w:rPr>
          <w:rFonts w:hint="eastAsia" w:ascii="方正仿宋_GBK" w:eastAsia="方正仿宋_GBK" w:cs="仿宋_GB2312" w:hAnsiTheme="minorHAnsi"/>
          <w:kern w:val="2"/>
          <w:sz w:val="32"/>
          <w:szCs w:val="32"/>
        </w:rPr>
        <w:t>殡葬事务等工作。费用支出较年初预算数</w:t>
      </w:r>
      <w:r>
        <w:rPr>
          <w:rFonts w:hint="eastAsia" w:ascii="方正仿宋_GBK" w:eastAsia="方正仿宋_GBK" w:cs="仿宋_GB2312" w:hAnsiTheme="minorHAnsi"/>
          <w:kern w:val="2"/>
          <w:sz w:val="32"/>
          <w:szCs w:val="32"/>
          <w:lang w:val="en-US" w:eastAsia="zh-CN"/>
        </w:rPr>
        <w:t>增加0.35</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增长70</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本年接待市局二十大宣讲，长寿、城口等区县民政局交流学习，接待费费用增加</w:t>
      </w:r>
      <w:r>
        <w:rPr>
          <w:rFonts w:hint="eastAsia" w:ascii="方正仿宋_GBK" w:eastAsia="方正仿宋_GBK" w:cs="仿宋_GB2312" w:hAnsiTheme="minorHAnsi"/>
          <w:kern w:val="2"/>
          <w:sz w:val="32"/>
          <w:szCs w:val="32"/>
        </w:rPr>
        <w:t>。较上年支出数</w:t>
      </w:r>
      <w:r>
        <w:rPr>
          <w:rFonts w:hint="eastAsia" w:ascii="方正仿宋_GBK" w:eastAsia="方正仿宋_GBK" w:cs="仿宋_GB2312" w:hAnsiTheme="minorHAnsi"/>
          <w:kern w:val="2"/>
          <w:sz w:val="32"/>
          <w:szCs w:val="32"/>
          <w:lang w:val="en-US" w:eastAsia="zh-CN"/>
        </w:rPr>
        <w:t>减少0.24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下降22</w:t>
      </w:r>
      <w:r>
        <w:rPr>
          <w:rFonts w:hint="eastAsia" w:ascii="方正仿宋_GBK" w:eastAsia="方正仿宋_GBK" w:cs="仿宋_GB2312" w:hAnsiTheme="minorHAnsi"/>
          <w:kern w:val="2"/>
          <w:sz w:val="32"/>
          <w:szCs w:val="32"/>
        </w:rPr>
        <w:t>%，主要原因是严格公务接待审批，无公函一律不予接待</w:t>
      </w:r>
      <w:r>
        <w:rPr>
          <w:rFonts w:hint="eastAsia" w:ascii="方正仿宋_GBK" w:eastAsia="方正仿宋_GBK" w:cs="仿宋_GB2312" w:hAnsiTheme="minorHAnsi"/>
          <w:kern w:val="2"/>
          <w:sz w:val="32"/>
          <w:szCs w:val="32"/>
          <w:lang w:eastAsia="zh-CN"/>
        </w:rPr>
        <w:t>；</w:t>
      </w:r>
    </w:p>
    <w:p w14:paraId="30955D67">
      <w:pPr>
        <w:pStyle w:val="4"/>
        <w:shd w:val="clear" w:color="auto" w:fill="FFFFFF"/>
        <w:snapToGrid w:val="0"/>
        <w:ind w:firstLine="542" w:firstLineChars="200"/>
      </w:pPr>
      <w:r>
        <w:rPr>
          <w:rStyle w:val="7"/>
          <w:rFonts w:hint="eastAsia"/>
          <w:sz w:val="27"/>
          <w:szCs w:val="27"/>
        </w:rPr>
        <w:t>（三）“三公”经费实物量情况</w:t>
      </w:r>
    </w:p>
    <w:p w14:paraId="454A54CC">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年度因公出国（境）共计0个团组，0人；公务用车购置</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辆，公务车保有量为</w:t>
      </w:r>
      <w:r>
        <w:rPr>
          <w:rFonts w:hint="eastAsia" w:ascii="方正仿宋_GBK" w:eastAsia="方正仿宋_GBK" w:cs="仿宋_GB2312" w:hAnsiTheme="minorHAnsi"/>
          <w:kern w:val="2"/>
          <w:sz w:val="32"/>
          <w:szCs w:val="32"/>
          <w:lang w:val="en-US" w:eastAsia="zh-CN"/>
        </w:rPr>
        <w:t>1</w:t>
      </w:r>
      <w:r>
        <w:rPr>
          <w:rFonts w:hint="eastAsia" w:ascii="方正仿宋_GBK" w:eastAsia="方正仿宋_GBK" w:cs="仿宋_GB2312" w:hAnsiTheme="minorHAnsi"/>
          <w:kern w:val="2"/>
          <w:sz w:val="32"/>
          <w:szCs w:val="32"/>
        </w:rPr>
        <w:t>辆；国内公务接待</w:t>
      </w:r>
      <w:r>
        <w:rPr>
          <w:rFonts w:hint="eastAsia" w:ascii="方正仿宋_GBK" w:eastAsia="方正仿宋_GBK" w:cs="仿宋_GB2312" w:hAnsiTheme="minorHAnsi"/>
          <w:kern w:val="2"/>
          <w:sz w:val="32"/>
          <w:szCs w:val="32"/>
          <w:lang w:val="en-US" w:eastAsia="zh-CN"/>
        </w:rPr>
        <w:t>8</w:t>
      </w:r>
      <w:r>
        <w:rPr>
          <w:rFonts w:hint="eastAsia" w:ascii="方正仿宋_GBK" w:eastAsia="方正仿宋_GBK" w:cs="仿宋_GB2312" w:hAnsiTheme="minorHAnsi"/>
          <w:kern w:val="2"/>
          <w:sz w:val="32"/>
          <w:szCs w:val="32"/>
        </w:rPr>
        <w:t>批次</w:t>
      </w:r>
      <w:r>
        <w:rPr>
          <w:rFonts w:hint="eastAsia" w:ascii="方正仿宋_GBK" w:eastAsia="方正仿宋_GBK" w:cs="仿宋_GB2312" w:hAnsiTheme="minorHAnsi"/>
          <w:kern w:val="2"/>
          <w:sz w:val="32"/>
          <w:szCs w:val="32"/>
          <w:lang w:val="en-US" w:eastAsia="zh-CN"/>
        </w:rPr>
        <w:t>92</w:t>
      </w:r>
      <w:r>
        <w:rPr>
          <w:rFonts w:hint="eastAsia" w:ascii="方正仿宋_GBK" w:eastAsia="方正仿宋_GBK" w:cs="仿宋_GB2312" w:hAnsiTheme="minorHAnsi"/>
          <w:kern w:val="2"/>
          <w:sz w:val="32"/>
          <w:szCs w:val="32"/>
        </w:rPr>
        <w:t>人，其中：国内外事接待0批次，0人；国（境）外公务接待0批次，0人。202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年本</w:t>
      </w:r>
      <w:r>
        <w:rPr>
          <w:rFonts w:hint="eastAsia" w:ascii="方正仿宋_GBK" w:eastAsia="方正仿宋_GBK" w:cs="仿宋_GB2312" w:hAnsiTheme="minorHAnsi"/>
          <w:kern w:val="2"/>
          <w:sz w:val="32"/>
          <w:szCs w:val="32"/>
          <w:lang w:val="en-US" w:eastAsia="zh-CN"/>
        </w:rPr>
        <w:t>单位</w:t>
      </w:r>
      <w:r>
        <w:rPr>
          <w:rFonts w:hint="eastAsia" w:ascii="方正仿宋_GBK" w:eastAsia="方正仿宋_GBK" w:cs="仿宋_GB2312" w:hAnsiTheme="minorHAnsi"/>
          <w:kern w:val="2"/>
          <w:sz w:val="32"/>
          <w:szCs w:val="32"/>
        </w:rPr>
        <w:t>人均接待费</w:t>
      </w:r>
      <w:r>
        <w:rPr>
          <w:rFonts w:hint="eastAsia" w:ascii="方正仿宋_GBK" w:eastAsia="方正仿宋_GBK" w:cs="仿宋_GB2312" w:hAnsiTheme="minorHAnsi"/>
          <w:kern w:val="2"/>
          <w:sz w:val="32"/>
          <w:szCs w:val="32"/>
          <w:lang w:val="en-US" w:eastAsia="zh-CN"/>
        </w:rPr>
        <w:t>92.39</w:t>
      </w:r>
      <w:r>
        <w:rPr>
          <w:rFonts w:hint="eastAsia" w:ascii="方正仿宋_GBK" w:eastAsia="方正仿宋_GBK" w:cs="仿宋_GB2312" w:hAnsiTheme="minorHAnsi"/>
          <w:kern w:val="2"/>
          <w:sz w:val="32"/>
          <w:szCs w:val="32"/>
        </w:rPr>
        <w:t>元，车均购置费</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万元，车均维护费</w:t>
      </w:r>
      <w:r>
        <w:rPr>
          <w:rFonts w:hint="eastAsia" w:ascii="方正仿宋_GBK" w:eastAsia="方正仿宋_GBK" w:cs="仿宋_GB2312" w:hAnsiTheme="minorHAnsi"/>
          <w:kern w:val="2"/>
          <w:sz w:val="32"/>
          <w:szCs w:val="32"/>
          <w:lang w:val="en-US" w:eastAsia="zh-CN"/>
        </w:rPr>
        <w:t>2.67</w:t>
      </w:r>
      <w:r>
        <w:rPr>
          <w:rFonts w:hint="eastAsia" w:ascii="方正仿宋_GBK" w:eastAsia="方正仿宋_GBK" w:cs="仿宋_GB2312" w:hAnsiTheme="minorHAnsi"/>
          <w:kern w:val="2"/>
          <w:sz w:val="32"/>
          <w:szCs w:val="32"/>
        </w:rPr>
        <w:t>万元。</w:t>
      </w:r>
    </w:p>
    <w:p w14:paraId="347DC3EE">
      <w:pPr>
        <w:pStyle w:val="4"/>
        <w:shd w:val="clear" w:color="auto" w:fill="FFFFFF"/>
        <w:snapToGrid w:val="0"/>
        <w:ind w:firstLine="723" w:firstLineChars="200"/>
      </w:pPr>
      <w:r>
        <w:rPr>
          <w:rStyle w:val="7"/>
          <w:rFonts w:hint="eastAsia"/>
          <w:sz w:val="36"/>
          <w:szCs w:val="36"/>
        </w:rPr>
        <w:t>四、其他需要说明的事项</w:t>
      </w:r>
    </w:p>
    <w:p w14:paraId="6EDF393E">
      <w:pPr>
        <w:pStyle w:val="4"/>
        <w:shd w:val="clear" w:color="auto" w:fill="FFFFFF"/>
        <w:snapToGrid w:val="0"/>
        <w:ind w:firstLine="542" w:firstLineChars="200"/>
      </w:pPr>
      <w:r>
        <w:rPr>
          <w:rStyle w:val="7"/>
          <w:rFonts w:hint="eastAsia"/>
          <w:sz w:val="27"/>
          <w:szCs w:val="27"/>
        </w:rPr>
        <w:t>（一）机关运行经费情况说明</w:t>
      </w:r>
    </w:p>
    <w:p w14:paraId="0F87B1F4">
      <w:pPr>
        <w:pStyle w:val="4"/>
        <w:shd w:val="clear" w:color="auto" w:fill="FFFFFF"/>
        <w:snapToGrid w:val="0"/>
        <w:ind w:firstLine="640" w:firstLineChars="200"/>
        <w:rPr>
          <w:rFonts w:hint="default" w:ascii="方正仿宋_GBK" w:eastAsia="方正仿宋_GBK" w:cs="仿宋_GB2312" w:hAnsiTheme="minorHAnsi"/>
          <w:kern w:val="2"/>
          <w:sz w:val="32"/>
          <w:szCs w:val="32"/>
          <w:lang w:val="en-US"/>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年度机关运行经费支出</w:t>
      </w:r>
      <w:r>
        <w:rPr>
          <w:rFonts w:hint="eastAsia" w:ascii="方正仿宋_GBK" w:eastAsia="方正仿宋_GBK" w:cs="仿宋_GB2312" w:hAnsiTheme="minorHAnsi"/>
          <w:kern w:val="2"/>
          <w:sz w:val="32"/>
          <w:szCs w:val="32"/>
          <w:lang w:val="en-US" w:eastAsia="zh-CN"/>
        </w:rPr>
        <w:t>78.26</w:t>
      </w:r>
      <w:r>
        <w:rPr>
          <w:rFonts w:hint="eastAsia" w:ascii="方正仿宋_GBK" w:eastAsia="方正仿宋_GBK" w:cs="仿宋_GB2312" w:hAnsiTheme="minorHAnsi"/>
          <w:kern w:val="2"/>
          <w:sz w:val="32"/>
          <w:szCs w:val="32"/>
        </w:rPr>
        <w:t>万元，机关运行经费主要用于开支办公费、印刷费、水费、电费、邮电费、物业管理费、差旅费、维修（护）费、劳务费、培训费、会议费、公务接待费、公车运行和维护费、其他交通费用、其他商品和服务支出等。机关运行经费较上年决算数</w:t>
      </w:r>
      <w:r>
        <w:rPr>
          <w:rFonts w:hint="eastAsia" w:ascii="方正仿宋_GBK" w:eastAsia="方正仿宋_GBK" w:cs="仿宋_GB2312" w:hAnsiTheme="minorHAnsi"/>
          <w:kern w:val="2"/>
          <w:sz w:val="32"/>
          <w:szCs w:val="32"/>
          <w:lang w:val="en-US" w:eastAsia="zh-CN"/>
        </w:rPr>
        <w:t>增加21.13</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增长37</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主要原因一是本年压缩项目支出，上年从项目支出中列支的费用，不得不开展的项目本年从公用经费列支；二是本年严格部门经济分类科目列支。主要是办公费、印刷费、咨询费、邮电费、差旅费比上年增加。</w:t>
      </w:r>
    </w:p>
    <w:p w14:paraId="5EF209A4">
      <w:pPr>
        <w:pStyle w:val="4"/>
        <w:shd w:val="clear" w:color="auto" w:fill="FFFFFF"/>
        <w:snapToGrid w:val="0"/>
        <w:ind w:firstLine="640" w:firstLineChars="200"/>
        <w:rPr>
          <w:rFonts w:hint="eastAsia" w:ascii="方正仿宋_GBK" w:eastAsia="方正仿宋_GBK" w:cs="仿宋_GB2312" w:hAnsiTheme="minorHAnsi"/>
          <w:kern w:val="2"/>
          <w:sz w:val="32"/>
          <w:szCs w:val="32"/>
          <w:lang w:val="en-US" w:eastAsia="zh-CN"/>
        </w:rPr>
      </w:pPr>
      <w:r>
        <w:rPr>
          <w:rFonts w:hint="eastAsia" w:ascii="方正仿宋_GBK" w:eastAsia="方正仿宋_GBK" w:cs="仿宋_GB2312" w:hAnsiTheme="minorHAnsi"/>
          <w:kern w:val="2"/>
          <w:sz w:val="32"/>
          <w:szCs w:val="32"/>
          <w:lang w:val="en-US" w:eastAsia="zh-CN"/>
        </w:rPr>
        <w:t>2023</w:t>
      </w:r>
      <w:r>
        <w:rPr>
          <w:rFonts w:hint="eastAsia" w:ascii="方正仿宋_GBK" w:eastAsia="方正仿宋_GBK" w:cs="仿宋_GB2312" w:hAnsiTheme="minorHAnsi"/>
          <w:kern w:val="2"/>
          <w:sz w:val="32"/>
          <w:szCs w:val="32"/>
        </w:rPr>
        <w:t>年度会议费支出</w:t>
      </w:r>
      <w:r>
        <w:rPr>
          <w:rFonts w:hint="eastAsia" w:ascii="方正仿宋_GBK" w:eastAsia="方正仿宋_GBK" w:cs="仿宋_GB2312" w:hAnsiTheme="minorHAnsi"/>
          <w:kern w:val="2"/>
          <w:sz w:val="32"/>
          <w:szCs w:val="32"/>
          <w:lang w:val="en-US" w:eastAsia="zh-CN"/>
        </w:rPr>
        <w:t>0.17</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减少0.48</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下降74</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 xml:space="preserve">是精简会议，不得不开的会议多采用视频会议等方式。  </w:t>
      </w:r>
    </w:p>
    <w:p w14:paraId="64DA21DD">
      <w:pPr>
        <w:pStyle w:val="4"/>
        <w:shd w:val="clear" w:color="auto" w:fill="FFFFFF"/>
        <w:snapToGrid w:val="0"/>
        <w:ind w:firstLine="640" w:firstLineChars="200"/>
        <w:rPr>
          <w:rFonts w:hint="default" w:ascii="方正仿宋_GBK" w:eastAsia="方正仿宋_GBK" w:cs="仿宋_GB2312" w:hAnsiTheme="minorHAnsi"/>
          <w:kern w:val="2"/>
          <w:sz w:val="32"/>
          <w:szCs w:val="32"/>
          <w:lang w:val="en-US"/>
        </w:rPr>
      </w:pPr>
      <w:r>
        <w:rPr>
          <w:rFonts w:hint="eastAsia" w:ascii="方正仿宋_GBK" w:eastAsia="方正仿宋_GBK" w:cs="仿宋_GB2312" w:hAnsiTheme="minorHAnsi"/>
          <w:kern w:val="2"/>
          <w:sz w:val="32"/>
          <w:szCs w:val="32"/>
          <w:lang w:val="en-US" w:eastAsia="zh-CN"/>
        </w:rPr>
        <w:t>2023年度</w:t>
      </w:r>
      <w:r>
        <w:rPr>
          <w:rFonts w:hint="eastAsia" w:ascii="方正仿宋_GBK" w:eastAsia="方正仿宋_GBK" w:cs="仿宋_GB2312" w:hAnsiTheme="minorHAnsi"/>
          <w:kern w:val="2"/>
          <w:sz w:val="32"/>
          <w:szCs w:val="32"/>
        </w:rPr>
        <w:t>培训费支出</w:t>
      </w:r>
      <w:r>
        <w:rPr>
          <w:rFonts w:hint="eastAsia" w:ascii="方正仿宋_GBK" w:eastAsia="方正仿宋_GBK" w:cs="仿宋_GB2312" w:hAnsiTheme="minorHAnsi"/>
          <w:kern w:val="2"/>
          <w:sz w:val="32"/>
          <w:szCs w:val="32"/>
          <w:lang w:val="en-US" w:eastAsia="zh-CN"/>
        </w:rPr>
        <w:t>16.23</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增加4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增长33</w:t>
      </w:r>
      <w:r>
        <w:rPr>
          <w:rFonts w:hint="eastAsia" w:ascii="方正仿宋_GBK" w:eastAsia="方正仿宋_GBK" w:cs="仿宋_GB2312" w:hAnsiTheme="minorHAnsi"/>
          <w:kern w:val="2"/>
          <w:sz w:val="32"/>
          <w:szCs w:val="32"/>
        </w:rPr>
        <w:t>%，</w:t>
      </w:r>
      <w:r>
        <w:rPr>
          <w:rFonts w:hint="eastAsia" w:eastAsia="方正仿宋_GBK" w:cs="Times New Roman"/>
          <w:kern w:val="2"/>
          <w:sz w:val="32"/>
          <w:szCs w:val="32"/>
          <w:lang w:val="en-US" w:eastAsia="zh-CN" w:bidi="ar-SA"/>
        </w:rPr>
        <w:t>主要原因是本年开展儿童主任、养老机构安全员、养老服务领域、养老队伍人才培训，养老护理员赛前培训等。</w:t>
      </w:r>
    </w:p>
    <w:p w14:paraId="07B0E839">
      <w:pPr>
        <w:pStyle w:val="4"/>
        <w:shd w:val="clear" w:color="auto" w:fill="FFFFFF"/>
        <w:snapToGrid w:val="0"/>
        <w:ind w:firstLine="542" w:firstLineChars="200"/>
      </w:pPr>
      <w:r>
        <w:rPr>
          <w:rStyle w:val="7"/>
          <w:rFonts w:hint="eastAsia"/>
          <w:sz w:val="27"/>
          <w:szCs w:val="27"/>
        </w:rPr>
        <w:t>（二）国有资产占用情况说明</w:t>
      </w:r>
    </w:p>
    <w:p w14:paraId="78B69B49">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截至202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年12月31日，本</w:t>
      </w:r>
      <w:r>
        <w:rPr>
          <w:rFonts w:hint="eastAsia" w:ascii="方正仿宋_GBK" w:eastAsia="方正仿宋_GBK" w:cs="仿宋_GB2312" w:hAnsiTheme="minorHAnsi"/>
          <w:kern w:val="2"/>
          <w:sz w:val="32"/>
          <w:szCs w:val="32"/>
          <w:lang w:val="en-US" w:eastAsia="zh-CN"/>
        </w:rPr>
        <w:t>单位</w:t>
      </w:r>
      <w:r>
        <w:rPr>
          <w:rFonts w:hint="eastAsia" w:ascii="方正仿宋_GBK" w:eastAsia="方正仿宋_GBK" w:cs="仿宋_GB2312" w:hAnsiTheme="minorHAnsi"/>
          <w:kern w:val="2"/>
          <w:sz w:val="32"/>
          <w:szCs w:val="32"/>
        </w:rPr>
        <w:t>共有车辆</w:t>
      </w:r>
      <w:r>
        <w:rPr>
          <w:rFonts w:hint="eastAsia" w:ascii="方正仿宋_GBK" w:eastAsia="方正仿宋_GBK" w:cs="仿宋_GB2312" w:hAnsiTheme="minorHAnsi"/>
          <w:kern w:val="2"/>
          <w:sz w:val="32"/>
          <w:szCs w:val="32"/>
          <w:lang w:val="en-US" w:eastAsia="zh-CN"/>
        </w:rPr>
        <w:t>1</w:t>
      </w:r>
      <w:r>
        <w:rPr>
          <w:rFonts w:hint="eastAsia" w:ascii="方正仿宋_GBK" w:eastAsia="方正仿宋_GBK" w:cs="仿宋_GB2312" w:hAnsiTheme="minorHAnsi"/>
          <w:kern w:val="2"/>
          <w:sz w:val="32"/>
          <w:szCs w:val="32"/>
        </w:rPr>
        <w:t>辆，其中，副部（省）级及以上领导用车0辆、主要领导干部用车0辆、机要通信用车</w:t>
      </w:r>
      <w:r>
        <w:rPr>
          <w:rFonts w:hint="eastAsia" w:ascii="方正仿宋_GBK" w:eastAsia="方正仿宋_GBK" w:cs="仿宋_GB2312" w:hAnsiTheme="minorHAnsi"/>
          <w:kern w:val="2"/>
          <w:sz w:val="32"/>
          <w:szCs w:val="32"/>
          <w:lang w:val="en-US" w:eastAsia="zh-CN"/>
        </w:rPr>
        <w:t>1</w:t>
      </w:r>
      <w:r>
        <w:rPr>
          <w:rFonts w:hint="eastAsia" w:ascii="方正仿宋_GBK" w:eastAsia="方正仿宋_GBK" w:cs="仿宋_GB2312" w:hAnsiTheme="minorHAnsi"/>
          <w:kern w:val="2"/>
          <w:sz w:val="32"/>
          <w:szCs w:val="32"/>
        </w:rPr>
        <w:t>辆、应急保障用车</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辆、执法执勤用车0辆，特种专业技术用车</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辆，离退休干部用车0辆，其他用车0辆。单价50万元（含）以上通用设备0台（套），单价100万元（含）以上专用设备0台（套）。</w:t>
      </w:r>
    </w:p>
    <w:p w14:paraId="155106FF">
      <w:pPr>
        <w:pStyle w:val="4"/>
        <w:shd w:val="clear" w:color="auto" w:fill="FFFFFF"/>
        <w:snapToGrid w:val="0"/>
        <w:ind w:firstLine="542" w:firstLineChars="200"/>
      </w:pPr>
      <w:r>
        <w:rPr>
          <w:rStyle w:val="7"/>
          <w:rFonts w:hint="eastAsia"/>
          <w:sz w:val="27"/>
          <w:szCs w:val="27"/>
        </w:rPr>
        <w:t>（三）政府采购支出情况说明</w:t>
      </w:r>
    </w:p>
    <w:p w14:paraId="2C826AA2">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年度本部门政府采购支出总额</w:t>
      </w:r>
      <w:r>
        <w:rPr>
          <w:rFonts w:hint="eastAsia" w:eastAsia="方正仿宋_GBK" w:cs="Times New Roman"/>
          <w:kern w:val="2"/>
          <w:sz w:val="32"/>
          <w:szCs w:val="32"/>
          <w:lang w:val="en-US" w:eastAsia="zh-CN" w:bidi="ar-SA"/>
        </w:rPr>
        <w:t>34.72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其中：政府采购货物支出</w:t>
      </w:r>
      <w:r>
        <w:rPr>
          <w:rFonts w:hint="eastAsia" w:eastAsia="方正仿宋_GBK" w:cs="Times New Roman"/>
          <w:kern w:val="2"/>
          <w:sz w:val="32"/>
          <w:szCs w:val="32"/>
          <w:lang w:val="en-US" w:eastAsia="zh-CN" w:bidi="ar-SA"/>
        </w:rPr>
        <w:t>0.00</w:t>
      </w:r>
      <w:r>
        <w:rPr>
          <w:rFonts w:hint="eastAsia" w:ascii="宋体" w:hAnsi="宋体" w:eastAsia="方正仿宋_GBK" w:cs="Times New Roman"/>
          <w:kern w:val="2"/>
          <w:sz w:val="32"/>
          <w:szCs w:val="32"/>
          <w:lang w:val="en-US" w:eastAsia="zh-CN" w:bidi="ar-SA"/>
        </w:rPr>
        <w:t>万元、政府采购工程支出0.00万元、政府采购服务支出</w:t>
      </w:r>
      <w:r>
        <w:rPr>
          <w:rFonts w:hint="eastAsia" w:eastAsia="方正仿宋_GBK" w:cs="Times New Roman"/>
          <w:kern w:val="2"/>
          <w:sz w:val="32"/>
          <w:szCs w:val="32"/>
          <w:lang w:val="en-US" w:eastAsia="zh-CN" w:bidi="ar-SA"/>
        </w:rPr>
        <w:t>34.72</w:t>
      </w:r>
      <w:r>
        <w:rPr>
          <w:rFonts w:hint="eastAsia" w:ascii="宋体" w:hAnsi="宋体" w:eastAsia="方正仿宋_GBK" w:cs="Times New Roman"/>
          <w:kern w:val="2"/>
          <w:sz w:val="32"/>
          <w:szCs w:val="32"/>
          <w:lang w:val="en-US" w:eastAsia="zh-CN" w:bidi="ar-SA"/>
        </w:rPr>
        <w:t>万元。授予中小企业合同金额</w:t>
      </w:r>
      <w:r>
        <w:rPr>
          <w:rFonts w:hint="eastAsia" w:eastAsia="方正仿宋_GBK" w:cs="Times New Roman"/>
          <w:kern w:val="2"/>
          <w:sz w:val="32"/>
          <w:szCs w:val="32"/>
          <w:lang w:val="en-US" w:eastAsia="zh-CN" w:bidi="ar-SA"/>
        </w:rPr>
        <w:t>34.72</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100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其中：授予小微企业合同金额</w:t>
      </w:r>
      <w:r>
        <w:rPr>
          <w:rFonts w:hint="eastAsia" w:eastAsia="方正仿宋_GBK" w:cs="Times New Roman"/>
          <w:kern w:val="2"/>
          <w:sz w:val="32"/>
          <w:szCs w:val="32"/>
          <w:lang w:val="en-US" w:eastAsia="zh-CN" w:bidi="ar-SA"/>
        </w:rPr>
        <w:t>27.35</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79</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主要用于</w:t>
      </w:r>
      <w:r>
        <w:rPr>
          <w:rFonts w:hint="eastAsia" w:ascii="方正仿宋_GBK" w:eastAsia="方正仿宋_GBK" w:cs="仿宋_GB2312" w:hAnsiTheme="minorHAnsi"/>
          <w:kern w:val="2"/>
          <w:sz w:val="32"/>
          <w:szCs w:val="32"/>
          <w:lang w:val="en-US" w:eastAsia="zh-CN"/>
        </w:rPr>
        <w:t>社会工作三级服务体系社工项目</w:t>
      </w:r>
      <w:r>
        <w:rPr>
          <w:rFonts w:hint="eastAsia"/>
          <w:sz w:val="27"/>
          <w:szCs w:val="27"/>
        </w:rPr>
        <w:t>。</w:t>
      </w:r>
    </w:p>
    <w:p w14:paraId="2D3A6585">
      <w:pPr>
        <w:pStyle w:val="4"/>
        <w:shd w:val="clear" w:color="auto" w:fill="FFFFFF"/>
        <w:snapToGrid w:val="0"/>
        <w:ind w:firstLine="723" w:firstLineChars="200"/>
      </w:pPr>
      <w:r>
        <w:rPr>
          <w:rStyle w:val="7"/>
          <w:rFonts w:hint="eastAsia"/>
          <w:sz w:val="36"/>
          <w:szCs w:val="36"/>
        </w:rPr>
        <w:t>五、预算绩效管理情况说明</w:t>
      </w:r>
    </w:p>
    <w:p w14:paraId="4912CA34">
      <w:pPr>
        <w:pStyle w:val="4"/>
        <w:shd w:val="clear" w:color="auto" w:fill="FFFFFF"/>
        <w:snapToGrid w:val="0"/>
        <w:ind w:firstLine="542" w:firstLineChars="200"/>
      </w:pPr>
      <w:r>
        <w:rPr>
          <w:rStyle w:val="7"/>
          <w:rFonts w:hint="eastAsia"/>
          <w:sz w:val="27"/>
          <w:szCs w:val="27"/>
        </w:rPr>
        <w:t>（一）预算绩效管理工作开展情况</w:t>
      </w:r>
    </w:p>
    <w:p w14:paraId="2302E9D8">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color w:val="auto"/>
          <w:kern w:val="2"/>
          <w:sz w:val="32"/>
          <w:szCs w:val="32"/>
        </w:rPr>
        <w:t>根据预算绩效管理要求，我单位以填报目标自评表形式对</w:t>
      </w:r>
      <w:r>
        <w:rPr>
          <w:rFonts w:hint="eastAsia" w:ascii="方正仿宋_GBK" w:eastAsia="方正仿宋_GBK" w:cs="仿宋_GB2312" w:hAnsiTheme="minorHAnsi"/>
          <w:color w:val="auto"/>
          <w:kern w:val="2"/>
          <w:sz w:val="32"/>
          <w:szCs w:val="32"/>
          <w:lang w:val="en-US" w:eastAsia="zh-CN"/>
        </w:rPr>
        <w:t>31</w:t>
      </w:r>
      <w:r>
        <w:rPr>
          <w:rFonts w:hint="eastAsia" w:ascii="方正仿宋_GBK" w:eastAsia="方正仿宋_GBK" w:cs="仿宋_GB2312" w:hAnsiTheme="minorHAnsi"/>
          <w:color w:val="auto"/>
          <w:kern w:val="2"/>
          <w:sz w:val="32"/>
          <w:szCs w:val="32"/>
        </w:rPr>
        <w:t>个项目开展了绩效自评，涉及资金</w:t>
      </w:r>
      <w:r>
        <w:rPr>
          <w:rFonts w:hint="eastAsia" w:ascii="方正仿宋_GBK" w:eastAsia="方正仿宋_GBK" w:cs="仿宋_GB2312" w:hAnsiTheme="minorHAnsi"/>
          <w:color w:val="auto"/>
          <w:kern w:val="2"/>
          <w:sz w:val="32"/>
          <w:szCs w:val="32"/>
          <w:lang w:val="en-US" w:eastAsia="zh-CN"/>
        </w:rPr>
        <w:t>18488.27</w:t>
      </w:r>
      <w:r>
        <w:rPr>
          <w:rFonts w:hint="eastAsia" w:ascii="方正仿宋_GBK" w:eastAsia="方正仿宋_GBK" w:cs="仿宋_GB2312" w:hAnsiTheme="minorHAnsi"/>
          <w:color w:val="auto"/>
          <w:kern w:val="2"/>
          <w:sz w:val="32"/>
          <w:szCs w:val="32"/>
        </w:rPr>
        <w:t>万元；从评价情况来看，</w:t>
      </w:r>
      <w:r>
        <w:rPr>
          <w:rFonts w:hint="eastAsia" w:ascii="方正仿宋_GBK" w:eastAsia="方正仿宋_GBK"/>
          <w:color w:val="auto"/>
          <w:sz w:val="32"/>
          <w:szCs w:val="32"/>
        </w:rPr>
        <w:t>根据年初设定的绩效目标，项目总体</w:t>
      </w:r>
      <w:r>
        <w:rPr>
          <w:rFonts w:ascii="方正仿宋_GBK" w:eastAsia="方正仿宋_GBK"/>
          <w:color w:val="auto"/>
          <w:sz w:val="32"/>
          <w:szCs w:val="32"/>
        </w:rPr>
        <w:t>完成情况</w:t>
      </w:r>
      <w:r>
        <w:rPr>
          <w:rFonts w:hint="eastAsia" w:ascii="方正仿宋_GBK" w:eastAsia="方正仿宋_GBK"/>
          <w:color w:val="auto"/>
          <w:sz w:val="32"/>
          <w:szCs w:val="32"/>
        </w:rPr>
        <w:t>较好，</w:t>
      </w:r>
      <w:r>
        <w:rPr>
          <w:rFonts w:hint="eastAsia" w:ascii="方正仿宋_GBK" w:eastAsia="方正仿宋_GBK"/>
          <w:color w:val="auto"/>
          <w:sz w:val="32"/>
          <w:szCs w:val="32"/>
          <w:lang w:val="en-US" w:eastAsia="zh-CN"/>
        </w:rPr>
        <w:t>积极做好孤儿、事实无人抚养儿童供养金、重度残疾人护理补贴、困难残疾人生活补贴、</w:t>
      </w:r>
      <w:r>
        <w:rPr>
          <w:rFonts w:hint="eastAsia" w:ascii="方正仿宋_GBK" w:eastAsia="方正仿宋_GBK"/>
          <w:color w:val="auto"/>
          <w:sz w:val="32"/>
          <w:szCs w:val="32"/>
        </w:rPr>
        <w:t>解决基本民</w:t>
      </w:r>
      <w:r>
        <w:rPr>
          <w:rFonts w:hint="eastAsia" w:ascii="方正仿宋_GBK" w:eastAsia="方正仿宋_GBK"/>
          <w:sz w:val="32"/>
          <w:szCs w:val="32"/>
        </w:rPr>
        <w:t>生保障；</w:t>
      </w:r>
      <w:r>
        <w:rPr>
          <w:rFonts w:hint="eastAsia" w:ascii="方正仿宋_GBK" w:eastAsia="方正仿宋_GBK"/>
          <w:sz w:val="32"/>
          <w:szCs w:val="32"/>
          <w:lang w:val="en-US" w:eastAsia="zh-CN"/>
        </w:rPr>
        <w:t>发放村（社区）干部补贴等；</w:t>
      </w:r>
      <w:r>
        <w:rPr>
          <w:rFonts w:hint="eastAsia" w:ascii="方正仿宋_GBK" w:eastAsia="方正仿宋_GBK"/>
          <w:sz w:val="32"/>
          <w:szCs w:val="32"/>
        </w:rPr>
        <w:t>购买社会工作等服务项目。</w:t>
      </w:r>
    </w:p>
    <w:p w14:paraId="1D3DFCD2">
      <w:pPr>
        <w:pStyle w:val="4"/>
        <w:shd w:val="clear" w:color="auto" w:fill="FFFFFF"/>
        <w:snapToGrid w:val="0"/>
        <w:ind w:firstLine="542" w:firstLineChars="200"/>
      </w:pPr>
      <w:r>
        <w:rPr>
          <w:rStyle w:val="7"/>
          <w:rFonts w:hint="eastAsia"/>
          <w:sz w:val="27"/>
          <w:szCs w:val="27"/>
        </w:rPr>
        <w:t>（二）绩效自评结果</w:t>
      </w:r>
    </w:p>
    <w:p w14:paraId="27734CFA">
      <w:pPr>
        <w:pStyle w:val="4"/>
        <w:shd w:val="clear" w:color="auto" w:fill="FFFFFF"/>
        <w:snapToGrid w:val="0"/>
        <w:ind w:firstLine="542" w:firstLineChars="200"/>
        <w:rPr>
          <w:rStyle w:val="7"/>
          <w:rFonts w:hint="eastAsia"/>
          <w:sz w:val="27"/>
          <w:szCs w:val="27"/>
        </w:rPr>
      </w:pPr>
      <w:r>
        <w:rPr>
          <w:rStyle w:val="7"/>
          <w:rFonts w:hint="eastAsia"/>
          <w:sz w:val="27"/>
          <w:szCs w:val="27"/>
        </w:rPr>
        <w:t>1.绩效自评表</w:t>
      </w:r>
    </w:p>
    <w:tbl>
      <w:tblPr>
        <w:tblStyle w:val="5"/>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38"/>
        <w:gridCol w:w="692"/>
        <w:gridCol w:w="692"/>
        <w:gridCol w:w="475"/>
        <w:gridCol w:w="216"/>
        <w:gridCol w:w="837"/>
        <w:gridCol w:w="135"/>
        <w:gridCol w:w="705"/>
        <w:gridCol w:w="1073"/>
        <w:gridCol w:w="1327"/>
        <w:gridCol w:w="970"/>
        <w:gridCol w:w="1211"/>
      </w:tblGrid>
      <w:tr w14:paraId="30E4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27" w:type="dxa"/>
            <w:tcBorders>
              <w:tl2br w:val="nil"/>
              <w:tr2bl w:val="nil"/>
            </w:tcBorders>
            <w:noWrap w:val="0"/>
            <w:vAlign w:val="center"/>
          </w:tcPr>
          <w:p w14:paraId="0A55FAF5">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26F6E9A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785" w:type="dxa"/>
            <w:gridSpan w:val="7"/>
            <w:tcBorders>
              <w:tl2br w:val="nil"/>
              <w:tr2bl w:val="nil"/>
            </w:tcBorders>
            <w:noWrap w:val="0"/>
            <w:vAlign w:val="center"/>
          </w:tcPr>
          <w:p w14:paraId="3C19BCA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村（社</w:t>
            </w:r>
            <w:r>
              <w:rPr>
                <w:rFonts w:hint="eastAsia" w:ascii="Times New Roman" w:hAnsi="Times New Roman" w:eastAsia="方正仿宋_GBK" w:cs="宋体"/>
                <w:color w:val="000000"/>
                <w:kern w:val="0"/>
                <w:sz w:val="24"/>
                <w:szCs w:val="24"/>
              </w:rPr>
              <w:t>区）干部补贴</w:t>
            </w:r>
          </w:p>
        </w:tc>
        <w:tc>
          <w:tcPr>
            <w:tcW w:w="705" w:type="dxa"/>
            <w:tcBorders>
              <w:tl2br w:val="nil"/>
              <w:tr2bl w:val="nil"/>
            </w:tcBorders>
            <w:noWrap w:val="0"/>
            <w:vAlign w:val="center"/>
          </w:tcPr>
          <w:p w14:paraId="1ABBDEFE">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14:paraId="71961D3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14:paraId="2EDF2AC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581" w:type="dxa"/>
            <w:gridSpan w:val="4"/>
            <w:tcBorders>
              <w:tl2br w:val="nil"/>
              <w:tr2bl w:val="nil"/>
            </w:tcBorders>
            <w:noWrap w:val="0"/>
            <w:vAlign w:val="center"/>
          </w:tcPr>
          <w:p w14:paraId="0BE1B6C7">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14:paraId="7E8D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27" w:type="dxa"/>
            <w:tcBorders>
              <w:tl2br w:val="nil"/>
              <w:tr2bl w:val="nil"/>
            </w:tcBorders>
            <w:noWrap w:val="0"/>
            <w:vAlign w:val="center"/>
          </w:tcPr>
          <w:p w14:paraId="054B0416">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14:paraId="65641A8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30" w:type="dxa"/>
            <w:gridSpan w:val="2"/>
            <w:tcBorders>
              <w:tl2br w:val="nil"/>
              <w:tr2bl w:val="nil"/>
            </w:tcBorders>
            <w:noWrap w:val="0"/>
            <w:vAlign w:val="center"/>
          </w:tcPr>
          <w:p w14:paraId="1E1983B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167" w:type="dxa"/>
            <w:gridSpan w:val="2"/>
            <w:tcBorders>
              <w:tl2br w:val="nil"/>
              <w:tr2bl w:val="nil"/>
            </w:tcBorders>
            <w:noWrap w:val="0"/>
            <w:vAlign w:val="center"/>
          </w:tcPr>
          <w:p w14:paraId="52C6659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88" w:type="dxa"/>
            <w:gridSpan w:val="3"/>
            <w:tcBorders>
              <w:tl2br w:val="nil"/>
              <w:tr2bl w:val="nil"/>
            </w:tcBorders>
            <w:noWrap w:val="0"/>
            <w:vAlign w:val="center"/>
          </w:tcPr>
          <w:p w14:paraId="4E612EC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705" w:type="dxa"/>
            <w:tcBorders>
              <w:tl2br w:val="nil"/>
              <w:tr2bl w:val="nil"/>
            </w:tcBorders>
            <w:noWrap w:val="0"/>
            <w:vAlign w:val="center"/>
          </w:tcPr>
          <w:p w14:paraId="1EB29C0E">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64F8B99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73" w:type="dxa"/>
            <w:tcBorders>
              <w:tl2br w:val="nil"/>
              <w:tr2bl w:val="nil"/>
            </w:tcBorders>
            <w:noWrap w:val="0"/>
            <w:vAlign w:val="center"/>
          </w:tcPr>
          <w:p w14:paraId="5C0A953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27" w:type="dxa"/>
            <w:tcBorders>
              <w:tl2br w:val="nil"/>
              <w:tr2bl w:val="nil"/>
            </w:tcBorders>
            <w:noWrap w:val="0"/>
            <w:vAlign w:val="center"/>
          </w:tcPr>
          <w:p w14:paraId="3F3A274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181" w:type="dxa"/>
            <w:gridSpan w:val="2"/>
            <w:tcBorders>
              <w:tl2br w:val="nil"/>
              <w:tr2bl w:val="nil"/>
            </w:tcBorders>
            <w:noWrap w:val="0"/>
            <w:vAlign w:val="center"/>
          </w:tcPr>
          <w:p w14:paraId="132956A8">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14:paraId="0072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7" w:type="dxa"/>
            <w:vMerge w:val="restart"/>
            <w:tcBorders>
              <w:tl2br w:val="nil"/>
              <w:tr2bl w:val="nil"/>
            </w:tcBorders>
            <w:noWrap w:val="0"/>
            <w:textDirection w:val="tbRlV"/>
            <w:vAlign w:val="center"/>
          </w:tcPr>
          <w:p w14:paraId="24826A30">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30" w:type="dxa"/>
            <w:gridSpan w:val="2"/>
            <w:vMerge w:val="restart"/>
            <w:tcBorders>
              <w:tl2br w:val="nil"/>
              <w:tr2bl w:val="nil"/>
            </w:tcBorders>
            <w:noWrap w:val="0"/>
            <w:vAlign w:val="center"/>
          </w:tcPr>
          <w:p w14:paraId="71D7DEC4">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167" w:type="dxa"/>
            <w:gridSpan w:val="2"/>
            <w:tcBorders>
              <w:tl2br w:val="nil"/>
              <w:tr2bl w:val="nil"/>
            </w:tcBorders>
            <w:noWrap w:val="0"/>
            <w:vAlign w:val="center"/>
          </w:tcPr>
          <w:p w14:paraId="544CCAD9">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14:paraId="43915749">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88" w:type="dxa"/>
            <w:gridSpan w:val="3"/>
            <w:tcBorders>
              <w:tl2br w:val="nil"/>
              <w:tr2bl w:val="nil"/>
            </w:tcBorders>
            <w:noWrap w:val="0"/>
            <w:vAlign w:val="center"/>
          </w:tcPr>
          <w:p w14:paraId="1D99385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778" w:type="dxa"/>
            <w:gridSpan w:val="2"/>
            <w:tcBorders>
              <w:tl2br w:val="nil"/>
              <w:tr2bl w:val="nil"/>
            </w:tcBorders>
            <w:noWrap w:val="0"/>
            <w:vAlign w:val="center"/>
          </w:tcPr>
          <w:p w14:paraId="4DBA1F6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27" w:type="dxa"/>
            <w:tcBorders>
              <w:tl2br w:val="nil"/>
              <w:tr2bl w:val="nil"/>
            </w:tcBorders>
            <w:noWrap w:val="0"/>
            <w:vAlign w:val="center"/>
          </w:tcPr>
          <w:p w14:paraId="605E9A1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444DFD4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70" w:type="dxa"/>
            <w:tcBorders>
              <w:tl2br w:val="nil"/>
              <w:tr2bl w:val="nil"/>
            </w:tcBorders>
            <w:noWrap w:val="0"/>
            <w:vAlign w:val="center"/>
          </w:tcPr>
          <w:p w14:paraId="3A807A7D">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5A75890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11" w:type="dxa"/>
            <w:tcBorders>
              <w:tl2br w:val="nil"/>
              <w:tr2bl w:val="nil"/>
            </w:tcBorders>
            <w:noWrap w:val="0"/>
            <w:vAlign w:val="center"/>
          </w:tcPr>
          <w:p w14:paraId="524C29BB">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4A35393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2FCC686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7FD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27" w:type="dxa"/>
            <w:vMerge w:val="continue"/>
            <w:tcBorders>
              <w:tl2br w:val="nil"/>
              <w:tr2bl w:val="nil"/>
            </w:tcBorders>
            <w:noWrap w:val="0"/>
            <w:vAlign w:val="center"/>
          </w:tcPr>
          <w:p w14:paraId="78A66F2D">
            <w:pPr>
              <w:widowControl/>
              <w:spacing w:line="300" w:lineRule="exact"/>
              <w:rPr>
                <w:rFonts w:ascii="Times New Roman" w:hAnsi="Times New Roman" w:eastAsia="方正仿宋_GBK" w:cs="宋体"/>
                <w:color w:val="000000"/>
                <w:kern w:val="0"/>
                <w:sz w:val="24"/>
                <w:szCs w:val="24"/>
              </w:rPr>
            </w:pPr>
          </w:p>
        </w:tc>
        <w:tc>
          <w:tcPr>
            <w:tcW w:w="1430" w:type="dxa"/>
            <w:gridSpan w:val="2"/>
            <w:vMerge w:val="continue"/>
            <w:tcBorders>
              <w:tl2br w:val="nil"/>
              <w:tr2bl w:val="nil"/>
            </w:tcBorders>
            <w:noWrap w:val="0"/>
            <w:vAlign w:val="center"/>
          </w:tcPr>
          <w:p w14:paraId="2795AD75">
            <w:pPr>
              <w:spacing w:line="300" w:lineRule="exact"/>
              <w:jc w:val="center"/>
              <w:rPr>
                <w:rFonts w:hint="eastAsia" w:ascii="Times New Roman" w:hAnsi="Times New Roman" w:eastAsia="方正仿宋_GBK" w:cs="宋体"/>
                <w:color w:val="000000"/>
                <w:kern w:val="0"/>
                <w:sz w:val="24"/>
                <w:szCs w:val="24"/>
              </w:rPr>
            </w:pPr>
          </w:p>
        </w:tc>
        <w:tc>
          <w:tcPr>
            <w:tcW w:w="1167" w:type="dxa"/>
            <w:gridSpan w:val="2"/>
            <w:tcBorders>
              <w:tl2br w:val="nil"/>
              <w:tr2bl w:val="nil"/>
            </w:tcBorders>
            <w:noWrap w:val="0"/>
            <w:vAlign w:val="center"/>
          </w:tcPr>
          <w:p w14:paraId="579B573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11914.49</w:t>
            </w:r>
          </w:p>
        </w:tc>
        <w:tc>
          <w:tcPr>
            <w:tcW w:w="1188" w:type="dxa"/>
            <w:gridSpan w:val="3"/>
            <w:tcBorders>
              <w:tl2br w:val="nil"/>
              <w:tr2bl w:val="nil"/>
            </w:tcBorders>
            <w:noWrap w:val="0"/>
            <w:vAlign w:val="center"/>
          </w:tcPr>
          <w:p w14:paraId="3785B32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11369.21</w:t>
            </w:r>
          </w:p>
        </w:tc>
        <w:tc>
          <w:tcPr>
            <w:tcW w:w="1778" w:type="dxa"/>
            <w:gridSpan w:val="2"/>
            <w:tcBorders>
              <w:tl2br w:val="nil"/>
              <w:tr2bl w:val="nil"/>
            </w:tcBorders>
            <w:noWrap w:val="0"/>
            <w:vAlign w:val="center"/>
          </w:tcPr>
          <w:p w14:paraId="4326B21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11369.21</w:t>
            </w:r>
          </w:p>
        </w:tc>
        <w:tc>
          <w:tcPr>
            <w:tcW w:w="1327" w:type="dxa"/>
            <w:tcBorders>
              <w:tl2br w:val="nil"/>
              <w:tr2bl w:val="nil"/>
            </w:tcBorders>
            <w:noWrap w:val="0"/>
            <w:vAlign w:val="center"/>
          </w:tcPr>
          <w:p w14:paraId="08A6BA4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70" w:type="dxa"/>
            <w:tcBorders>
              <w:tl2br w:val="nil"/>
              <w:tr2bl w:val="nil"/>
            </w:tcBorders>
            <w:noWrap w:val="0"/>
            <w:vAlign w:val="center"/>
          </w:tcPr>
          <w:p w14:paraId="0F8F4197">
            <w:pPr>
              <w:widowControl/>
              <w:spacing w:line="300" w:lineRule="exact"/>
              <w:jc w:val="center"/>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11" w:type="dxa"/>
            <w:tcBorders>
              <w:tl2br w:val="nil"/>
              <w:tr2bl w:val="nil"/>
            </w:tcBorders>
            <w:noWrap w:val="0"/>
            <w:vAlign w:val="center"/>
          </w:tcPr>
          <w:p w14:paraId="6228A9A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11E7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27" w:type="dxa"/>
            <w:vMerge w:val="continue"/>
            <w:tcBorders>
              <w:tl2br w:val="nil"/>
              <w:tr2bl w:val="nil"/>
            </w:tcBorders>
            <w:noWrap w:val="0"/>
            <w:vAlign w:val="center"/>
          </w:tcPr>
          <w:p w14:paraId="51E7243A">
            <w:pPr>
              <w:widowControl/>
              <w:spacing w:line="300" w:lineRule="exact"/>
              <w:rPr>
                <w:rFonts w:ascii="Times New Roman" w:hAnsi="Times New Roman" w:eastAsia="方正仿宋_GBK" w:cs="宋体"/>
                <w:color w:val="000000"/>
                <w:kern w:val="0"/>
                <w:sz w:val="24"/>
                <w:szCs w:val="24"/>
              </w:rPr>
            </w:pPr>
          </w:p>
        </w:tc>
        <w:tc>
          <w:tcPr>
            <w:tcW w:w="1430" w:type="dxa"/>
            <w:gridSpan w:val="2"/>
            <w:tcBorders>
              <w:tl2br w:val="nil"/>
              <w:tr2bl w:val="nil"/>
            </w:tcBorders>
            <w:noWrap w:val="0"/>
            <w:vAlign w:val="center"/>
          </w:tcPr>
          <w:p w14:paraId="74650DF2">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14:paraId="6282E4F2">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167" w:type="dxa"/>
            <w:gridSpan w:val="2"/>
            <w:tcBorders>
              <w:tl2br w:val="nil"/>
              <w:tr2bl w:val="nil"/>
            </w:tcBorders>
            <w:noWrap w:val="0"/>
            <w:vAlign w:val="center"/>
          </w:tcPr>
          <w:p w14:paraId="192E73D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11914.49</w:t>
            </w:r>
          </w:p>
        </w:tc>
        <w:tc>
          <w:tcPr>
            <w:tcW w:w="1188" w:type="dxa"/>
            <w:gridSpan w:val="3"/>
            <w:tcBorders>
              <w:tl2br w:val="nil"/>
              <w:tr2bl w:val="nil"/>
            </w:tcBorders>
            <w:noWrap w:val="0"/>
            <w:vAlign w:val="center"/>
          </w:tcPr>
          <w:p w14:paraId="4654C9F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11369.21</w:t>
            </w:r>
          </w:p>
        </w:tc>
        <w:tc>
          <w:tcPr>
            <w:tcW w:w="1778" w:type="dxa"/>
            <w:gridSpan w:val="2"/>
            <w:tcBorders>
              <w:tl2br w:val="nil"/>
              <w:tr2bl w:val="nil"/>
            </w:tcBorders>
            <w:noWrap w:val="0"/>
            <w:vAlign w:val="center"/>
          </w:tcPr>
          <w:p w14:paraId="775A36E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11369.21</w:t>
            </w:r>
          </w:p>
        </w:tc>
        <w:tc>
          <w:tcPr>
            <w:tcW w:w="1327" w:type="dxa"/>
            <w:tcBorders>
              <w:tl2br w:val="nil"/>
              <w:tr2bl w:val="nil"/>
            </w:tcBorders>
            <w:noWrap w:val="0"/>
            <w:vAlign w:val="center"/>
          </w:tcPr>
          <w:p w14:paraId="2204D5D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70" w:type="dxa"/>
            <w:tcBorders>
              <w:tl2br w:val="nil"/>
              <w:tr2bl w:val="nil"/>
            </w:tcBorders>
            <w:noWrap w:val="0"/>
            <w:vAlign w:val="center"/>
          </w:tcPr>
          <w:p w14:paraId="6A14520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11" w:type="dxa"/>
            <w:tcBorders>
              <w:tl2br w:val="nil"/>
              <w:tr2bl w:val="nil"/>
            </w:tcBorders>
            <w:noWrap w:val="0"/>
            <w:vAlign w:val="center"/>
          </w:tcPr>
          <w:p w14:paraId="19F9F74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6F50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27" w:type="dxa"/>
            <w:vMerge w:val="restart"/>
            <w:tcBorders>
              <w:tl2br w:val="nil"/>
              <w:tr2bl w:val="nil"/>
            </w:tcBorders>
            <w:noWrap w:val="0"/>
            <w:vAlign w:val="center"/>
          </w:tcPr>
          <w:p w14:paraId="15A1951F">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563" w:type="dxa"/>
            <w:gridSpan w:val="9"/>
            <w:tcBorders>
              <w:tl2br w:val="nil"/>
              <w:tr2bl w:val="nil"/>
            </w:tcBorders>
            <w:noWrap w:val="0"/>
            <w:vAlign w:val="center"/>
          </w:tcPr>
          <w:p w14:paraId="20028BF3">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08" w:type="dxa"/>
            <w:gridSpan w:val="3"/>
            <w:tcBorders>
              <w:tl2br w:val="nil"/>
              <w:tr2bl w:val="nil"/>
            </w:tcBorders>
            <w:noWrap w:val="0"/>
            <w:vAlign w:val="center"/>
          </w:tcPr>
          <w:p w14:paraId="53A506B4">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14:paraId="3C76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27" w:type="dxa"/>
            <w:vMerge w:val="continue"/>
            <w:tcBorders>
              <w:tl2br w:val="nil"/>
              <w:tr2bl w:val="nil"/>
            </w:tcBorders>
            <w:noWrap w:val="0"/>
            <w:vAlign w:val="center"/>
          </w:tcPr>
          <w:p w14:paraId="0C20228C">
            <w:pPr>
              <w:widowControl/>
              <w:spacing w:line="300" w:lineRule="exact"/>
              <w:rPr>
                <w:rFonts w:ascii="Times New Roman" w:hAnsi="Times New Roman" w:eastAsia="方正仿宋_GBK" w:cs="宋体"/>
                <w:color w:val="000000"/>
                <w:kern w:val="0"/>
                <w:sz w:val="24"/>
                <w:szCs w:val="24"/>
              </w:rPr>
            </w:pPr>
          </w:p>
        </w:tc>
        <w:tc>
          <w:tcPr>
            <w:tcW w:w="5563" w:type="dxa"/>
            <w:gridSpan w:val="9"/>
            <w:tcBorders>
              <w:tl2br w:val="nil"/>
              <w:tr2bl w:val="nil"/>
            </w:tcBorders>
            <w:noWrap w:val="0"/>
            <w:vAlign w:val="center"/>
          </w:tcPr>
          <w:p w14:paraId="5CC711FB">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落实村（居）干部待遇，提高基层干部的工作积极性，确保区委区政府各项工作部署落实到位，确保村（居）干部更好为人民群众服务。</w:t>
            </w:r>
          </w:p>
        </w:tc>
        <w:tc>
          <w:tcPr>
            <w:tcW w:w="3508" w:type="dxa"/>
            <w:gridSpan w:val="3"/>
            <w:tcBorders>
              <w:tl2br w:val="nil"/>
              <w:tr2bl w:val="nil"/>
            </w:tcBorders>
            <w:noWrap w:val="0"/>
            <w:vAlign w:val="center"/>
          </w:tcPr>
          <w:p w14:paraId="3F4F1BBF">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全年发放村（社区）干部补贴11369.21万元，落实好村（居）干部待遇。</w:t>
            </w:r>
          </w:p>
        </w:tc>
      </w:tr>
      <w:tr w14:paraId="107F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7" w:type="dxa"/>
            <w:vMerge w:val="restart"/>
            <w:tcBorders>
              <w:tl2br w:val="nil"/>
              <w:tr2bl w:val="nil"/>
            </w:tcBorders>
            <w:noWrap w:val="0"/>
            <w:textDirection w:val="tbRlV"/>
            <w:vAlign w:val="center"/>
          </w:tcPr>
          <w:p w14:paraId="5A01808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38" w:type="dxa"/>
            <w:tcBorders>
              <w:tl2br w:val="nil"/>
              <w:tr2bl w:val="nil"/>
            </w:tcBorders>
            <w:noWrap w:val="0"/>
            <w:vAlign w:val="center"/>
          </w:tcPr>
          <w:p w14:paraId="29511DDB">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652C8EE0">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692" w:type="dxa"/>
            <w:tcBorders>
              <w:tl2br w:val="nil"/>
              <w:tr2bl w:val="nil"/>
            </w:tcBorders>
            <w:noWrap w:val="0"/>
            <w:vAlign w:val="center"/>
          </w:tcPr>
          <w:p w14:paraId="021B576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14:paraId="0061B86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692" w:type="dxa"/>
            <w:tcBorders>
              <w:tl2br w:val="nil"/>
              <w:tr2bl w:val="nil"/>
            </w:tcBorders>
            <w:noWrap w:val="0"/>
            <w:vAlign w:val="center"/>
          </w:tcPr>
          <w:p w14:paraId="4AA8DDD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7EDE5C8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691" w:type="dxa"/>
            <w:gridSpan w:val="2"/>
            <w:tcBorders>
              <w:tl2br w:val="nil"/>
              <w:tr2bl w:val="nil"/>
            </w:tcBorders>
            <w:noWrap w:val="0"/>
            <w:vAlign w:val="center"/>
          </w:tcPr>
          <w:p w14:paraId="3FFEB9CE">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17D92B5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37" w:type="dxa"/>
            <w:tcBorders>
              <w:tl2br w:val="nil"/>
              <w:tr2bl w:val="nil"/>
            </w:tcBorders>
            <w:noWrap w:val="0"/>
            <w:vAlign w:val="center"/>
          </w:tcPr>
          <w:p w14:paraId="5DACD98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14:paraId="76DE3AA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40" w:type="dxa"/>
            <w:gridSpan w:val="2"/>
            <w:tcBorders>
              <w:tl2br w:val="nil"/>
              <w:tr2bl w:val="nil"/>
            </w:tcBorders>
            <w:noWrap w:val="0"/>
            <w:vAlign w:val="center"/>
          </w:tcPr>
          <w:p w14:paraId="12EA0ECF">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73" w:type="dxa"/>
            <w:tcBorders>
              <w:tl2br w:val="nil"/>
              <w:tr2bl w:val="nil"/>
            </w:tcBorders>
            <w:noWrap w:val="0"/>
            <w:vAlign w:val="center"/>
          </w:tcPr>
          <w:p w14:paraId="2B19949C">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144D81A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14:paraId="4DAB475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27" w:type="dxa"/>
            <w:tcBorders>
              <w:tl2br w:val="nil"/>
              <w:tr2bl w:val="nil"/>
            </w:tcBorders>
            <w:noWrap w:val="0"/>
            <w:vAlign w:val="center"/>
          </w:tcPr>
          <w:p w14:paraId="1015BF5C">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26B811B0">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14:paraId="78C8FF8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181" w:type="dxa"/>
            <w:gridSpan w:val="2"/>
            <w:tcBorders>
              <w:tl2br w:val="nil"/>
              <w:tr2bl w:val="nil"/>
            </w:tcBorders>
            <w:noWrap w:val="0"/>
            <w:vAlign w:val="center"/>
          </w:tcPr>
          <w:p w14:paraId="31EC59E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14:paraId="5FF6570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193A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7" w:type="dxa"/>
            <w:vMerge w:val="continue"/>
            <w:tcBorders>
              <w:tl2br w:val="nil"/>
              <w:tr2bl w:val="nil"/>
            </w:tcBorders>
            <w:noWrap w:val="0"/>
            <w:textDirection w:val="tbRlV"/>
            <w:vAlign w:val="center"/>
          </w:tcPr>
          <w:p w14:paraId="727B643E">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188AFF9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发放补贴人数</w:t>
            </w:r>
          </w:p>
        </w:tc>
        <w:tc>
          <w:tcPr>
            <w:tcW w:w="692" w:type="dxa"/>
            <w:tcBorders>
              <w:tl2br w:val="nil"/>
              <w:tr2bl w:val="nil"/>
            </w:tcBorders>
            <w:noWrap w:val="0"/>
            <w:vAlign w:val="center"/>
          </w:tcPr>
          <w:p w14:paraId="0264DDCD">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人</w:t>
            </w:r>
          </w:p>
        </w:tc>
        <w:tc>
          <w:tcPr>
            <w:tcW w:w="692" w:type="dxa"/>
            <w:tcBorders>
              <w:tl2br w:val="nil"/>
              <w:tr2bl w:val="nil"/>
            </w:tcBorders>
            <w:noWrap w:val="0"/>
            <w:vAlign w:val="center"/>
          </w:tcPr>
          <w:p w14:paraId="3DF2395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691" w:type="dxa"/>
            <w:gridSpan w:val="2"/>
            <w:tcBorders>
              <w:tl2br w:val="nil"/>
              <w:tr2bl w:val="nil"/>
            </w:tcBorders>
            <w:noWrap w:val="0"/>
            <w:vAlign w:val="center"/>
          </w:tcPr>
          <w:p w14:paraId="7F3D44A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2300</w:t>
            </w:r>
          </w:p>
        </w:tc>
        <w:tc>
          <w:tcPr>
            <w:tcW w:w="837" w:type="dxa"/>
            <w:tcBorders>
              <w:tl2br w:val="nil"/>
              <w:tr2bl w:val="nil"/>
            </w:tcBorders>
            <w:noWrap w:val="0"/>
            <w:vAlign w:val="center"/>
          </w:tcPr>
          <w:p w14:paraId="43E370C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2387</w:t>
            </w:r>
          </w:p>
        </w:tc>
        <w:tc>
          <w:tcPr>
            <w:tcW w:w="840" w:type="dxa"/>
            <w:gridSpan w:val="2"/>
            <w:tcBorders>
              <w:tl2br w:val="nil"/>
              <w:tr2bl w:val="nil"/>
            </w:tcBorders>
            <w:noWrap w:val="0"/>
            <w:vAlign w:val="center"/>
          </w:tcPr>
          <w:p w14:paraId="1DA35A5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1.61</w:t>
            </w:r>
          </w:p>
        </w:tc>
        <w:tc>
          <w:tcPr>
            <w:tcW w:w="1073" w:type="dxa"/>
            <w:tcBorders>
              <w:tl2br w:val="nil"/>
              <w:tr2bl w:val="nil"/>
            </w:tcBorders>
            <w:noWrap w:val="0"/>
            <w:vAlign w:val="center"/>
          </w:tcPr>
          <w:p w14:paraId="5104043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46482FD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c>
          <w:tcPr>
            <w:tcW w:w="2181" w:type="dxa"/>
            <w:gridSpan w:val="2"/>
            <w:tcBorders>
              <w:tl2br w:val="nil"/>
              <w:tr2bl w:val="nil"/>
            </w:tcBorders>
            <w:noWrap w:val="0"/>
            <w:vAlign w:val="center"/>
          </w:tcPr>
          <w:p w14:paraId="34BBF22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r>
      <w:tr w14:paraId="0E7D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27" w:type="dxa"/>
            <w:vMerge w:val="continue"/>
            <w:tcBorders>
              <w:tl2br w:val="nil"/>
              <w:tr2bl w:val="nil"/>
            </w:tcBorders>
            <w:noWrap w:val="0"/>
            <w:textDirection w:val="tbRlV"/>
            <w:vAlign w:val="center"/>
          </w:tcPr>
          <w:p w14:paraId="176693F7">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2FDE8D8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补贴发放准确率</w:t>
            </w:r>
          </w:p>
        </w:tc>
        <w:tc>
          <w:tcPr>
            <w:tcW w:w="692" w:type="dxa"/>
            <w:tcBorders>
              <w:tl2br w:val="nil"/>
              <w:tr2bl w:val="nil"/>
            </w:tcBorders>
            <w:noWrap w:val="0"/>
            <w:vAlign w:val="center"/>
          </w:tcPr>
          <w:p w14:paraId="24A17CAA">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09D96BA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691" w:type="dxa"/>
            <w:gridSpan w:val="2"/>
            <w:tcBorders>
              <w:tl2br w:val="nil"/>
              <w:tr2bl w:val="nil"/>
            </w:tcBorders>
            <w:noWrap w:val="0"/>
            <w:vAlign w:val="center"/>
          </w:tcPr>
          <w:p w14:paraId="7A5F3AB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37" w:type="dxa"/>
            <w:tcBorders>
              <w:tl2br w:val="nil"/>
              <w:tr2bl w:val="nil"/>
            </w:tcBorders>
            <w:noWrap w:val="0"/>
            <w:vAlign w:val="center"/>
          </w:tcPr>
          <w:p w14:paraId="6735367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40" w:type="dxa"/>
            <w:gridSpan w:val="2"/>
            <w:tcBorders>
              <w:tl2br w:val="nil"/>
              <w:tr2bl w:val="nil"/>
            </w:tcBorders>
            <w:noWrap w:val="0"/>
            <w:vAlign w:val="center"/>
          </w:tcPr>
          <w:p w14:paraId="618A290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0218725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477D403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181" w:type="dxa"/>
            <w:gridSpan w:val="2"/>
            <w:tcBorders>
              <w:tl2br w:val="nil"/>
              <w:tr2bl w:val="nil"/>
            </w:tcBorders>
            <w:noWrap w:val="0"/>
            <w:vAlign w:val="center"/>
          </w:tcPr>
          <w:p w14:paraId="14E2B94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7276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7" w:type="dxa"/>
            <w:vMerge w:val="continue"/>
            <w:tcBorders>
              <w:tl2br w:val="nil"/>
              <w:tr2bl w:val="nil"/>
            </w:tcBorders>
            <w:noWrap w:val="0"/>
            <w:textDirection w:val="tbRlV"/>
            <w:vAlign w:val="center"/>
          </w:tcPr>
          <w:p w14:paraId="0B2B04EF">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25B96E2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补贴发放按时到位率</w:t>
            </w:r>
          </w:p>
        </w:tc>
        <w:tc>
          <w:tcPr>
            <w:tcW w:w="692" w:type="dxa"/>
            <w:tcBorders>
              <w:tl2br w:val="nil"/>
              <w:tr2bl w:val="nil"/>
            </w:tcBorders>
            <w:noWrap w:val="0"/>
            <w:vAlign w:val="center"/>
          </w:tcPr>
          <w:p w14:paraId="5030B3C3">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5455CBD0">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691" w:type="dxa"/>
            <w:gridSpan w:val="2"/>
            <w:tcBorders>
              <w:tl2br w:val="nil"/>
              <w:tr2bl w:val="nil"/>
            </w:tcBorders>
            <w:noWrap w:val="0"/>
            <w:vAlign w:val="center"/>
          </w:tcPr>
          <w:p w14:paraId="29E8BE7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37" w:type="dxa"/>
            <w:tcBorders>
              <w:tl2br w:val="nil"/>
              <w:tr2bl w:val="nil"/>
            </w:tcBorders>
            <w:noWrap w:val="0"/>
            <w:vAlign w:val="center"/>
          </w:tcPr>
          <w:p w14:paraId="4B679B5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40" w:type="dxa"/>
            <w:gridSpan w:val="2"/>
            <w:tcBorders>
              <w:tl2br w:val="nil"/>
              <w:tr2bl w:val="nil"/>
            </w:tcBorders>
            <w:noWrap w:val="0"/>
            <w:vAlign w:val="center"/>
          </w:tcPr>
          <w:p w14:paraId="3EDC0E2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712D5CB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474E5E9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181" w:type="dxa"/>
            <w:gridSpan w:val="2"/>
            <w:tcBorders>
              <w:tl2br w:val="nil"/>
              <w:tr2bl w:val="nil"/>
            </w:tcBorders>
            <w:noWrap w:val="0"/>
            <w:vAlign w:val="center"/>
          </w:tcPr>
          <w:p w14:paraId="31734C7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72C5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7" w:type="dxa"/>
            <w:vMerge w:val="continue"/>
            <w:tcBorders>
              <w:tl2br w:val="nil"/>
              <w:tr2bl w:val="nil"/>
            </w:tcBorders>
            <w:noWrap w:val="0"/>
            <w:textDirection w:val="tbRlV"/>
            <w:vAlign w:val="center"/>
          </w:tcPr>
          <w:p w14:paraId="5498D1FA">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5F28A14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补贴发放政策知晓率</w:t>
            </w:r>
          </w:p>
        </w:tc>
        <w:tc>
          <w:tcPr>
            <w:tcW w:w="692" w:type="dxa"/>
            <w:tcBorders>
              <w:tl2br w:val="nil"/>
              <w:tr2bl w:val="nil"/>
            </w:tcBorders>
            <w:noWrap w:val="0"/>
            <w:vAlign w:val="center"/>
          </w:tcPr>
          <w:p w14:paraId="2BD6B3F2">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1F8974F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691" w:type="dxa"/>
            <w:gridSpan w:val="2"/>
            <w:tcBorders>
              <w:tl2br w:val="nil"/>
              <w:tr2bl w:val="nil"/>
            </w:tcBorders>
            <w:noWrap w:val="0"/>
            <w:vAlign w:val="center"/>
          </w:tcPr>
          <w:p w14:paraId="66E5F41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37" w:type="dxa"/>
            <w:tcBorders>
              <w:tl2br w:val="nil"/>
              <w:tr2bl w:val="nil"/>
            </w:tcBorders>
            <w:noWrap w:val="0"/>
            <w:vAlign w:val="center"/>
          </w:tcPr>
          <w:p w14:paraId="55DD9AD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40" w:type="dxa"/>
            <w:gridSpan w:val="2"/>
            <w:tcBorders>
              <w:tl2br w:val="nil"/>
              <w:tr2bl w:val="nil"/>
            </w:tcBorders>
            <w:noWrap w:val="0"/>
            <w:vAlign w:val="center"/>
          </w:tcPr>
          <w:p w14:paraId="3884646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1D1779E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3A80034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181" w:type="dxa"/>
            <w:gridSpan w:val="2"/>
            <w:tcBorders>
              <w:tl2br w:val="nil"/>
              <w:tr2bl w:val="nil"/>
            </w:tcBorders>
            <w:noWrap w:val="0"/>
            <w:vAlign w:val="center"/>
          </w:tcPr>
          <w:p w14:paraId="3C7CFE9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0250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7" w:type="dxa"/>
            <w:vMerge w:val="continue"/>
            <w:tcBorders>
              <w:tl2br w:val="nil"/>
              <w:tr2bl w:val="nil"/>
            </w:tcBorders>
            <w:noWrap w:val="0"/>
            <w:textDirection w:val="tbRlV"/>
            <w:vAlign w:val="center"/>
          </w:tcPr>
          <w:p w14:paraId="643CBB9C">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2E62AC1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受益对象对政策的满意度</w:t>
            </w:r>
          </w:p>
        </w:tc>
        <w:tc>
          <w:tcPr>
            <w:tcW w:w="692" w:type="dxa"/>
            <w:tcBorders>
              <w:tl2br w:val="nil"/>
              <w:tr2bl w:val="nil"/>
            </w:tcBorders>
            <w:noWrap w:val="0"/>
            <w:vAlign w:val="center"/>
          </w:tcPr>
          <w:p w14:paraId="25234EC8">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7A743C99">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691" w:type="dxa"/>
            <w:gridSpan w:val="2"/>
            <w:tcBorders>
              <w:tl2br w:val="nil"/>
              <w:tr2bl w:val="nil"/>
            </w:tcBorders>
            <w:noWrap w:val="0"/>
            <w:vAlign w:val="center"/>
          </w:tcPr>
          <w:p w14:paraId="3B2C47F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837" w:type="dxa"/>
            <w:tcBorders>
              <w:tl2br w:val="nil"/>
              <w:tr2bl w:val="nil"/>
            </w:tcBorders>
            <w:noWrap w:val="0"/>
            <w:vAlign w:val="center"/>
          </w:tcPr>
          <w:p w14:paraId="09006BE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93</w:t>
            </w:r>
          </w:p>
        </w:tc>
        <w:tc>
          <w:tcPr>
            <w:tcW w:w="840" w:type="dxa"/>
            <w:gridSpan w:val="2"/>
            <w:tcBorders>
              <w:tl2br w:val="nil"/>
              <w:tr2bl w:val="nil"/>
            </w:tcBorders>
            <w:noWrap w:val="0"/>
            <w:vAlign w:val="center"/>
          </w:tcPr>
          <w:p w14:paraId="2073585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7B1F186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17E268E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181" w:type="dxa"/>
            <w:gridSpan w:val="2"/>
            <w:tcBorders>
              <w:tl2br w:val="nil"/>
              <w:tr2bl w:val="nil"/>
            </w:tcBorders>
            <w:noWrap w:val="0"/>
            <w:vAlign w:val="center"/>
          </w:tcPr>
          <w:p w14:paraId="3C8603C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4024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tcBorders>
              <w:tl2br w:val="nil"/>
              <w:tr2bl w:val="nil"/>
            </w:tcBorders>
            <w:noWrap w:val="0"/>
            <w:vAlign w:val="center"/>
          </w:tcPr>
          <w:p w14:paraId="496421D4">
            <w:pPr>
              <w:widowControl/>
              <w:spacing w:line="300" w:lineRule="exact"/>
              <w:rPr>
                <w:rFonts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0A370B62">
            <w:pPr>
              <w:widowControl/>
              <w:spacing w:line="300" w:lineRule="exact"/>
              <w:rPr>
                <w:rFonts w:hint="eastAsia" w:ascii="Times New Roman" w:hAnsi="Times New Roman" w:eastAsia="方正仿宋_GBK" w:cs="宋体"/>
                <w:color w:val="000000"/>
                <w:kern w:val="0"/>
                <w:sz w:val="24"/>
                <w:szCs w:val="24"/>
              </w:rPr>
            </w:pPr>
          </w:p>
        </w:tc>
        <w:tc>
          <w:tcPr>
            <w:tcW w:w="692" w:type="dxa"/>
            <w:tcBorders>
              <w:tl2br w:val="nil"/>
              <w:tr2bl w:val="nil"/>
            </w:tcBorders>
            <w:noWrap w:val="0"/>
            <w:vAlign w:val="center"/>
          </w:tcPr>
          <w:p w14:paraId="26F1BB58">
            <w:pPr>
              <w:widowControl/>
              <w:spacing w:line="300" w:lineRule="exact"/>
              <w:rPr>
                <w:rFonts w:hint="eastAsia" w:ascii="Times New Roman" w:hAnsi="Times New Roman" w:eastAsia="方正仿宋_GBK" w:cs="宋体"/>
                <w:color w:val="000000"/>
                <w:kern w:val="0"/>
                <w:sz w:val="24"/>
                <w:szCs w:val="24"/>
              </w:rPr>
            </w:pPr>
          </w:p>
        </w:tc>
        <w:tc>
          <w:tcPr>
            <w:tcW w:w="692" w:type="dxa"/>
            <w:tcBorders>
              <w:tl2br w:val="nil"/>
              <w:tr2bl w:val="nil"/>
            </w:tcBorders>
            <w:noWrap w:val="0"/>
            <w:vAlign w:val="center"/>
          </w:tcPr>
          <w:p w14:paraId="62FC8C50">
            <w:pPr>
              <w:widowControl/>
              <w:spacing w:line="300" w:lineRule="exact"/>
              <w:rPr>
                <w:rFonts w:hint="eastAsia" w:ascii="Times New Roman" w:hAnsi="Times New Roman" w:eastAsia="方正仿宋_GBK" w:cs="宋体"/>
                <w:color w:val="000000"/>
                <w:kern w:val="0"/>
                <w:sz w:val="24"/>
                <w:szCs w:val="24"/>
              </w:rPr>
            </w:pPr>
          </w:p>
        </w:tc>
        <w:tc>
          <w:tcPr>
            <w:tcW w:w="691" w:type="dxa"/>
            <w:gridSpan w:val="2"/>
            <w:tcBorders>
              <w:tl2br w:val="nil"/>
              <w:tr2bl w:val="nil"/>
            </w:tcBorders>
            <w:noWrap w:val="0"/>
            <w:vAlign w:val="center"/>
          </w:tcPr>
          <w:p w14:paraId="71352911">
            <w:pPr>
              <w:widowControl/>
              <w:spacing w:line="300" w:lineRule="exact"/>
              <w:rPr>
                <w:rFonts w:hint="eastAsia" w:ascii="Times New Roman" w:hAnsi="Times New Roman" w:eastAsia="方正仿宋_GBK" w:cs="宋体"/>
                <w:color w:val="000000"/>
                <w:kern w:val="0"/>
                <w:sz w:val="24"/>
                <w:szCs w:val="24"/>
              </w:rPr>
            </w:pPr>
          </w:p>
        </w:tc>
        <w:tc>
          <w:tcPr>
            <w:tcW w:w="837" w:type="dxa"/>
            <w:tcBorders>
              <w:tl2br w:val="nil"/>
              <w:tr2bl w:val="nil"/>
            </w:tcBorders>
            <w:noWrap w:val="0"/>
            <w:vAlign w:val="center"/>
          </w:tcPr>
          <w:p w14:paraId="0091FD72">
            <w:pPr>
              <w:widowControl/>
              <w:spacing w:line="300" w:lineRule="exact"/>
              <w:rPr>
                <w:rFonts w:hint="eastAsia" w:ascii="Times New Roman" w:hAnsi="Times New Roman" w:eastAsia="方正仿宋_GBK" w:cs="宋体"/>
                <w:color w:val="000000"/>
                <w:kern w:val="0"/>
                <w:sz w:val="24"/>
                <w:szCs w:val="24"/>
              </w:rPr>
            </w:pPr>
          </w:p>
        </w:tc>
        <w:tc>
          <w:tcPr>
            <w:tcW w:w="840" w:type="dxa"/>
            <w:gridSpan w:val="2"/>
            <w:tcBorders>
              <w:tl2br w:val="nil"/>
              <w:tr2bl w:val="nil"/>
            </w:tcBorders>
            <w:noWrap w:val="0"/>
            <w:vAlign w:val="center"/>
          </w:tcPr>
          <w:p w14:paraId="79F6273B">
            <w:pPr>
              <w:widowControl/>
              <w:spacing w:line="300" w:lineRule="exact"/>
              <w:rPr>
                <w:rFonts w:hint="eastAsia" w:ascii="Times New Roman" w:hAnsi="Times New Roman" w:eastAsia="方正仿宋_GBK" w:cs="宋体"/>
                <w:color w:val="000000"/>
                <w:kern w:val="0"/>
                <w:sz w:val="24"/>
                <w:szCs w:val="24"/>
              </w:rPr>
            </w:pPr>
          </w:p>
        </w:tc>
        <w:tc>
          <w:tcPr>
            <w:tcW w:w="1073" w:type="dxa"/>
            <w:tcBorders>
              <w:tl2br w:val="nil"/>
              <w:tr2bl w:val="nil"/>
            </w:tcBorders>
            <w:noWrap w:val="0"/>
            <w:vAlign w:val="center"/>
          </w:tcPr>
          <w:p w14:paraId="5E885EB3">
            <w:pPr>
              <w:widowControl/>
              <w:spacing w:line="300" w:lineRule="exact"/>
              <w:rPr>
                <w:rFonts w:hint="eastAsia" w:ascii="Times New Roman" w:hAnsi="Times New Roman" w:eastAsia="方正仿宋_GBK" w:cs="宋体"/>
                <w:color w:val="000000"/>
                <w:kern w:val="0"/>
                <w:sz w:val="24"/>
                <w:szCs w:val="24"/>
              </w:rPr>
            </w:pPr>
          </w:p>
        </w:tc>
        <w:tc>
          <w:tcPr>
            <w:tcW w:w="1327" w:type="dxa"/>
            <w:tcBorders>
              <w:tl2br w:val="nil"/>
              <w:tr2bl w:val="nil"/>
            </w:tcBorders>
            <w:noWrap w:val="0"/>
            <w:vAlign w:val="center"/>
          </w:tcPr>
          <w:p w14:paraId="39246A61">
            <w:pPr>
              <w:widowControl/>
              <w:spacing w:line="300" w:lineRule="exact"/>
              <w:rPr>
                <w:rFonts w:hint="eastAsia" w:ascii="Times New Roman" w:hAnsi="Times New Roman" w:eastAsia="方正仿宋_GBK" w:cs="宋体"/>
                <w:color w:val="000000"/>
                <w:kern w:val="0"/>
                <w:sz w:val="24"/>
                <w:szCs w:val="24"/>
              </w:rPr>
            </w:pPr>
          </w:p>
        </w:tc>
        <w:tc>
          <w:tcPr>
            <w:tcW w:w="2181" w:type="dxa"/>
            <w:gridSpan w:val="2"/>
            <w:tcBorders>
              <w:tl2br w:val="nil"/>
              <w:tr2bl w:val="nil"/>
            </w:tcBorders>
            <w:noWrap w:val="0"/>
            <w:vAlign w:val="center"/>
          </w:tcPr>
          <w:p w14:paraId="1184CCE1">
            <w:pPr>
              <w:widowControl/>
              <w:spacing w:line="300" w:lineRule="exact"/>
              <w:rPr>
                <w:rFonts w:hint="eastAsia" w:ascii="Times New Roman" w:hAnsi="Times New Roman" w:eastAsia="方正仿宋_GBK" w:cs="宋体"/>
                <w:color w:val="000000"/>
                <w:kern w:val="0"/>
                <w:sz w:val="24"/>
                <w:szCs w:val="24"/>
              </w:rPr>
            </w:pPr>
          </w:p>
        </w:tc>
      </w:tr>
      <w:tr w14:paraId="5954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27" w:type="dxa"/>
            <w:tcBorders>
              <w:tl2br w:val="nil"/>
              <w:tr2bl w:val="nil"/>
            </w:tcBorders>
            <w:noWrap w:val="0"/>
            <w:vAlign w:val="center"/>
          </w:tcPr>
          <w:p w14:paraId="266427C4">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071" w:type="dxa"/>
            <w:gridSpan w:val="12"/>
            <w:tcBorders>
              <w:tl2br w:val="nil"/>
              <w:tr2bl w:val="nil"/>
            </w:tcBorders>
            <w:noWrap w:val="0"/>
            <w:vAlign w:val="center"/>
          </w:tcPr>
          <w:p w14:paraId="2B72D2D6">
            <w:pPr>
              <w:widowControl/>
              <w:spacing w:line="300" w:lineRule="exact"/>
              <w:rPr>
                <w:rFonts w:hint="eastAsia" w:ascii="Times New Roman" w:hAnsi="Times New Roman" w:eastAsia="方正仿宋_GBK" w:cs="宋体"/>
                <w:color w:val="000000"/>
                <w:kern w:val="0"/>
                <w:sz w:val="24"/>
                <w:szCs w:val="24"/>
              </w:rPr>
            </w:pPr>
          </w:p>
        </w:tc>
      </w:tr>
    </w:tbl>
    <w:p w14:paraId="40B7522E">
      <w:pPr>
        <w:pStyle w:val="4"/>
        <w:shd w:val="clear" w:color="auto" w:fill="FFFFFF"/>
        <w:snapToGrid w:val="0"/>
        <w:ind w:firstLine="542" w:firstLineChars="200"/>
        <w:rPr>
          <w:rStyle w:val="7"/>
          <w:rFonts w:hint="eastAsia"/>
          <w:sz w:val="27"/>
          <w:szCs w:val="27"/>
        </w:rPr>
      </w:pPr>
    </w:p>
    <w:p w14:paraId="633B1DFE">
      <w:pPr>
        <w:pStyle w:val="4"/>
        <w:shd w:val="clear" w:color="auto" w:fill="FFFFFF"/>
        <w:snapToGrid w:val="0"/>
        <w:rPr>
          <w:rStyle w:val="7"/>
          <w:sz w:val="27"/>
          <w:szCs w:val="27"/>
        </w:rPr>
      </w:pPr>
      <w:r>
        <w:rPr>
          <w:rStyle w:val="7"/>
          <w:rFonts w:hint="eastAsia"/>
          <w:sz w:val="27"/>
          <w:szCs w:val="27"/>
        </w:rPr>
        <w:t xml:space="preserve">    2.绩效自评报告或案例</w:t>
      </w:r>
    </w:p>
    <w:p w14:paraId="13CFA9F4">
      <w:pPr>
        <w:pStyle w:val="4"/>
        <w:shd w:val="clear" w:color="auto" w:fill="FFFFFF"/>
        <w:snapToGrid w:val="0"/>
        <w:ind w:firstLine="640" w:firstLineChars="200"/>
        <w:rPr>
          <w:rStyle w:val="7"/>
          <w:sz w:val="27"/>
          <w:szCs w:val="27"/>
        </w:rPr>
      </w:pPr>
      <w:r>
        <w:rPr>
          <w:rFonts w:hint="eastAsia" w:ascii="方正仿宋_GBK" w:eastAsia="方正仿宋_GBK" w:cs="仿宋_GB2312" w:hAnsiTheme="minorHAnsi"/>
          <w:kern w:val="2"/>
          <w:sz w:val="32"/>
          <w:szCs w:val="32"/>
        </w:rPr>
        <w:t>本单位未委托第三方机构，对202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年项目开展绩效自评，故无绩效自评报告或案例。</w:t>
      </w:r>
    </w:p>
    <w:p w14:paraId="59F1658D">
      <w:pPr>
        <w:pStyle w:val="4"/>
        <w:shd w:val="clear" w:color="auto" w:fill="FFFFFF"/>
        <w:snapToGrid w:val="0"/>
        <w:rPr>
          <w:rStyle w:val="7"/>
          <w:sz w:val="27"/>
          <w:szCs w:val="27"/>
        </w:rPr>
      </w:pPr>
      <w:r>
        <w:rPr>
          <w:rStyle w:val="7"/>
          <w:rFonts w:hint="eastAsia"/>
          <w:sz w:val="27"/>
          <w:szCs w:val="27"/>
        </w:rPr>
        <w:t xml:space="preserve">    （三）重点绩效评价结果</w:t>
      </w:r>
    </w:p>
    <w:p w14:paraId="4230D2E9">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本单位未委托第三方机构，对202</w:t>
      </w:r>
      <w:r>
        <w:rPr>
          <w:rFonts w:hint="eastAsia" w:ascii="方正仿宋_GBK" w:eastAsia="方正仿宋_GBK" w:cs="仿宋_GB2312" w:hAnsiTheme="minorHAnsi"/>
          <w:kern w:val="2"/>
          <w:sz w:val="32"/>
          <w:szCs w:val="32"/>
          <w:lang w:val="en-US" w:eastAsia="zh-CN"/>
        </w:rPr>
        <w:t>3</w:t>
      </w:r>
      <w:r>
        <w:rPr>
          <w:rFonts w:hint="eastAsia" w:ascii="方正仿宋_GBK" w:eastAsia="方正仿宋_GBK" w:cs="仿宋_GB2312" w:hAnsiTheme="minorHAnsi"/>
          <w:kern w:val="2"/>
          <w:sz w:val="32"/>
          <w:szCs w:val="32"/>
        </w:rPr>
        <w:t>年项目开展重点绩效评价，故无重点绩效评价结果。</w:t>
      </w:r>
    </w:p>
    <w:p w14:paraId="55565866">
      <w:pPr>
        <w:pStyle w:val="4"/>
        <w:shd w:val="clear" w:color="auto" w:fill="FFFFFF"/>
        <w:snapToGrid w:val="0"/>
        <w:ind w:firstLine="723" w:firstLineChars="200"/>
      </w:pPr>
      <w:r>
        <w:rPr>
          <w:rStyle w:val="7"/>
          <w:rFonts w:hint="eastAsia"/>
          <w:sz w:val="36"/>
          <w:szCs w:val="36"/>
        </w:rPr>
        <w:t>六、专业名词解释</w:t>
      </w:r>
    </w:p>
    <w:p w14:paraId="7A44D477">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（一）财政拨款收入</w:t>
      </w:r>
      <w:r>
        <w:rPr>
          <w:rFonts w:hint="eastAsia"/>
          <w:sz w:val="27"/>
          <w:szCs w:val="27"/>
        </w:rPr>
        <w:t>：</w:t>
      </w:r>
      <w:r>
        <w:rPr>
          <w:rFonts w:hint="eastAsia" w:ascii="方正仿宋_GBK" w:eastAsia="方正仿宋_GBK" w:cs="仿宋_GB2312" w:hAnsiTheme="minorHAnsi"/>
          <w:kern w:val="2"/>
          <w:sz w:val="32"/>
          <w:szCs w:val="32"/>
        </w:rPr>
        <w:t>指本年度从本级财政部门取得的财政拨款，包括一般公共预算财政拨款和政府性基金预算财政拨款。</w:t>
      </w:r>
    </w:p>
    <w:p w14:paraId="49891726">
      <w:pPr>
        <w:pStyle w:val="4"/>
        <w:shd w:val="clear" w:color="auto" w:fill="FFFFFF"/>
        <w:snapToGrid w:val="0"/>
        <w:ind w:firstLine="542" w:firstLineChars="200"/>
      </w:pPr>
      <w:r>
        <w:rPr>
          <w:rStyle w:val="7"/>
          <w:rFonts w:hint="eastAsia"/>
          <w:sz w:val="27"/>
          <w:szCs w:val="27"/>
        </w:rPr>
        <w:t>（二）事业收入</w:t>
      </w:r>
      <w:r>
        <w:rPr>
          <w:rFonts w:hint="eastAsia"/>
          <w:sz w:val="27"/>
          <w:szCs w:val="27"/>
        </w:rPr>
        <w:t>：</w:t>
      </w:r>
      <w:r>
        <w:rPr>
          <w:rFonts w:hint="eastAsia" w:ascii="方正仿宋_GBK" w:eastAsia="方正仿宋_GBK" w:cs="仿宋_GB2312" w:hAnsiTheme="minorHAnsi"/>
          <w:kern w:val="2"/>
          <w:sz w:val="32"/>
          <w:szCs w:val="32"/>
        </w:rPr>
        <w:t>指事业单位开展专业业务活动及其辅助活动取得的现金流入；事业单位收到的财政专户实际核拨的教育收费等资金在此反映。</w:t>
      </w:r>
    </w:p>
    <w:p w14:paraId="70EC4EF6">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（三）经营收入</w:t>
      </w:r>
      <w:r>
        <w:rPr>
          <w:rFonts w:hint="eastAsia"/>
          <w:sz w:val="27"/>
          <w:szCs w:val="27"/>
        </w:rPr>
        <w:t>：</w:t>
      </w:r>
      <w:r>
        <w:rPr>
          <w:rFonts w:hint="eastAsia" w:ascii="方正仿宋_GBK" w:eastAsia="方正仿宋_GBK" w:cs="仿宋_GB2312" w:hAnsiTheme="minorHAnsi"/>
          <w:kern w:val="2"/>
          <w:sz w:val="32"/>
          <w:szCs w:val="32"/>
        </w:rPr>
        <w:t>指事业单位在专业业务活动及其辅助活动之外开展非独立核算经营活动取得的现金流入。</w:t>
      </w:r>
    </w:p>
    <w:p w14:paraId="6646B4D4">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（四）其他收入</w:t>
      </w:r>
      <w:r>
        <w:rPr>
          <w:rFonts w:hint="eastAsia"/>
          <w:sz w:val="27"/>
          <w:szCs w:val="27"/>
        </w:rPr>
        <w:t>：</w:t>
      </w:r>
      <w:r>
        <w:rPr>
          <w:rFonts w:hint="eastAsia" w:ascii="方正仿宋_GBK" w:eastAsia="方正仿宋_GBK" w:cs="仿宋_GB2312" w:hAnsiTheme="minorHAnsi"/>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3F1EC5">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（五）使用非财政拨款结余</w:t>
      </w:r>
      <w:r>
        <w:rPr>
          <w:rFonts w:hint="eastAsia"/>
          <w:sz w:val="27"/>
          <w:szCs w:val="27"/>
        </w:rPr>
        <w:t>：</w:t>
      </w:r>
      <w:r>
        <w:rPr>
          <w:rFonts w:hint="eastAsia" w:ascii="方正仿宋_GBK" w:eastAsia="方正仿宋_GBK" w:cs="仿宋_GB2312" w:hAnsiTheme="minorHAnsi"/>
          <w:kern w:val="2"/>
          <w:sz w:val="32"/>
          <w:szCs w:val="32"/>
        </w:rPr>
        <w:t>指单位在当年的“财政拨款收入”、“事业收入”、“经营收入”、“其他收入”等不足以安排当年支出的情况下，使用以前年度积累的非财政拨款结余弥补本年度收支缺口的资金。</w:t>
      </w:r>
    </w:p>
    <w:p w14:paraId="6E2DA78D">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（六）年初结转和结余</w:t>
      </w:r>
      <w:r>
        <w:rPr>
          <w:rFonts w:hint="eastAsia"/>
          <w:sz w:val="27"/>
          <w:szCs w:val="27"/>
        </w:rPr>
        <w:t>：</w:t>
      </w:r>
      <w:r>
        <w:rPr>
          <w:rFonts w:hint="eastAsia" w:ascii="方正仿宋_GBK" w:eastAsia="方正仿宋_GBK" w:cs="仿宋_GB2312" w:hAnsiTheme="minorHAnsi"/>
          <w:kern w:val="2"/>
          <w:sz w:val="32"/>
          <w:szCs w:val="32"/>
        </w:rPr>
        <w:t>指单位上年结转本年使用的基本支出结转、项目支出结转和结余、经营结余。</w:t>
      </w:r>
    </w:p>
    <w:p w14:paraId="001F9DCB">
      <w:pPr>
        <w:pStyle w:val="4"/>
        <w:shd w:val="clear" w:color="auto" w:fill="FFFFFF"/>
        <w:snapToGrid w:val="0"/>
        <w:ind w:firstLine="542" w:firstLineChars="200"/>
      </w:pPr>
      <w:r>
        <w:rPr>
          <w:rStyle w:val="7"/>
          <w:rFonts w:hint="eastAsia"/>
          <w:sz w:val="27"/>
          <w:szCs w:val="27"/>
        </w:rPr>
        <w:t>（七）结余分配</w:t>
      </w:r>
      <w:r>
        <w:rPr>
          <w:rFonts w:hint="eastAsia"/>
          <w:sz w:val="27"/>
          <w:szCs w:val="27"/>
        </w:rPr>
        <w:t>：</w:t>
      </w:r>
      <w:r>
        <w:rPr>
          <w:rFonts w:hint="eastAsia" w:ascii="方正仿宋_GBK" w:eastAsia="方正仿宋_GBK" w:cs="仿宋_GB2312" w:hAnsiTheme="minorHAnsi"/>
          <w:kern w:val="2"/>
          <w:sz w:val="32"/>
          <w:szCs w:val="32"/>
        </w:rPr>
        <w:t>指单位按照国家有关规定，缴纳所得税、提取专用基金、转入非财政拨款结余等当年结余的分配情况。</w:t>
      </w:r>
    </w:p>
    <w:p w14:paraId="0759F905">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（八）年末结转和结余</w:t>
      </w:r>
      <w:r>
        <w:rPr>
          <w:rFonts w:hint="eastAsia"/>
          <w:sz w:val="27"/>
          <w:szCs w:val="27"/>
        </w:rPr>
        <w:t>：</w:t>
      </w:r>
      <w:r>
        <w:rPr>
          <w:rFonts w:hint="eastAsia" w:ascii="方正仿宋_GBK" w:eastAsia="方正仿宋_GBK" w:cs="仿宋_GB2312" w:hAnsiTheme="minorHAnsi"/>
          <w:kern w:val="2"/>
          <w:sz w:val="32"/>
          <w:szCs w:val="32"/>
        </w:rPr>
        <w:t>指单位结转下年的基本支出结转、项目支出结转和结余、经营结余。</w:t>
      </w:r>
    </w:p>
    <w:p w14:paraId="19C09839">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（九）基本支出</w:t>
      </w:r>
      <w:r>
        <w:rPr>
          <w:rFonts w:hint="eastAsia"/>
          <w:sz w:val="27"/>
          <w:szCs w:val="27"/>
        </w:rPr>
        <w:t>：</w:t>
      </w:r>
      <w:r>
        <w:rPr>
          <w:rFonts w:hint="eastAsia" w:ascii="方正仿宋_GBK" w:eastAsia="方正仿宋_GBK" w:cs="仿宋_GB2312" w:hAnsiTheme="minorHAnsi"/>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ABBEE80">
      <w:pPr>
        <w:pStyle w:val="4"/>
        <w:shd w:val="clear" w:color="auto" w:fill="FFFFFF"/>
        <w:snapToGrid w:val="0"/>
        <w:ind w:firstLine="542" w:firstLineChars="200"/>
      </w:pPr>
      <w:r>
        <w:rPr>
          <w:rStyle w:val="7"/>
          <w:rFonts w:hint="eastAsia"/>
          <w:sz w:val="27"/>
          <w:szCs w:val="27"/>
        </w:rPr>
        <w:t>（十）项目支出</w:t>
      </w:r>
      <w:r>
        <w:rPr>
          <w:rFonts w:hint="eastAsia"/>
          <w:sz w:val="27"/>
          <w:szCs w:val="27"/>
        </w:rPr>
        <w:t>：</w:t>
      </w:r>
      <w:r>
        <w:rPr>
          <w:rFonts w:hint="eastAsia" w:ascii="方正仿宋_GBK" w:eastAsia="方正仿宋_GBK" w:cs="仿宋_GB2312" w:hAnsiTheme="minorHAnsi"/>
          <w:kern w:val="2"/>
          <w:sz w:val="32"/>
          <w:szCs w:val="32"/>
        </w:rPr>
        <w:t>指在基本支出之外为完成特定行政任务和事业发展目标所发生的支出。</w:t>
      </w:r>
    </w:p>
    <w:p w14:paraId="411254CD">
      <w:pPr>
        <w:pStyle w:val="4"/>
        <w:shd w:val="clear" w:color="auto" w:fill="FFFFFF"/>
        <w:snapToGrid w:val="0"/>
        <w:ind w:firstLine="542" w:firstLineChars="200"/>
      </w:pPr>
      <w:r>
        <w:rPr>
          <w:rStyle w:val="7"/>
          <w:rFonts w:hint="eastAsia"/>
          <w:sz w:val="27"/>
          <w:szCs w:val="27"/>
        </w:rPr>
        <w:t>（十一）经营支出</w:t>
      </w:r>
      <w:r>
        <w:rPr>
          <w:rFonts w:hint="eastAsia"/>
          <w:sz w:val="27"/>
          <w:szCs w:val="27"/>
        </w:rPr>
        <w:t>：</w:t>
      </w:r>
      <w:r>
        <w:rPr>
          <w:rFonts w:hint="eastAsia" w:ascii="方正仿宋_GBK" w:eastAsia="方正仿宋_GBK" w:cs="仿宋_GB2312" w:hAnsiTheme="minorHAnsi"/>
          <w:kern w:val="2"/>
          <w:sz w:val="32"/>
          <w:szCs w:val="32"/>
        </w:rPr>
        <w:t>指事业单位在专业业务活动及其辅助活动之外开展非独立核算经营活动发生的支出。</w:t>
      </w:r>
    </w:p>
    <w:p w14:paraId="1FD2F75C">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（十二）“三公”经费</w:t>
      </w:r>
      <w:r>
        <w:rPr>
          <w:rFonts w:hint="eastAsia"/>
          <w:sz w:val="27"/>
          <w:szCs w:val="27"/>
        </w:rPr>
        <w:t>：</w:t>
      </w:r>
      <w:r>
        <w:rPr>
          <w:rFonts w:hint="eastAsia" w:ascii="方正仿宋_GBK" w:eastAsia="方正仿宋_GBK" w:cs="仿宋_GB2312" w:hAnsiTheme="minorHAnsi"/>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09DF67">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（十三）机关运行经费</w:t>
      </w:r>
      <w:r>
        <w:rPr>
          <w:rFonts w:hint="eastAsia"/>
          <w:sz w:val="27"/>
          <w:szCs w:val="27"/>
        </w:rPr>
        <w:t>：</w:t>
      </w:r>
      <w:r>
        <w:rPr>
          <w:rFonts w:hint="eastAsia" w:ascii="方正仿宋_GBK" w:eastAsia="方正仿宋_GBK" w:cs="仿宋_GB2312" w:hAnsiTheme="minorHAnsi"/>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09BB5D">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（十四）工资福利支出（支出经济分类科目类级）</w:t>
      </w:r>
      <w:r>
        <w:rPr>
          <w:rFonts w:hint="eastAsia"/>
          <w:sz w:val="27"/>
          <w:szCs w:val="27"/>
        </w:rPr>
        <w:t>：</w:t>
      </w:r>
      <w:r>
        <w:rPr>
          <w:rFonts w:hint="eastAsia" w:ascii="方正仿宋_GBK" w:eastAsia="方正仿宋_GBK" w:cs="仿宋_GB2312" w:hAnsiTheme="minorHAnsi"/>
          <w:kern w:val="2"/>
          <w:sz w:val="32"/>
          <w:szCs w:val="32"/>
        </w:rPr>
        <w:t>反映单位开支的在职职工和编制外长期聘用人员的各类劳动报酬，以及为上述人员缴纳的各项社会保险费等。</w:t>
      </w:r>
    </w:p>
    <w:p w14:paraId="3EA57609">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（十五）商品和服务支出（支出经济分类科目类级）</w:t>
      </w:r>
      <w:r>
        <w:rPr>
          <w:rFonts w:hint="eastAsia"/>
          <w:sz w:val="27"/>
          <w:szCs w:val="27"/>
        </w:rPr>
        <w:t>：</w:t>
      </w:r>
      <w:r>
        <w:rPr>
          <w:rFonts w:hint="eastAsia" w:ascii="方正仿宋_GBK" w:eastAsia="方正仿宋_GBK" w:cs="仿宋_GB2312" w:hAnsiTheme="minorHAnsi"/>
          <w:kern w:val="2"/>
          <w:sz w:val="32"/>
          <w:szCs w:val="32"/>
        </w:rPr>
        <w:t>反映单位购买商品和服务的支出（不包括用于购置固定资产的支出、战略性和应急储备支出）。</w:t>
      </w:r>
    </w:p>
    <w:p w14:paraId="1A5D1C35">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（十六）对个人和家庭的补助（支出经济分类科目类级）</w:t>
      </w:r>
      <w:r>
        <w:rPr>
          <w:rFonts w:hint="eastAsia"/>
          <w:sz w:val="27"/>
          <w:szCs w:val="27"/>
        </w:rPr>
        <w:t>：</w:t>
      </w:r>
      <w:r>
        <w:rPr>
          <w:rFonts w:hint="eastAsia" w:ascii="方正仿宋_GBK" w:eastAsia="方正仿宋_GBK" w:cs="仿宋_GB2312" w:hAnsiTheme="minorHAnsi"/>
          <w:kern w:val="2"/>
          <w:sz w:val="32"/>
          <w:szCs w:val="32"/>
        </w:rPr>
        <w:t>反映用于对个人和家庭的补助支出。</w:t>
      </w:r>
    </w:p>
    <w:p w14:paraId="5CB20CF7">
      <w:pPr>
        <w:pStyle w:val="4"/>
        <w:shd w:val="clear" w:color="auto" w:fill="FFFFFF"/>
        <w:snapToGrid w:val="0"/>
        <w:ind w:firstLine="542" w:firstLineChars="200"/>
        <w:rPr>
          <w:rFonts w:ascii="方正仿宋_GBK" w:eastAsia="方正仿宋_GBK" w:cs="仿宋_GB2312" w:hAnsiTheme="minorHAnsi"/>
          <w:kern w:val="2"/>
          <w:sz w:val="32"/>
          <w:szCs w:val="32"/>
        </w:rPr>
      </w:pPr>
      <w:r>
        <w:rPr>
          <w:rStyle w:val="7"/>
          <w:rFonts w:hint="eastAsia"/>
          <w:sz w:val="27"/>
          <w:szCs w:val="27"/>
        </w:rPr>
        <w:t>（十七）其他资本性支出（支出经济分类科目类级）</w:t>
      </w:r>
      <w:r>
        <w:rPr>
          <w:rFonts w:hint="eastAsia"/>
          <w:sz w:val="27"/>
          <w:szCs w:val="27"/>
        </w:rPr>
        <w:t>：</w:t>
      </w:r>
      <w:r>
        <w:rPr>
          <w:rFonts w:hint="eastAsia" w:ascii="方正仿宋_GBK" w:eastAsia="方正仿宋_GBK" w:cs="仿宋_GB2312" w:hAnsiTheme="minorHAnsi"/>
          <w:kern w:val="2"/>
          <w:sz w:val="32"/>
          <w:szCs w:val="32"/>
        </w:rPr>
        <w:t>反映非各级发展与改革部门集中安排的用于购置固定资产、战略性和应急性储备、土地和无形资产，以及构建基础设施、大型修缮和财政支持企业更新改造所发生的支出。</w:t>
      </w:r>
    </w:p>
    <w:p w14:paraId="425A2B5A">
      <w:pPr>
        <w:pStyle w:val="4"/>
        <w:shd w:val="clear" w:color="auto" w:fill="FFFFFF"/>
        <w:snapToGrid w:val="0"/>
        <w:ind w:firstLine="723" w:firstLineChars="200"/>
      </w:pPr>
      <w:r>
        <w:rPr>
          <w:rStyle w:val="7"/>
          <w:rFonts w:hint="eastAsia"/>
          <w:sz w:val="36"/>
          <w:szCs w:val="36"/>
        </w:rPr>
        <w:t>七、决算公开</w:t>
      </w:r>
      <w:bookmarkStart w:id="0" w:name="_GoBack"/>
      <w:bookmarkEnd w:id="0"/>
      <w:r>
        <w:rPr>
          <w:rStyle w:val="7"/>
          <w:rFonts w:hint="eastAsia"/>
          <w:sz w:val="36"/>
          <w:szCs w:val="36"/>
        </w:rPr>
        <w:t>联系方式及信息反馈渠道</w:t>
      </w:r>
    </w:p>
    <w:p w14:paraId="5CC4E655">
      <w:pPr>
        <w:pStyle w:val="4"/>
        <w:shd w:val="clear" w:color="auto" w:fill="FFFFFF"/>
        <w:snapToGrid w:val="0"/>
        <w:ind w:firstLine="640" w:firstLineChars="200"/>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本单位决算公开信息反馈和联系方式： 023-475</w:t>
      </w:r>
      <w:r>
        <w:rPr>
          <w:rFonts w:hint="eastAsia" w:ascii="方正仿宋_GBK" w:eastAsia="方正仿宋_GBK" w:cs="仿宋_GB2312" w:hAnsiTheme="minorHAnsi"/>
          <w:kern w:val="2"/>
          <w:sz w:val="32"/>
          <w:szCs w:val="32"/>
          <w:lang w:val="en-US" w:eastAsia="zh-CN"/>
        </w:rPr>
        <w:t>55632</w:t>
      </w:r>
      <w:r>
        <w:rPr>
          <w:rFonts w:hint="eastAsia" w:ascii="方正仿宋_GBK" w:eastAsia="方正仿宋_GBK" w:cs="仿宋_GB2312" w:hAnsiTheme="minorHAnsi"/>
          <w:kern w:val="2"/>
          <w:sz w:val="32"/>
          <w:szCs w:val="32"/>
        </w:rPr>
        <w:t>。</w:t>
      </w:r>
    </w:p>
    <w:p w14:paraId="3F999E7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F472F"/>
    <w:multiLevelType w:val="singleLevel"/>
    <w:tmpl w:val="6A5F472F"/>
    <w:lvl w:ilvl="0" w:tentative="0">
      <w:start w:val="6"/>
      <w:numFmt w:val="chineseCounting"/>
      <w:suff w:val="nothing"/>
      <w:lvlText w:val="（%1）"/>
      <w:lvlJc w:val="left"/>
      <w:rPr>
        <w:rFonts w:hint="eastAsia"/>
        <w:b/>
        <w:bCs/>
        <w:sz w:val="27"/>
        <w:szCs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MTUwODhmMTA3M2RmMmU0YjE2MDk4ZmEzZWIyNGMifQ=="/>
  </w:docVars>
  <w:rsids>
    <w:rsidRoot w:val="00126EF5"/>
    <w:rsid w:val="000F563B"/>
    <w:rsid w:val="00126EF5"/>
    <w:rsid w:val="003615E7"/>
    <w:rsid w:val="003C7729"/>
    <w:rsid w:val="003E3C1A"/>
    <w:rsid w:val="00484712"/>
    <w:rsid w:val="00504407"/>
    <w:rsid w:val="005F3075"/>
    <w:rsid w:val="00695F09"/>
    <w:rsid w:val="006E7C48"/>
    <w:rsid w:val="007032AB"/>
    <w:rsid w:val="00705966"/>
    <w:rsid w:val="007E6519"/>
    <w:rsid w:val="00822BA0"/>
    <w:rsid w:val="0087142F"/>
    <w:rsid w:val="00906C28"/>
    <w:rsid w:val="00924EF6"/>
    <w:rsid w:val="00966729"/>
    <w:rsid w:val="00A0639A"/>
    <w:rsid w:val="00A21256"/>
    <w:rsid w:val="00A40334"/>
    <w:rsid w:val="00A57C97"/>
    <w:rsid w:val="00B7330C"/>
    <w:rsid w:val="00C2392B"/>
    <w:rsid w:val="00C25E6A"/>
    <w:rsid w:val="00CA1824"/>
    <w:rsid w:val="00D8328F"/>
    <w:rsid w:val="00E16405"/>
    <w:rsid w:val="00E40964"/>
    <w:rsid w:val="00EB5A90"/>
    <w:rsid w:val="00EF3BE1"/>
    <w:rsid w:val="00F06C97"/>
    <w:rsid w:val="00FF4780"/>
    <w:rsid w:val="013277D4"/>
    <w:rsid w:val="01FF35FA"/>
    <w:rsid w:val="02833687"/>
    <w:rsid w:val="029A0F16"/>
    <w:rsid w:val="03931086"/>
    <w:rsid w:val="059401D2"/>
    <w:rsid w:val="059E67B6"/>
    <w:rsid w:val="079144BD"/>
    <w:rsid w:val="088524E1"/>
    <w:rsid w:val="0ADB0FA9"/>
    <w:rsid w:val="10E215EA"/>
    <w:rsid w:val="14E73C55"/>
    <w:rsid w:val="151043BC"/>
    <w:rsid w:val="186D6B26"/>
    <w:rsid w:val="19166C3C"/>
    <w:rsid w:val="19371A3D"/>
    <w:rsid w:val="194C795D"/>
    <w:rsid w:val="1B520636"/>
    <w:rsid w:val="1CB51B69"/>
    <w:rsid w:val="1EE4452E"/>
    <w:rsid w:val="20DF6874"/>
    <w:rsid w:val="21851DEB"/>
    <w:rsid w:val="21EA63AB"/>
    <w:rsid w:val="23704496"/>
    <w:rsid w:val="23CE1CE0"/>
    <w:rsid w:val="26533A1A"/>
    <w:rsid w:val="26B76601"/>
    <w:rsid w:val="2B7F7C67"/>
    <w:rsid w:val="2B9458FA"/>
    <w:rsid w:val="2CF315D0"/>
    <w:rsid w:val="2DE03CD0"/>
    <w:rsid w:val="316832F2"/>
    <w:rsid w:val="320F0C31"/>
    <w:rsid w:val="32612797"/>
    <w:rsid w:val="33477403"/>
    <w:rsid w:val="35007DAD"/>
    <w:rsid w:val="39F30385"/>
    <w:rsid w:val="3D9E67B1"/>
    <w:rsid w:val="3EB94FBE"/>
    <w:rsid w:val="3ECC7B57"/>
    <w:rsid w:val="40273186"/>
    <w:rsid w:val="419C468C"/>
    <w:rsid w:val="44177142"/>
    <w:rsid w:val="499E503D"/>
    <w:rsid w:val="4ACD5FBF"/>
    <w:rsid w:val="4F3311D9"/>
    <w:rsid w:val="501440B0"/>
    <w:rsid w:val="503E1589"/>
    <w:rsid w:val="55E81460"/>
    <w:rsid w:val="56F819F4"/>
    <w:rsid w:val="58597A74"/>
    <w:rsid w:val="58E47CB8"/>
    <w:rsid w:val="59846CB2"/>
    <w:rsid w:val="5D24751C"/>
    <w:rsid w:val="643166C2"/>
    <w:rsid w:val="699B1228"/>
    <w:rsid w:val="6BA32EF3"/>
    <w:rsid w:val="6BA91500"/>
    <w:rsid w:val="6BC95DE6"/>
    <w:rsid w:val="6CAF2DF2"/>
    <w:rsid w:val="6E5D70A0"/>
    <w:rsid w:val="701045A0"/>
    <w:rsid w:val="704E33AC"/>
    <w:rsid w:val="7174376A"/>
    <w:rsid w:val="71886AFD"/>
    <w:rsid w:val="72656346"/>
    <w:rsid w:val="74D05B2A"/>
    <w:rsid w:val="756916F2"/>
    <w:rsid w:val="775F584C"/>
    <w:rsid w:val="7FBF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6504</Words>
  <Characters>7068</Characters>
  <Lines>59</Lines>
  <Paragraphs>16</Paragraphs>
  <TotalTime>4</TotalTime>
  <ScaleCrop>false</ScaleCrop>
  <LinksUpToDate>false</LinksUpToDate>
  <CharactersWithSpaces>7089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2021-08-09T09:01:00Z</dcterms:created>
  <dc:creator>1304</dc:creator>
  <cp:lastModifiedBy>小小小钰儿</cp:lastModifiedBy>
  <cp:lastPrinted>2023-08-23T08:49:00Z</cp:lastPrinted>
  <dcterms:modified xsi:type="dcterms:W3CDTF">2024-08-20T08:32:18Z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502F8150B8AB4509B1BA43D06A0C2BE8</vt:lpwstr>
  </property>
</Properties>
</file>