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6311"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 w14:paraId="324C1702">
      <w:pPr>
        <w:rPr>
          <w:rFonts w:ascii="Times New Roman" w:hAnsi="Times New Roman" w:eastAsia="方正仿宋_GBK"/>
          <w:color w:val="000000"/>
          <w:sz w:val="32"/>
        </w:rPr>
      </w:pPr>
    </w:p>
    <w:p w14:paraId="7FFABA0B">
      <w:pPr>
        <w:rPr>
          <w:rFonts w:ascii="Times New Roman" w:hAnsi="Times New Roman" w:eastAsia="方正仿宋_GBK"/>
          <w:color w:val="000000"/>
          <w:sz w:val="32"/>
        </w:rPr>
      </w:pPr>
    </w:p>
    <w:p w14:paraId="73AA3880">
      <w:pPr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/>
        </w:rPr>
        <w:pict>
          <v:shape id="艺术字 1" o:spid="_x0000_s1026" o:spt="136" type="#_x0000_t136" style="position:absolute;left:0pt;margin-top:91.9pt;height:53.65pt;width:411pt;mso-position-horizontal:center;mso-position-horizontal-relative:margin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 color="#000000"/>
            <v:imagedata o:title=""/>
            <o:lock v:ext="edit" aspectratio="t"/>
            <v:textpath on="t" fitshape="t" fitpath="t" trim="t" xscale="f" string="重庆市江津区民政局文件&#10;" style="font-family:方正小标宋_GBK;font-size:36pt;v-text-align:center;"/>
          </v:shape>
        </w:pict>
      </w:r>
    </w:p>
    <w:p w14:paraId="1D43D9BB">
      <w:pPr>
        <w:tabs>
          <w:tab w:val="right" w:pos="8527"/>
        </w:tabs>
        <w:spacing w:line="560" w:lineRule="exact"/>
        <w:ind w:right="210" w:rightChars="100"/>
        <w:rPr>
          <w:rFonts w:ascii="Times New Roman" w:hAnsi="Times New Roman" w:eastAsia="方正仿宋_GBK"/>
          <w:color w:val="000000"/>
          <w:sz w:val="32"/>
        </w:rPr>
      </w:pPr>
    </w:p>
    <w:p w14:paraId="5337E12F">
      <w:pPr>
        <w:spacing w:line="600" w:lineRule="exact"/>
        <w:ind w:firstLine="3840" w:firstLineChars="1200"/>
        <w:rPr>
          <w:rFonts w:ascii="Times New Roman" w:hAnsi="Times New Roman" w:eastAsia="方正仿宋_GBK"/>
          <w:color w:val="000000"/>
          <w:sz w:val="32"/>
        </w:rPr>
      </w:pPr>
    </w:p>
    <w:p w14:paraId="211678A4">
      <w:pPr>
        <w:spacing w:line="600" w:lineRule="exact"/>
        <w:ind w:firstLine="3840" w:firstLineChars="1200"/>
        <w:rPr>
          <w:rFonts w:ascii="Times New Roman" w:hAnsi="Times New Roman" w:eastAsia="方正仿宋_GBK"/>
          <w:color w:val="000000"/>
          <w:sz w:val="32"/>
        </w:rPr>
      </w:pPr>
    </w:p>
    <w:p w14:paraId="63B0DDCF">
      <w:pPr>
        <w:spacing w:line="600" w:lineRule="exact"/>
        <w:ind w:firstLine="2339" w:firstLineChars="731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津民许准字〔</w:t>
      </w:r>
      <w:r>
        <w:rPr>
          <w:rFonts w:ascii="Times New Roman" w:hAnsi="Times New Roman" w:eastAsia="方正仿宋_GBK"/>
          <w:color w:val="000000"/>
          <w:sz w:val="32"/>
        </w:rPr>
        <w:t>2025</w:t>
      </w:r>
      <w:r>
        <w:rPr>
          <w:rFonts w:hint="eastAsia" w:ascii="Times New Roman" w:hAnsi="Times New Roman" w:eastAsia="方正仿宋_GBK"/>
          <w:color w:val="000000"/>
          <w:sz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 w14:paraId="2E0B78C8">
      <w:pPr>
        <w:spacing w:line="600" w:lineRule="exact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03505" distR="103505" simplePos="0" relativeHeight="25165926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margin">
                  <wp:posOffset>3068955</wp:posOffset>
                </wp:positionV>
                <wp:extent cx="5615940" cy="635"/>
                <wp:effectExtent l="0" t="0" r="0" b="0"/>
                <wp:wrapNone/>
                <wp:docPr id="2" name="直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862"/>
                        </a:xfrm>
                        <a:prstGeom prst="line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55pt;margin-top:241.65pt;height:0.05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w2YCXZAAAADAEAAA8AAAAAAAAAAQAgAAAAIgAAAGRycy9kb3ducmV2LnhtbFBL&#10;AQIUABQAAAAIAIdO4kB5fDzPLgIAAE8EAAAOAAAAAAAAAAEAIAAAACgBAABkcnMvZTJvRG9jLnht&#10;bFBLBQYAAAAABgAGAFkBAADIBQAAAAA=&#10;">
                <v:fill on="f" focussize="0,0"/>
                <v:stroke weight="1.75pt" color="#FF0000" joinstyle="miter"/>
                <v:imagedata o:title=""/>
                <o:lock v:ext="edit" aspectratio="t"/>
              </v:line>
            </w:pict>
          </mc:Fallback>
        </mc:AlternateContent>
      </w:r>
    </w:p>
    <w:p w14:paraId="6DE8CA9D">
      <w:pPr>
        <w:spacing w:line="579" w:lineRule="exact"/>
        <w:ind w:firstLine="2420" w:firstLineChars="550"/>
        <w:rPr>
          <w:rFonts w:ascii="Times New Roman" w:hAnsi="Times New Roman" w:eastAsia="方正小标宋_GBK"/>
          <w:bCs/>
          <w:sz w:val="44"/>
          <w:szCs w:val="44"/>
        </w:rPr>
      </w:pPr>
    </w:p>
    <w:p w14:paraId="4735360C">
      <w:pPr>
        <w:overflowPunct w:val="0"/>
        <w:snapToGrid w:val="0"/>
        <w:spacing w:line="579" w:lineRule="exact"/>
        <w:ind w:firstLine="2200" w:firstLineChars="50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重庆市江津区民政局</w:t>
      </w:r>
    </w:p>
    <w:p w14:paraId="38B7742A">
      <w:pPr>
        <w:overflowPunct w:val="0"/>
        <w:snapToGrid w:val="0"/>
        <w:spacing w:line="579" w:lineRule="exact"/>
        <w:ind w:firstLine="2200" w:firstLineChars="50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准予行政许可决定书</w:t>
      </w:r>
    </w:p>
    <w:p w14:paraId="7437DA75">
      <w:pPr>
        <w:overflowPunct w:val="0"/>
        <w:snapToGrid w:val="0"/>
        <w:spacing w:line="579" w:lineRule="exact"/>
        <w:rPr>
          <w:rFonts w:ascii="Times New Roman" w:hAnsi="Times New Roman"/>
          <w:color w:val="000000"/>
          <w:sz w:val="30"/>
        </w:rPr>
      </w:pPr>
    </w:p>
    <w:p w14:paraId="193B4012">
      <w:pPr>
        <w:overflowPunct w:val="0"/>
        <w:snapToGrid w:val="0"/>
        <w:spacing w:line="579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重庆市江津区人民调解协会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</w:p>
    <w:p w14:paraId="755F0596">
      <w:pPr>
        <w:overflowPunct w:val="0"/>
        <w:snapToGrid w:val="0"/>
        <w:spacing w:line="579" w:lineRule="exact"/>
        <w:ind w:firstLine="601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你（单位）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日向本机关申请成立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重庆市江津区人民调解协会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的材料收悉。经审查，符合法律规定的条件，根据《中华人民共和国行政许可法》第三十八条第一款</w:t>
      </w:r>
      <w:r>
        <w:rPr>
          <w:rFonts w:ascii="Times New Roman" w:hAnsi="Times New Roman" w:eastAsia="方正仿宋_GBK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</w:rPr>
        <w:t>社会团体登记管理条例》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第十二条的规定，本机关决定准予成立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重庆市江津区人民调解协会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。同时严格执行以下规定：</w:t>
      </w:r>
    </w:p>
    <w:p w14:paraId="50B4C562"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一、严格执行《社会团体登记管理条例》，按照章程开展活动，不得从事营利性活动。</w:t>
      </w:r>
      <w:bookmarkStart w:id="0" w:name="_GoBack"/>
      <w:bookmarkEnd w:id="0"/>
    </w:p>
    <w:p w14:paraId="34DF5CB7">
      <w:pPr>
        <w:spacing w:line="579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二、自觉接受重庆市江津区</w:t>
      </w:r>
      <w:r>
        <w:rPr>
          <w:rFonts w:hint="eastAsia" w:ascii="Times New Roman" w:hAnsi="Times New Roman" w:eastAsia="方正仿宋_GBK"/>
          <w:sz w:val="32"/>
          <w:lang w:eastAsia="zh-CN"/>
        </w:rPr>
        <w:t>司法局</w:t>
      </w:r>
      <w:r>
        <w:rPr>
          <w:rFonts w:hint="eastAsia" w:ascii="Times New Roman" w:hAnsi="Times New Roman" w:eastAsia="方正仿宋_GBK"/>
          <w:sz w:val="32"/>
        </w:rPr>
        <w:t>的业务指导和重庆市江津区民政局的监督管理。</w:t>
      </w:r>
    </w:p>
    <w:p w14:paraId="139EF3F6">
      <w:pPr>
        <w:spacing w:line="579" w:lineRule="exact"/>
        <w:ind w:firstLine="644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三、每年在指定的时间内接受区民政局的年度检查。</w:t>
      </w:r>
    </w:p>
    <w:p w14:paraId="054223F5">
      <w:pPr>
        <w:overflowPunct w:val="0"/>
        <w:snapToGrid w:val="0"/>
        <w:spacing w:line="579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718F8DC">
      <w:pPr>
        <w:overflowPunct w:val="0"/>
        <w:snapToGrid w:val="0"/>
        <w:spacing w:line="579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22EBF00B"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重庆市江津区民政局</w:t>
      </w:r>
    </w:p>
    <w:p w14:paraId="66152D6F"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2025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</w:t>
      </w:r>
    </w:p>
    <w:p w14:paraId="5CE075C4">
      <w:pPr>
        <w:rPr>
          <w:rFonts w:ascii="Times New Roman" w:hAnsi="Times New Roman"/>
        </w:rPr>
      </w:pPr>
    </w:p>
    <w:p w14:paraId="2972F3FB">
      <w:pPr>
        <w:rPr>
          <w:rFonts w:ascii="Times New Roman" w:hAnsi="Times New Roman"/>
        </w:rPr>
      </w:pPr>
    </w:p>
    <w:p w14:paraId="0F21605F">
      <w:pPr>
        <w:rPr>
          <w:rFonts w:ascii="Times New Roman" w:hAnsi="Times New Roman"/>
        </w:rPr>
      </w:pPr>
    </w:p>
    <w:p w14:paraId="123B4D06">
      <w:pPr>
        <w:rPr>
          <w:rFonts w:ascii="Times New Roman" w:hAnsi="Times New Roman"/>
        </w:rPr>
      </w:pPr>
    </w:p>
    <w:p w14:paraId="4B04A388">
      <w:pPr>
        <w:rPr>
          <w:rFonts w:ascii="Times New Roman" w:hAnsi="Times New Roman"/>
        </w:rPr>
      </w:pPr>
    </w:p>
    <w:p w14:paraId="05732E51">
      <w:pPr>
        <w:rPr>
          <w:rFonts w:ascii="Times New Roman" w:hAnsi="Times New Roman"/>
        </w:rPr>
      </w:pPr>
    </w:p>
    <w:p w14:paraId="15088B6E">
      <w:pPr>
        <w:rPr>
          <w:rFonts w:ascii="Times New Roman" w:hAnsi="Times New Roman"/>
        </w:rPr>
      </w:pPr>
    </w:p>
    <w:p w14:paraId="3880A185">
      <w:pPr>
        <w:rPr>
          <w:rFonts w:ascii="Times New Roman" w:hAnsi="Times New Roman"/>
        </w:rPr>
      </w:pPr>
    </w:p>
    <w:p w14:paraId="0C746785">
      <w:pPr>
        <w:rPr>
          <w:rFonts w:ascii="Times New Roman" w:hAnsi="Times New Roman"/>
        </w:rPr>
      </w:pPr>
    </w:p>
    <w:p w14:paraId="0DED79D2">
      <w:pPr>
        <w:rPr>
          <w:rFonts w:ascii="Times New Roman" w:hAnsi="Times New Roman"/>
        </w:rPr>
      </w:pPr>
    </w:p>
    <w:p w14:paraId="5B025EC3">
      <w:pPr>
        <w:rPr>
          <w:rFonts w:ascii="Times New Roman" w:hAnsi="Times New Roman"/>
        </w:rPr>
      </w:pPr>
    </w:p>
    <w:p w14:paraId="4699DFCB">
      <w:pPr>
        <w:rPr>
          <w:rFonts w:ascii="Times New Roman" w:hAnsi="Times New Roman"/>
        </w:rPr>
      </w:pPr>
    </w:p>
    <w:p w14:paraId="034F3107">
      <w:pPr>
        <w:rPr>
          <w:rFonts w:ascii="Times New Roman" w:hAnsi="Times New Roman"/>
        </w:rPr>
      </w:pPr>
    </w:p>
    <w:p w14:paraId="2C18AC2C">
      <w:pPr>
        <w:rPr>
          <w:rFonts w:ascii="Times New Roman" w:hAnsi="Times New Roman"/>
        </w:rPr>
      </w:pPr>
    </w:p>
    <w:p w14:paraId="2D4BF953">
      <w:pPr>
        <w:rPr>
          <w:rFonts w:ascii="Times New Roman" w:hAnsi="Times New Roman"/>
        </w:rPr>
      </w:pPr>
    </w:p>
    <w:p w14:paraId="7D8BCE6E">
      <w:pPr>
        <w:rPr>
          <w:rFonts w:ascii="Times New Roman" w:hAnsi="Times New Roman"/>
        </w:rPr>
      </w:pPr>
    </w:p>
    <w:p w14:paraId="181197F4">
      <w:pPr>
        <w:rPr>
          <w:rFonts w:ascii="Times New Roman" w:hAnsi="Times New Roman"/>
        </w:rPr>
      </w:pPr>
    </w:p>
    <w:p w14:paraId="1ADAF181">
      <w:pPr>
        <w:rPr>
          <w:rFonts w:ascii="Times New Roman" w:hAnsi="Times New Roman"/>
        </w:rPr>
      </w:pPr>
    </w:p>
    <w:p w14:paraId="323865BD">
      <w:pPr>
        <w:rPr>
          <w:rFonts w:ascii="Times New Roman" w:hAnsi="Times New Roman"/>
        </w:rPr>
      </w:pPr>
    </w:p>
    <w:p w14:paraId="2FA82ED7">
      <w:pPr>
        <w:rPr>
          <w:rFonts w:ascii="Times New Roman" w:hAnsi="Times New Roman"/>
        </w:rPr>
      </w:pPr>
    </w:p>
    <w:p w14:paraId="12603F93">
      <w:pPr>
        <w:rPr>
          <w:rFonts w:ascii="Times New Roman" w:hAnsi="Times New Roman"/>
        </w:rPr>
      </w:pPr>
    </w:p>
    <w:p w14:paraId="77797E7F">
      <w:pPr>
        <w:rPr>
          <w:rFonts w:ascii="Times New Roman" w:hAnsi="Times New Roman"/>
        </w:rPr>
      </w:pPr>
    </w:p>
    <w:p w14:paraId="29775A7B">
      <w:pPr>
        <w:spacing w:line="520" w:lineRule="exact"/>
        <w:rPr>
          <w:rFonts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14:paraId="46C2310C">
      <w:pPr>
        <w:spacing w:line="520" w:lineRule="exact"/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抄送：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>区委组织部，区委社会工作部，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区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eastAsia="zh-CN"/>
        </w:rPr>
        <w:t>司法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>局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。                                               </w:t>
      </w:r>
    </w:p>
    <w:p w14:paraId="59844DB8">
      <w:pPr>
        <w:overflowPunct w:val="0"/>
        <w:snapToGrid w:val="0"/>
        <w:spacing w:line="520" w:lineRule="exac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 重庆市江津区民政局办公室            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202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>5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日印发  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688A3"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210" w:leftChars="100" w:right="210" w:rightChars="100"/>
      <w:jc w:val="both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 w14:paraId="400855C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FB117"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5BDFEB8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1D3E6EC0"/>
    <w:rsid w:val="381575D7"/>
    <w:rsid w:val="69134331"/>
    <w:rsid w:val="6C455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contoso</Company>
  <Pages>2</Pages>
  <Words>323</Words>
  <Characters>335</Characters>
  <Lines>53</Lines>
  <Paragraphs>12</Paragraphs>
  <TotalTime>0</TotalTime>
  <ScaleCrop>false</ScaleCrop>
  <LinksUpToDate>false</LinksUpToDate>
  <CharactersWithSpaces>512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2020-02-26T02:06:00Z</dcterms:created>
  <dc:creator>Administrator</dc:creator>
  <cp:lastModifiedBy>张    宇</cp:lastModifiedBy>
  <cp:lastPrinted>2023-03-22T04:20:00Z</cp:lastPrinted>
  <dcterms:modified xsi:type="dcterms:W3CDTF">2025-04-03T01:19:25Z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72E07181F09B4E6C8C3F18937E528E15</vt:lpwstr>
  </property>
  <property fmtid="{D5CDD505-2E9C-101B-9397-08002B2CF9AE}" pid="4" name="KSOTemplateDocerSaveRecord">
    <vt:lpwstr>eyJoZGlkIjoiZmU4YjMwNDUzNzRlZWU0NTk1NmQ0YjlhMjU5NjU4ZjQiLCJ1c2VySWQiOiIxNjgzMTI2NzA0In0=</vt:lpwstr>
  </property>
</Properties>
</file>