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eastAsia="zh-CN"/>
        </w:rPr>
        <w:t>重庆市江津区林业局</w:t>
      </w:r>
    </w:p>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4年度部门决算公开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深入贯彻落实习近平总书记关于建设长江上游重要生态屏障的重要指示精神，以最坚决的态度、最严格的制度、最有力的措施，切实加大生态系统保护力度，实施重要生态系统保护和修复工程，加强森林、草原、湿地和石漠化防治监督管理的统筹协调，大力推进国土绿化行动，持续提高森林覆盖率，保障国家生态安全。加快建立自然保护地体系，统一推进各类自然保护地的清理规范和归并整合。全力推进林业生态文明建设各项工作，把重庆建成山清水秀美丽之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Times New Roman" w:hAnsi="Times New Roman" w:eastAsia="方正仿宋_GBK" w:cs="宋体"/>
          <w:b w:val="0"/>
          <w:bCs w:val="0"/>
          <w:kern w:val="0"/>
          <w:sz w:val="32"/>
          <w:szCs w:val="32"/>
          <w:lang w:eastAsia="zh-CN"/>
        </w:rPr>
        <w:t>（二）</w:t>
      </w:r>
      <w:r>
        <w:rPr>
          <w:rFonts w:hint="eastAsia" w:ascii="Times New Roman" w:hAnsi="Times New Roman" w:eastAsia="方正楷体_GBK" w:cs="方正楷体_GBK"/>
          <w:kern w:val="0"/>
          <w:sz w:val="32"/>
          <w:szCs w:val="32"/>
          <w:lang w:val="en-US" w:eastAsia="zh-CN"/>
        </w:rPr>
        <w:t>单位构成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0"/>
        <w:rPr>
          <w:rFonts w:hint="eastAsia" w:ascii="Times New Roman" w:hAnsi="Times New Roman" w:eastAsia="方正仿宋_GBK" w:cs="宋体"/>
          <w:b w:val="0"/>
          <w:bCs w:val="0"/>
          <w:kern w:val="0"/>
          <w:sz w:val="32"/>
          <w:szCs w:val="32"/>
          <w:lang w:eastAsia="zh-CN"/>
        </w:rPr>
      </w:pPr>
      <w:r>
        <w:rPr>
          <w:rFonts w:hint="eastAsia" w:ascii="Times New Roman" w:hAnsi="Times New Roman" w:eastAsia="方正仿宋_GBK" w:cs="宋体"/>
          <w:b w:val="0"/>
          <w:bCs w:val="0"/>
          <w:kern w:val="0"/>
          <w:sz w:val="32"/>
          <w:szCs w:val="32"/>
          <w:lang w:eastAsia="zh-CN"/>
        </w:rPr>
        <w:t>重庆市江津区林业局为区政府工作部门，下属</w:t>
      </w:r>
      <w:r>
        <w:rPr>
          <w:rFonts w:hint="eastAsia" w:ascii="Times New Roman" w:hAnsi="Times New Roman" w:eastAsia="方正仿宋_GBK" w:cs="宋体"/>
          <w:b w:val="0"/>
          <w:bCs w:val="0"/>
          <w:kern w:val="0"/>
          <w:sz w:val="32"/>
          <w:szCs w:val="32"/>
          <w:lang w:val="en-US" w:eastAsia="zh-CN"/>
        </w:rPr>
        <w:t>5个</w:t>
      </w:r>
      <w:r>
        <w:rPr>
          <w:rFonts w:hint="eastAsia" w:ascii="Times New Roman" w:hAnsi="Times New Roman" w:eastAsia="方正仿宋_GBK" w:cs="宋体"/>
          <w:b w:val="0"/>
          <w:bCs w:val="0"/>
          <w:kern w:val="0"/>
          <w:sz w:val="32"/>
          <w:szCs w:val="32"/>
          <w:lang w:eastAsia="zh-CN"/>
        </w:rPr>
        <w:t>预算单位。其中１个行政单位：重庆市江津区林业局（本级），</w:t>
      </w:r>
      <w:r>
        <w:rPr>
          <w:rFonts w:hint="eastAsia" w:ascii="Times New Roman" w:hAnsi="Times New Roman" w:eastAsia="方正仿宋_GBK" w:cs="宋体"/>
          <w:b w:val="0"/>
          <w:bCs w:val="0"/>
          <w:kern w:val="0"/>
          <w:sz w:val="32"/>
          <w:szCs w:val="32"/>
          <w:lang w:val="en-US" w:eastAsia="zh-CN"/>
        </w:rPr>
        <w:t>1个</w:t>
      </w:r>
      <w:r>
        <w:rPr>
          <w:rFonts w:hint="eastAsia" w:ascii="Times New Roman" w:hAnsi="Times New Roman" w:eastAsia="方正仿宋_GBK" w:cs="宋体"/>
          <w:b w:val="0"/>
          <w:bCs w:val="0"/>
          <w:kern w:val="0"/>
          <w:sz w:val="32"/>
          <w:szCs w:val="32"/>
          <w:lang w:eastAsia="zh-CN"/>
        </w:rPr>
        <w:t>参公事业单位：重庆市江津区森林病虫防治站，3个全额拨款的公益一类事业单位：重庆市江津区林业行政执法支队（</w:t>
      </w:r>
      <w:r>
        <w:rPr>
          <w:rFonts w:hint="eastAsia" w:ascii="Times New Roman" w:hAnsi="Times New Roman" w:eastAsia="方正仿宋_GBK" w:cs="宋体"/>
          <w:b w:val="0"/>
          <w:bCs w:val="0"/>
          <w:kern w:val="0"/>
          <w:sz w:val="32"/>
          <w:szCs w:val="32"/>
          <w:lang w:val="en-US" w:eastAsia="zh-CN"/>
        </w:rPr>
        <w:t>2024年5月</w:t>
      </w:r>
      <w:r>
        <w:rPr>
          <w:rFonts w:hint="eastAsia" w:eastAsia="方正仿宋_GBK" w:cs="宋体"/>
          <w:b w:val="0"/>
          <w:bCs w:val="0"/>
          <w:kern w:val="0"/>
          <w:sz w:val="32"/>
          <w:szCs w:val="32"/>
          <w:lang w:val="en-US" w:eastAsia="zh-CN"/>
        </w:rPr>
        <w:t>因机构改革</w:t>
      </w:r>
      <w:r>
        <w:rPr>
          <w:rFonts w:hint="eastAsia" w:ascii="Times New Roman" w:hAnsi="Times New Roman" w:eastAsia="方正仿宋_GBK" w:cs="宋体"/>
          <w:b w:val="0"/>
          <w:bCs w:val="0"/>
          <w:kern w:val="0"/>
          <w:sz w:val="32"/>
          <w:szCs w:val="32"/>
          <w:lang w:val="en-US" w:eastAsia="zh-CN"/>
        </w:rPr>
        <w:t>撤销</w:t>
      </w:r>
      <w:r>
        <w:rPr>
          <w:rFonts w:hint="eastAsia" w:ascii="Times New Roman" w:hAnsi="Times New Roman" w:eastAsia="方正仿宋_GBK" w:cs="宋体"/>
          <w:b w:val="0"/>
          <w:bCs w:val="0"/>
          <w:kern w:val="0"/>
          <w:sz w:val="32"/>
          <w:szCs w:val="32"/>
          <w:lang w:eastAsia="zh-CN"/>
        </w:rPr>
        <w:t>）、重庆市江津区大圆洞林场、重庆市江津区云雾坪林场。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二、</w:t>
      </w:r>
      <w:r>
        <w:rPr>
          <w:rFonts w:hint="eastAsia" w:ascii="宋体" w:hAnsi="宋体" w:eastAsia="方正黑体_GBK" w:cs="方正黑体_GBK"/>
          <w:sz w:val="32"/>
          <w:szCs w:val="32"/>
        </w:rPr>
        <w:t>部门决算情况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（一）部门收支总体情况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1.收入支出总体情况。</w:t>
      </w:r>
      <w:r>
        <w:rPr>
          <w:rFonts w:hint="eastAsia" w:ascii="宋体" w:hAnsi="宋体" w:eastAsia="方正仿宋_GBK" w:cs="方正仿宋_GBK"/>
          <w:b w:val="0"/>
          <w:bCs w:val="0"/>
          <w:sz w:val="32"/>
          <w:szCs w:val="32"/>
          <w:lang w:val="en-US" w:eastAsia="zh-CN"/>
        </w:rPr>
        <w:t>2024年度收入总计13071.46万元，支出总计13071.46万元。收支较上年减少3557.91万元，下降21.4%，主要原因为</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2.收入情况。</w:t>
      </w:r>
      <w:r>
        <w:rPr>
          <w:rFonts w:hint="eastAsia" w:ascii="宋体" w:hAnsi="宋体" w:eastAsia="方正仿宋_GBK" w:cs="方正仿宋_GBK"/>
          <w:b w:val="0"/>
          <w:bCs w:val="0"/>
          <w:sz w:val="32"/>
          <w:szCs w:val="32"/>
          <w:lang w:val="en-US" w:eastAsia="zh-CN"/>
        </w:rPr>
        <w:t>2024年度本年收入合计13071.46万元，较上年减少3557.91万元，下降21.4%，主要原因为</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b w:val="0"/>
          <w:bCs w:val="0"/>
          <w:sz w:val="32"/>
          <w:szCs w:val="32"/>
          <w:lang w:val="en-US" w:eastAsia="zh-CN"/>
        </w:rPr>
        <w:t>。其中：财政拨款收入13071.46万元，占比100%；事业收入0万元，占比0%；其他收入0万元，占比0%。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3.支出情况。</w:t>
      </w:r>
      <w:r>
        <w:rPr>
          <w:rFonts w:hint="eastAsia" w:ascii="宋体" w:hAnsi="宋体" w:eastAsia="方正仿宋_GBK" w:cs="方正仿宋_GBK"/>
          <w:b w:val="0"/>
          <w:bCs w:val="0"/>
          <w:sz w:val="32"/>
          <w:szCs w:val="32"/>
          <w:lang w:val="en-US" w:eastAsia="zh-CN"/>
        </w:rPr>
        <w:t>2024年度本年支出合计13071.46万元，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b w:val="0"/>
          <w:bCs w:val="0"/>
          <w:sz w:val="32"/>
          <w:szCs w:val="32"/>
          <w:lang w:val="en-US" w:eastAsia="zh-CN"/>
        </w:rPr>
        <w:t>减少3557.91</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下降21.4%，</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其中：基本支出3168.95万元，占比24.24%；项目支出9902.51万元，占比75.76%。</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4.结转结余情况。</w:t>
      </w:r>
      <w:r>
        <w:rPr>
          <w:rFonts w:hint="eastAsia" w:ascii="宋体" w:hAnsi="宋体" w:eastAsia="方正仿宋_GBK" w:cs="方正仿宋_GBK"/>
          <w:b w:val="0"/>
          <w:bCs w:val="0"/>
          <w:sz w:val="32"/>
          <w:szCs w:val="32"/>
          <w:lang w:val="en-US" w:eastAsia="zh-CN"/>
        </w:rPr>
        <w:t>2024年度年末结转和结余0万元，与2023年度相比无增减</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（二）财政拨款收支总体情况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宋体" w:hAnsi="宋体" w:eastAsia="方正仿宋_GBK" w:cs="方正仿宋_GBK"/>
          <w:b w:val="0"/>
          <w:bCs w:val="0"/>
          <w:sz w:val="32"/>
          <w:szCs w:val="32"/>
          <w:lang w:val="en-US" w:eastAsia="zh-CN"/>
        </w:rPr>
        <w:t>13071.46</w:t>
      </w:r>
      <w:r>
        <w:rPr>
          <w:rFonts w:hint="eastAsia" w:ascii="宋体" w:hAnsi="宋体" w:eastAsia="方正仿宋_GBK" w:cs="方正仿宋_GBK"/>
          <w:sz w:val="32"/>
          <w:lang w:val="en-US" w:eastAsia="zh-CN"/>
        </w:rPr>
        <w:t>万元，支出总计</w:t>
      </w:r>
      <w:r>
        <w:rPr>
          <w:rFonts w:hint="eastAsia" w:ascii="宋体" w:hAnsi="宋体" w:eastAsia="方正仿宋_GBK" w:cs="方正仿宋_GBK"/>
          <w:b w:val="0"/>
          <w:bCs w:val="0"/>
          <w:sz w:val="32"/>
          <w:szCs w:val="32"/>
          <w:lang w:val="en-US" w:eastAsia="zh-CN"/>
        </w:rPr>
        <w:t>13071.46</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w:t>
      </w:r>
      <w:r>
        <w:rPr>
          <w:rFonts w:hint="eastAsia" w:ascii="宋体" w:hAnsi="宋体" w:eastAsia="方正仿宋_GBK" w:cs="方正仿宋_GBK"/>
          <w:b w:val="0"/>
          <w:bCs w:val="0"/>
          <w:sz w:val="32"/>
          <w:szCs w:val="32"/>
          <w:lang w:val="en-US" w:eastAsia="zh-CN"/>
        </w:rPr>
        <w:t>减少3557.91</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b w:val="0"/>
          <w:bCs w:val="0"/>
          <w:sz w:val="32"/>
          <w:szCs w:val="32"/>
          <w:lang w:val="en-US" w:eastAsia="zh-CN"/>
        </w:rPr>
        <w:t>下降21.4%</w:t>
      </w:r>
      <w:r>
        <w:rPr>
          <w:rFonts w:hint="eastAsia" w:ascii="宋体" w:hAnsi="宋体" w:eastAsia="方正仿宋_GBK" w:cs="方正仿宋_GBK"/>
          <w:sz w:val="32"/>
          <w:lang w:val="en-US" w:eastAsia="zh-CN"/>
        </w:rPr>
        <w:t>，</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（三）一般公共预算财政拨款收支总体情况</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1.收入情况。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b w:val="0"/>
          <w:bCs w:val="0"/>
          <w:sz w:val="32"/>
          <w:szCs w:val="32"/>
          <w:lang w:val="en-US" w:eastAsia="zh-CN"/>
        </w:rPr>
        <w:t>13071.46</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w:t>
      </w:r>
      <w:r>
        <w:rPr>
          <w:rFonts w:hint="eastAsia" w:ascii="宋体" w:hAnsi="宋体" w:eastAsia="方正仿宋_GBK" w:cs="方正仿宋_GBK"/>
          <w:b w:val="0"/>
          <w:bCs w:val="0"/>
          <w:sz w:val="32"/>
          <w:szCs w:val="32"/>
          <w:lang w:val="en-US" w:eastAsia="zh-CN"/>
        </w:rPr>
        <w:t>减少3557.91</w:t>
      </w:r>
      <w:r>
        <w:rPr>
          <w:rFonts w:hint="eastAsia" w:ascii="宋体" w:hAnsi="宋体" w:eastAsia="方正仿宋_GBK" w:cs="方正仿宋_GBK"/>
          <w:color w:val="auto"/>
          <w:sz w:val="32"/>
        </w:rPr>
        <w:t>万元，</w:t>
      </w:r>
      <w:r>
        <w:rPr>
          <w:rFonts w:hint="eastAsia" w:ascii="宋体" w:hAnsi="宋体" w:eastAsia="方正仿宋_GBK" w:cs="方正仿宋_GBK"/>
          <w:b w:val="0"/>
          <w:bCs w:val="0"/>
          <w:sz w:val="32"/>
          <w:szCs w:val="32"/>
          <w:lang w:val="en-US" w:eastAsia="zh-CN"/>
        </w:rPr>
        <w:t>下降21.4%</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color w:val="auto"/>
          <w:sz w:val="32"/>
          <w:lang w:val="en-US" w:eastAsia="zh-CN"/>
        </w:rPr>
        <w:t>。较年初预算数减少3510.37万元，</w:t>
      </w:r>
      <w:r>
        <w:rPr>
          <w:rFonts w:hint="eastAsia" w:ascii="宋体" w:hAnsi="宋体" w:eastAsia="方正仿宋_GBK" w:cs="方正仿宋_GBK"/>
          <w:b w:val="0"/>
          <w:bCs w:val="0"/>
          <w:sz w:val="32"/>
          <w:szCs w:val="32"/>
          <w:lang w:val="en-US" w:eastAsia="zh-CN"/>
        </w:rPr>
        <w:t>下降21.17%</w:t>
      </w:r>
      <w:r>
        <w:rPr>
          <w:rFonts w:hint="eastAsia" w:ascii="宋体" w:hAnsi="宋体" w:eastAsia="方正仿宋_GBK" w:cs="方正仿宋_GBK"/>
          <w:color w:val="auto"/>
          <w:sz w:val="32"/>
          <w:lang w:val="en-US" w:eastAsia="zh-CN"/>
        </w:rPr>
        <w:t>，主要原因是</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2.支出情况。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eastAsia="方正仿宋_GBK" w:cs="方正仿宋_GBK"/>
          <w:b w:val="0"/>
          <w:bCs w:val="0"/>
          <w:sz w:val="32"/>
          <w:szCs w:val="32"/>
          <w:lang w:val="en-US" w:eastAsia="zh-CN"/>
        </w:rPr>
        <w:t>13071.46</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b w:val="0"/>
          <w:bCs w:val="0"/>
          <w:sz w:val="32"/>
          <w:szCs w:val="32"/>
          <w:lang w:val="en-US" w:eastAsia="zh-CN"/>
        </w:rPr>
        <w:t>减少3557.91</w:t>
      </w:r>
      <w:r>
        <w:rPr>
          <w:rFonts w:hint="eastAsia" w:ascii="宋体" w:hAnsi="宋体" w:eastAsia="方正仿宋_GBK" w:cs="方正仿宋_GBK"/>
          <w:color w:val="auto"/>
          <w:sz w:val="32"/>
        </w:rPr>
        <w:t>万元，</w:t>
      </w:r>
      <w:r>
        <w:rPr>
          <w:rFonts w:hint="eastAsia" w:ascii="宋体" w:hAnsi="宋体" w:eastAsia="方正仿宋_GBK" w:cs="方正仿宋_GBK"/>
          <w:b w:val="0"/>
          <w:bCs w:val="0"/>
          <w:sz w:val="32"/>
          <w:szCs w:val="32"/>
          <w:lang w:val="en-US" w:eastAsia="zh-CN"/>
        </w:rPr>
        <w:t>下降21.4</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color w:val="auto"/>
          <w:sz w:val="32"/>
          <w:lang w:val="en-US" w:eastAsia="zh-CN"/>
        </w:rPr>
        <w:t>。较年初预算数</w:t>
      </w:r>
      <w:r>
        <w:rPr>
          <w:rFonts w:hint="eastAsia" w:ascii="宋体" w:hAnsi="宋体" w:eastAsia="方正仿宋_GBK" w:cs="方正仿宋_GBK"/>
          <w:b w:val="0"/>
          <w:bCs w:val="0"/>
          <w:sz w:val="32"/>
          <w:szCs w:val="32"/>
          <w:lang w:val="en-US" w:eastAsia="zh-CN"/>
        </w:rPr>
        <w:t>减少3557.91</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b w:val="0"/>
          <w:bCs w:val="0"/>
          <w:sz w:val="32"/>
          <w:szCs w:val="32"/>
          <w:lang w:val="en-US" w:eastAsia="zh-CN"/>
        </w:rPr>
        <w:t>下降21.17%</w:t>
      </w:r>
      <w:r>
        <w:rPr>
          <w:rFonts w:hint="eastAsia" w:ascii="宋体" w:hAnsi="宋体" w:eastAsia="方正仿宋_GBK" w:cs="方正仿宋_GBK"/>
          <w:color w:val="auto"/>
          <w:sz w:val="32"/>
          <w:lang w:val="en-US" w:eastAsia="zh-CN"/>
        </w:rPr>
        <w:t>，主要原因是</w:t>
      </w:r>
      <w:r>
        <w:rPr>
          <w:rFonts w:hint="eastAsia" w:ascii="Times New Roman" w:hAnsi="Times New Roman" w:eastAsia="方正仿宋_GBK" w:cs="方正仿宋_GBK"/>
          <w:sz w:val="32"/>
        </w:rPr>
        <w:t>退耕还林项目资金减少</w:t>
      </w:r>
      <w:r>
        <w:rPr>
          <w:rFonts w:hint="eastAsia" w:ascii="宋体" w:hAnsi="宋体" w:eastAsia="方正仿宋_GBK" w:cs="方正仿宋_GBK"/>
          <w:color w:val="auto"/>
          <w:sz w:val="32"/>
          <w:lang w:val="en-US" w:eastAsia="zh-CN"/>
        </w:rPr>
        <w:t>。</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4.比较情况。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（1）教育支出3.07万元，占比0.02%。较年初预算数减少10.59万元，下降77.53%，主要原因是职工培训减少。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宋体" w:hAnsi="宋体" w:eastAsia="方正仿宋_GBK" w:cs="方正仿宋_GBK"/>
          <w:color w:val="auto"/>
          <w:sz w:val="32"/>
          <w:lang w:val="en-US" w:eastAsia="zh-CN"/>
        </w:rPr>
        <w:t>（2）</w:t>
      </w:r>
      <w:r>
        <w:rPr>
          <w:rFonts w:hint="eastAsia" w:ascii="Times New Roman" w:hAnsi="Times New Roman" w:eastAsia="方正仿宋_GBK" w:cs="方正仿宋_GBK"/>
          <w:color w:val="auto"/>
          <w:sz w:val="32"/>
          <w:lang w:val="en-US" w:eastAsia="zh-CN"/>
        </w:rPr>
        <w:t>社会保障和就业支出650.48万元，占比4.98%。较年初预算数增加20.95万元，增长3.33%，主要原因是</w:t>
      </w:r>
      <w:r>
        <w:rPr>
          <w:rFonts w:hint="eastAsia" w:ascii="Times New Roman" w:hAnsi="Times New Roman" w:eastAsia="方正仿宋_GBK" w:cs="方正仿宋_GBK"/>
          <w:b w:val="0"/>
          <w:bCs w:val="0"/>
          <w:kern w:val="0"/>
          <w:sz w:val="32"/>
          <w:szCs w:val="32"/>
          <w:lang w:eastAsia="zh-CN"/>
        </w:rPr>
        <w:t>单位职工人数较上年增加</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（3）卫生健康支出131.4万元，占比1.01%。较年初预算数减少51.15万元，下降28.02%，主要原因是</w:t>
      </w:r>
      <w:r>
        <w:rPr>
          <w:rFonts w:hint="eastAsia" w:ascii="Times New Roman" w:hAnsi="Times New Roman" w:eastAsia="方正仿宋_GBK" w:cs="方正仿宋_GBK"/>
          <w:b w:val="0"/>
          <w:bCs w:val="0"/>
          <w:kern w:val="0"/>
          <w:sz w:val="32"/>
          <w:szCs w:val="32"/>
        </w:rPr>
        <w:t>事业单位医疗</w:t>
      </w:r>
      <w:r>
        <w:rPr>
          <w:rFonts w:hint="eastAsia" w:ascii="Times New Roman" w:hAnsi="Times New Roman" w:eastAsia="方正仿宋_GBK" w:cs="方正仿宋_GBK"/>
          <w:b w:val="0"/>
          <w:bCs w:val="0"/>
          <w:kern w:val="0"/>
          <w:sz w:val="32"/>
          <w:szCs w:val="32"/>
          <w:lang w:eastAsia="zh-CN"/>
        </w:rPr>
        <w:t>保险</w:t>
      </w:r>
      <w:r>
        <w:rPr>
          <w:rFonts w:hint="eastAsia" w:ascii="Times New Roman" w:hAnsi="Times New Roman" w:eastAsia="方正仿宋_GBK" w:cs="方正仿宋_GBK"/>
          <w:b w:val="0"/>
          <w:bCs w:val="0"/>
          <w:kern w:val="0"/>
          <w:sz w:val="32"/>
          <w:szCs w:val="32"/>
        </w:rPr>
        <w:t>主要使用上级社会保险补助资金缴纳</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（4）节能环保支出432.36万元，占比3.31%。较年初预算数减少973.5万元，下降69.25%，主要原因是自然保护地管理和</w:t>
      </w:r>
      <w:r>
        <w:rPr>
          <w:rFonts w:hint="eastAsia" w:ascii="Times New Roman" w:hAnsi="Times New Roman" w:eastAsia="方正仿宋_GBK" w:cs="方正仿宋_GBK"/>
          <w:b w:val="0"/>
          <w:bCs w:val="0"/>
          <w:sz w:val="32"/>
          <w:szCs w:val="32"/>
          <w:lang w:val="en-US" w:eastAsia="zh-CN"/>
        </w:rPr>
        <w:t>森林管护项目支出减少</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（5）农林水支出10869.42万元，占比83.15%。较年初预算数减少2480.27万元，下降18.58%，主要原因是</w:t>
      </w:r>
      <w:r>
        <w:rPr>
          <w:rFonts w:hint="eastAsia" w:ascii="Times New Roman" w:hAnsi="Times New Roman" w:eastAsia="方正仿宋_GBK" w:cs="方正仿宋_GBK"/>
          <w:sz w:val="32"/>
        </w:rPr>
        <w:t>退耕还林项目</w:t>
      </w:r>
      <w:r>
        <w:rPr>
          <w:rFonts w:hint="eastAsia" w:ascii="Times New Roman" w:hAnsi="Times New Roman" w:eastAsia="方正仿宋_GBK" w:cs="方正仿宋_GBK"/>
          <w:sz w:val="32"/>
          <w:lang w:eastAsia="zh-CN"/>
        </w:rPr>
        <w:t>支出</w:t>
      </w:r>
      <w:r>
        <w:rPr>
          <w:rFonts w:hint="eastAsia" w:ascii="Times New Roman" w:hAnsi="Times New Roman" w:eastAsia="方正仿宋_GBK" w:cs="方正仿宋_GBK"/>
          <w:sz w:val="32"/>
        </w:rPr>
        <w:t>减少</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（6）住房保障支出128.07万元，占比0.98%。较年初预算数减少1.46万元，下降1.13%，主要原因是</w:t>
      </w:r>
      <w:r>
        <w:rPr>
          <w:rFonts w:hint="eastAsia" w:ascii="Times New Roman" w:hAnsi="Times New Roman" w:eastAsia="方正仿宋_GBK" w:cs="方正仿宋_GBK"/>
          <w:b w:val="0"/>
          <w:bCs w:val="0"/>
          <w:kern w:val="0"/>
          <w:sz w:val="32"/>
          <w:szCs w:val="32"/>
          <w:lang w:val="en-US" w:eastAsia="zh-CN"/>
        </w:rPr>
        <w:t>人员变动，缴费基数下降</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（7）灾害防治及应急管理支出856.66万元，占比6.55%。较年初预算数减少14.34万元，下降1.65%，主要原因是</w:t>
      </w:r>
      <w:r>
        <w:rPr>
          <w:rFonts w:hint="eastAsia" w:ascii="Times New Roman" w:hAnsi="Times New Roman" w:eastAsia="方正仿宋_GBK" w:cs="方正仿宋_GBK"/>
          <w:b w:val="0"/>
          <w:bCs w:val="0"/>
          <w:sz w:val="32"/>
          <w:szCs w:val="32"/>
          <w:lang w:val="en-US" w:eastAsia="zh-CN"/>
        </w:rPr>
        <w:t>项目需抚育管理</w:t>
      </w:r>
      <w:r>
        <w:rPr>
          <w:rFonts w:hint="eastAsia" w:eastAsia="方正仿宋_GBK" w:cs="方正仿宋_GBK"/>
          <w:b w:val="0"/>
          <w:bCs w:val="0"/>
          <w:sz w:val="32"/>
          <w:szCs w:val="32"/>
          <w:lang w:val="en-US" w:eastAsia="zh-CN"/>
        </w:rPr>
        <w:t>验收</w:t>
      </w:r>
      <w:r>
        <w:rPr>
          <w:rFonts w:hint="eastAsia" w:ascii="Times New Roman" w:hAnsi="Times New Roman" w:eastAsia="方正仿宋_GBK" w:cs="方正仿宋_GBK"/>
          <w:b w:val="0"/>
          <w:bCs w:val="0"/>
          <w:sz w:val="32"/>
          <w:szCs w:val="32"/>
          <w:lang w:val="en-US" w:eastAsia="zh-CN"/>
        </w:rPr>
        <w:t>合格后支付尾款</w:t>
      </w:r>
      <w:r>
        <w:rPr>
          <w:rFonts w:hint="eastAsia" w:ascii="Times New Roman" w:hAnsi="Times New Roman" w:eastAsia="方正仿宋_GBK" w:cs="方正仿宋_GBK"/>
          <w:color w:val="auto"/>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（四）一般公共预算财政拨款基本支出情况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2024年度一般公共预算财政拨款基本支出3168.95万元。其中：人员经费2750.26万元，主要用于工资福利和对个人和家庭的补助支出，较上年决算数增加124.43万元，增长4.74%，主要原因是职工人数增加以及</w:t>
      </w:r>
      <w:r>
        <w:rPr>
          <w:rFonts w:hint="eastAsia" w:ascii="Times New Roman" w:hAnsi="Times New Roman" w:eastAsia="方正仿宋_GBK" w:cs="方正仿宋_GBK"/>
          <w:color w:val="auto"/>
          <w:sz w:val="32"/>
          <w:lang w:val="en-US" w:eastAsia="zh-CN"/>
        </w:rPr>
        <w:t>保险缴费基数调整，保险缴费增加</w:t>
      </w:r>
      <w:r>
        <w:rPr>
          <w:rFonts w:hint="eastAsia" w:ascii="宋体" w:hAnsi="宋体" w:eastAsia="方正仿宋_GBK" w:cs="方正仿宋_GBK"/>
          <w:color w:val="auto"/>
          <w:sz w:val="32"/>
          <w:lang w:val="en-US" w:eastAsia="zh-CN"/>
        </w:rPr>
        <w:t>。公用经费418.69万元，主要用于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宋体" w:hAnsi="宋体" w:eastAsia="方正仿宋_GBK" w:cs="方正仿宋_GBK"/>
          <w:color w:val="auto"/>
          <w:sz w:val="32"/>
          <w:lang w:val="en-US" w:eastAsia="zh-CN"/>
        </w:rPr>
        <w:t>，较上年决算数减少23.96万元，下降5.41%，主要原因是加强单位运行管理，非必要性支出减少。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部门2024年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部门2024年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2024年度“三公”经费支出共计47.85万元，较年初预算数增加12.65万元，增长35.94%，主要原因是公务用车购置费增加。较上年支出数减少1.56万元，下降3.16%，主要原因是2024年度购置的公务用车费用较低。</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公务车购置费用14.59万元，主要用于林业局（本级）公务车购置。费用支出较年初预算数增加14.59万元，较上年支出数减少1.56万元，下降3.16%，主要原因是2024年度购置的公务用车费用较低。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公务车运行维护费29.91万元，主要用于</w:t>
      </w:r>
      <w:r>
        <w:rPr>
          <w:rFonts w:hint="eastAsia" w:ascii="Times New Roman" w:hAnsi="Times New Roman" w:eastAsia="方正仿宋_GBK" w:cs="方正仿宋_GBK"/>
          <w:color w:val="auto"/>
          <w:sz w:val="32"/>
          <w:lang w:val="en-US" w:eastAsia="zh-CN"/>
        </w:rPr>
        <w:t>公务用车燃料费、维修费、保险费、过桥过路费等。</w:t>
      </w:r>
      <w:r>
        <w:rPr>
          <w:rFonts w:hint="eastAsia" w:ascii="宋体" w:hAnsi="宋体" w:eastAsia="方正仿宋_GBK" w:cs="方正仿宋_GBK"/>
          <w:color w:val="auto"/>
          <w:sz w:val="32"/>
          <w:lang w:val="en-US" w:eastAsia="zh-CN"/>
        </w:rPr>
        <w:t>费用支出较年初预算数减少0.09万元，较上年支出数减少0.14万元，下降0.47%，主要原因是购置新车后，</w:t>
      </w:r>
      <w:r>
        <w:rPr>
          <w:rFonts w:hint="eastAsia" w:eastAsia="方正仿宋_GBK" w:cs="方正仿宋_GBK"/>
          <w:color w:val="auto"/>
          <w:sz w:val="32"/>
          <w:lang w:val="en-US" w:eastAsia="zh-CN"/>
        </w:rPr>
        <w:t>维修</w:t>
      </w:r>
      <w:r>
        <w:rPr>
          <w:rFonts w:hint="eastAsia" w:ascii="Times New Roman" w:hAnsi="Times New Roman" w:eastAsia="方正仿宋_GBK" w:cs="方正仿宋_GBK"/>
          <w:color w:val="auto"/>
          <w:sz w:val="32"/>
          <w:lang w:val="en-US" w:eastAsia="zh-CN"/>
        </w:rPr>
        <w:t>费</w:t>
      </w:r>
      <w:r>
        <w:rPr>
          <w:rFonts w:hint="eastAsia" w:eastAsia="方正仿宋_GBK" w:cs="方正仿宋_GBK"/>
          <w:color w:val="auto"/>
          <w:sz w:val="32"/>
          <w:lang w:val="en-US" w:eastAsia="zh-CN"/>
        </w:rPr>
        <w:t>等</w:t>
      </w:r>
      <w:r>
        <w:rPr>
          <w:rFonts w:hint="eastAsia" w:ascii="宋体" w:hAnsi="宋体" w:eastAsia="方正仿宋_GBK" w:cs="方正仿宋_GBK"/>
          <w:color w:val="auto"/>
          <w:sz w:val="32"/>
          <w:lang w:val="en-US" w:eastAsia="zh-CN"/>
        </w:rPr>
        <w:t>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公务接待费3.35万元，主要用于</w:t>
      </w:r>
      <w:r>
        <w:rPr>
          <w:rFonts w:hint="eastAsia" w:ascii="Times New Roman" w:hAnsi="Times New Roman" w:eastAsia="方正仿宋_GBK" w:cs="方正仿宋_GBK"/>
          <w:color w:val="auto"/>
          <w:sz w:val="32"/>
          <w:lang w:val="en-US" w:eastAsia="zh-CN"/>
        </w:rPr>
        <w:t>各类公务接待费用。</w:t>
      </w:r>
      <w:r>
        <w:rPr>
          <w:rFonts w:hint="eastAsia" w:ascii="宋体" w:hAnsi="宋体" w:eastAsia="方正仿宋_GBK" w:cs="方正仿宋_GBK"/>
          <w:color w:val="auto"/>
          <w:sz w:val="32"/>
          <w:lang w:val="en-US" w:eastAsia="zh-CN"/>
        </w:rPr>
        <w:t>费用支出较年初预算数减少1.85万元，较上年支出数增加1.75万元，增长109.38%，主要原因是集体林权制度改革试点工作等，考察学习接待增加。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1辆，公务车保有量为10辆；国内公务接待60批次400人，其中：国内外事接待0批次，0人；国（境）外公务接待0批次，0人。人均接待费83.75元，车均购置费14.59万元，车均维护费2.99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0.08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lang w:val="en-US" w:eastAsia="zh-CN"/>
        </w:rPr>
        <w:t>4.02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在本区召开全市集体林权改革试点工作会，费用增加</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3.12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下降</w:t>
      </w:r>
      <w:r>
        <w:rPr>
          <w:rFonts w:hint="eastAsia" w:ascii="方正仿宋_GBK" w:hAnsi="方正仿宋_GBK" w:eastAsia="方正仿宋_GBK" w:cs="方正仿宋_GBK"/>
          <w:sz w:val="32"/>
          <w:szCs w:val="32"/>
          <w:shd w:val="clear" w:color="auto" w:fill="FFFFFF"/>
          <w:lang w:val="en-US" w:eastAsia="zh-CN"/>
        </w:rPr>
        <w:t>48.83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非必要性外出培训减少</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val="en-US" w:eastAsia="zh-CN"/>
        </w:rPr>
        <w:t>132.7</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lang w:eastAsia="zh-CN"/>
        </w:rPr>
        <w:t>减少</w:t>
      </w:r>
      <w:r>
        <w:rPr>
          <w:rFonts w:hint="eastAsia" w:ascii="宋体" w:hAnsi="宋体" w:eastAsia="方正仿宋_GBK" w:cs="方正仿宋_GBK"/>
          <w:kern w:val="0"/>
          <w:sz w:val="32"/>
          <w:szCs w:val="32"/>
          <w:lang w:val="en-US" w:eastAsia="zh-CN"/>
        </w:rPr>
        <w:t>26.28</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下降</w:t>
      </w:r>
      <w:r>
        <w:rPr>
          <w:rFonts w:hint="eastAsia" w:ascii="宋体" w:hAnsi="宋体" w:eastAsia="方正仿宋_GBK" w:cs="方正仿宋_GBK"/>
          <w:kern w:val="0"/>
          <w:sz w:val="32"/>
          <w:szCs w:val="32"/>
          <w:lang w:val="en-US" w:eastAsia="zh-CN"/>
        </w:rPr>
        <w:t>16.53</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加强机关运行管理，倡导节能减排，降低运行成本</w:t>
      </w:r>
      <w:r>
        <w:rPr>
          <w:rFonts w:hint="eastAsia" w:ascii="宋体" w:hAnsi="宋体" w:eastAsia="方正仿宋_GBK" w:cs="方正仿宋_GBK"/>
          <w:kern w:val="0"/>
          <w:sz w:val="32"/>
          <w:szCs w:val="32"/>
        </w:rPr>
        <w:t>。机关运</w:t>
      </w:r>
      <w:r>
        <w:rPr>
          <w:rFonts w:hint="eastAsia" w:ascii="宋体" w:hAnsi="宋体" w:eastAsia="方正仿宋_GBK" w:cs="方正仿宋_GBK"/>
          <w:kern w:val="0"/>
          <w:sz w:val="32"/>
          <w:szCs w:val="32"/>
          <w:lang w:eastAsia="zh-CN"/>
        </w:rPr>
        <w:t>行</w:t>
      </w:r>
      <w:r>
        <w:rPr>
          <w:rFonts w:hint="eastAsia" w:ascii="宋体" w:hAnsi="宋体" w:eastAsia="方正仿宋_GBK" w:cs="方正仿宋_GBK"/>
          <w:kern w:val="0"/>
          <w:sz w:val="32"/>
          <w:szCs w:val="32"/>
        </w:rPr>
        <w:t>经费主要用于</w:t>
      </w:r>
      <w:r>
        <w:rPr>
          <w:rFonts w:hint="eastAsia" w:ascii="Times New Roman" w:hAnsi="Times New Roman" w:eastAsia="方正仿宋_GBK" w:cs="方正仿宋_GBK"/>
          <w:b w:val="0"/>
          <w:bCs w:val="0"/>
          <w:kern w:val="0"/>
          <w:sz w:val="32"/>
          <w:szCs w:val="32"/>
          <w:shd w:val="clear" w:color="auto" w:fill="FFFFFF"/>
        </w:rPr>
        <w:t>办公费、</w:t>
      </w:r>
      <w:r>
        <w:rPr>
          <w:rFonts w:hint="eastAsia" w:eastAsia="方正仿宋_GBK" w:cs="方正仿宋_GBK"/>
          <w:b w:val="0"/>
          <w:bCs w:val="0"/>
          <w:kern w:val="0"/>
          <w:sz w:val="32"/>
          <w:szCs w:val="32"/>
          <w:shd w:val="clear" w:color="auto" w:fill="FFFFFF"/>
          <w:lang w:eastAsia="zh-CN"/>
        </w:rPr>
        <w:t>邮电</w:t>
      </w:r>
      <w:r>
        <w:rPr>
          <w:rFonts w:hint="eastAsia" w:ascii="Times New Roman" w:hAnsi="Times New Roman" w:eastAsia="方正仿宋_GBK" w:cs="方正仿宋_GBK"/>
          <w:b w:val="0"/>
          <w:bCs w:val="0"/>
          <w:kern w:val="0"/>
          <w:sz w:val="32"/>
          <w:szCs w:val="32"/>
          <w:shd w:val="clear" w:color="auto" w:fill="FFFFFF"/>
        </w:rPr>
        <w:t>费、差旅费</w:t>
      </w:r>
      <w:r>
        <w:rPr>
          <w:rFonts w:hint="eastAsia" w:eastAsia="方正仿宋_GBK" w:cs="方正仿宋_GBK"/>
          <w:b w:val="0"/>
          <w:bCs w:val="0"/>
          <w:kern w:val="0"/>
          <w:sz w:val="32"/>
          <w:szCs w:val="32"/>
          <w:shd w:val="clear" w:color="auto" w:fill="FFFFFF"/>
          <w:lang w:eastAsia="zh-CN"/>
        </w:rPr>
        <w:t>、</w:t>
      </w:r>
      <w:r>
        <w:rPr>
          <w:rFonts w:hint="eastAsia" w:ascii="Times New Roman" w:hAnsi="Times New Roman" w:eastAsia="方正仿宋_GBK" w:cs="方正仿宋_GBK"/>
          <w:sz w:val="32"/>
          <w:szCs w:val="32"/>
        </w:rPr>
        <w:t>办公用房水电费、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等</w:t>
      </w:r>
      <w:r>
        <w:rPr>
          <w:rFonts w:hint="eastAsia" w:ascii="Times New Roman" w:hAnsi="Times New Roman" w:eastAsia="方正仿宋_GBK" w:cs="方正仿宋_GBK"/>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10</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10</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2027.22</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335.47</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959.7</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732.06</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1887.37</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93.1</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1693.57</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83.54</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主要用于采购有害生物监测和林业管理建设等。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根据预算绩效管理要求，我局对部门整体和</w:t>
      </w:r>
      <w:r>
        <w:rPr>
          <w:rFonts w:hint="eastAsia" w:ascii="宋体" w:hAnsi="宋体" w:eastAsia="方正仿宋_GBK" w:cs="方正仿宋_GBK"/>
          <w:kern w:val="0"/>
          <w:sz w:val="32"/>
          <w:szCs w:val="32"/>
          <w:lang w:val="en-US" w:eastAsia="zh-CN"/>
        </w:rPr>
        <w:t>57</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57</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9902.51</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公开内容</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rPr>
        <w:t>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2024年度部门整体</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857"/>
        <w:gridCol w:w="1255"/>
        <w:gridCol w:w="816"/>
        <w:gridCol w:w="1404"/>
        <w:gridCol w:w="12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38"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Times New Roman" w:hAnsi="Times New Roman" w:eastAsia="方正仿宋_GBK" w:cs="宋体"/>
                <w:color w:val="000000"/>
                <w:kern w:val="0"/>
                <w:sz w:val="24"/>
                <w:szCs w:val="24"/>
              </w:rPr>
              <w:t>重庆市江津区林业局整体</w:t>
            </w:r>
            <w:r>
              <w:rPr>
                <w:rFonts w:hint="eastAsia" w:ascii="Times New Roman" w:hAnsi="Times New Roman" w:eastAsia="方正仿宋_GBK" w:cs="宋体"/>
                <w:color w:val="000000"/>
                <w:kern w:val="0"/>
                <w:sz w:val="24"/>
                <w:szCs w:val="24"/>
                <w:lang w:eastAsia="zh-CN"/>
              </w:rPr>
              <w:t>绩效</w:t>
            </w:r>
            <w:r>
              <w:rPr>
                <w:rFonts w:hint="eastAsia" w:ascii="Times New Roman" w:hAnsi="Times New Roman" w:eastAsia="方正仿宋_GBK" w:cs="宋体"/>
                <w:color w:val="000000"/>
                <w:kern w:val="0"/>
                <w:sz w:val="24"/>
                <w:szCs w:val="24"/>
              </w:rPr>
              <w:t>自评</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9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Times New Roman" w:hAnsi="Times New Roman" w:eastAsia="方正仿宋_GBK" w:cs="宋体"/>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Times New Roman" w:hAnsi="Times New Roman" w:eastAsia="方正仿宋_GBK" w:cs="宋体"/>
                <w:color w:val="000000"/>
                <w:kern w:val="0"/>
                <w:sz w:val="24"/>
                <w:szCs w:val="24"/>
              </w:rPr>
              <w:t>农业农村科</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Times New Roman" w:hAnsi="Times New Roman" w:eastAsia="方正仿宋_GBK" w:cs="宋体"/>
                <w:color w:val="000000"/>
                <w:kern w:val="0"/>
                <w:sz w:val="24"/>
                <w:szCs w:val="24"/>
              </w:rPr>
              <w:t>钟宏</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023-47528265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07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ascii="宋体" w:hAnsi="宋体" w:eastAsia="宋体" w:cs="宋体"/>
                <w:sz w:val="21"/>
                <w:szCs w:val="21"/>
              </w:rPr>
              <w:t>16581.83</w:t>
            </w:r>
          </w:p>
        </w:tc>
        <w:tc>
          <w:tcPr>
            <w:tcW w:w="11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b w:val="0"/>
                <w:bCs w:val="0"/>
                <w:sz w:val="21"/>
                <w:szCs w:val="21"/>
                <w:lang w:val="en-US" w:eastAsia="zh-CN"/>
              </w:rPr>
              <w:t>13071.46</w:t>
            </w:r>
          </w:p>
        </w:tc>
        <w:tc>
          <w:tcPr>
            <w:tcW w:w="207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b w:val="0"/>
                <w:bCs w:val="0"/>
                <w:sz w:val="21"/>
                <w:szCs w:val="21"/>
                <w:lang w:val="en-US" w:eastAsia="zh-CN"/>
              </w:rPr>
              <w:t>13071.46</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1"/>
                <w:szCs w:val="21"/>
              </w:rPr>
            </w:pP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ascii="宋体" w:hAnsi="宋体" w:eastAsia="宋体" w:cs="宋体"/>
                <w:sz w:val="21"/>
                <w:szCs w:val="21"/>
              </w:rPr>
              <w:t>16581.83</w:t>
            </w:r>
          </w:p>
        </w:tc>
        <w:tc>
          <w:tcPr>
            <w:tcW w:w="11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b w:val="0"/>
                <w:bCs w:val="0"/>
                <w:sz w:val="21"/>
                <w:szCs w:val="21"/>
                <w:lang w:val="en-US" w:eastAsia="zh-CN"/>
              </w:rPr>
              <w:t>13071.46</w:t>
            </w:r>
          </w:p>
        </w:tc>
        <w:tc>
          <w:tcPr>
            <w:tcW w:w="207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b w:val="0"/>
                <w:bCs w:val="0"/>
                <w:sz w:val="21"/>
                <w:szCs w:val="21"/>
                <w:lang w:val="en-US" w:eastAsia="zh-CN"/>
              </w:rPr>
              <w:t>13071.46</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1"/>
                <w:szCs w:val="21"/>
                <w:lang w:val="en-US" w:eastAsia="zh-CN"/>
              </w:rPr>
            </w:pP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928"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4"/>
                <w:szCs w:val="24"/>
              </w:rPr>
              <w:t>1、完成各类自然保护地的保护管理工作，包括：</w:t>
            </w:r>
            <w:r>
              <w:rPr>
                <w:rFonts w:hint="eastAsia" w:ascii="宋体" w:hAnsi="宋体" w:eastAsia="方正仿宋_GBK" w:cs="方正仿宋_GBK"/>
                <w:color w:val="000000"/>
                <w:kern w:val="0"/>
                <w:sz w:val="24"/>
                <w:szCs w:val="24"/>
                <w:lang w:val="en-US" w:eastAsia="zh-CN"/>
              </w:rPr>
              <w:t>5</w:t>
            </w:r>
            <w:r>
              <w:rPr>
                <w:rFonts w:hint="eastAsia" w:ascii="宋体" w:hAnsi="宋体" w:eastAsia="方正仿宋_GBK" w:cs="方正仿宋_GBK"/>
                <w:color w:val="000000"/>
                <w:kern w:val="0"/>
                <w:sz w:val="24"/>
                <w:szCs w:val="24"/>
              </w:rPr>
              <w:t>个自然保护区、4个森林公园、2个风景名胜区；2、完成国土绿化相关任务，包括：“两岸青山</w:t>
            </w:r>
            <w:r>
              <w:rPr>
                <w:rFonts w:hint="eastAsia" w:ascii="汉仪大黑简" w:hAnsi="汉仪大黑简" w:eastAsia="汉仪大黑简" w:cs="汉仪大黑简"/>
                <w:color w:val="000000"/>
                <w:kern w:val="0"/>
                <w:sz w:val="24"/>
                <w:szCs w:val="24"/>
              </w:rPr>
              <w:t>·</w:t>
            </w:r>
            <w:r>
              <w:rPr>
                <w:rFonts w:hint="eastAsia" w:ascii="宋体" w:hAnsi="宋体" w:eastAsia="方正仿宋_GBK" w:cs="方正仿宋_GBK"/>
                <w:color w:val="000000"/>
                <w:kern w:val="0"/>
                <w:sz w:val="24"/>
                <w:szCs w:val="24"/>
              </w:rPr>
              <w:t>千里林带”生态建设、天然林保护修复、退耕还林成果巩固；逐步提高森林</w:t>
            </w:r>
            <w:r>
              <w:rPr>
                <w:rFonts w:hint="eastAsia" w:ascii="宋体" w:hAnsi="宋体" w:eastAsia="方正仿宋_GBK" w:cs="方正仿宋_GBK"/>
                <w:color w:val="000000"/>
                <w:kern w:val="0"/>
                <w:sz w:val="24"/>
                <w:szCs w:val="24"/>
                <w:lang w:eastAsia="zh-CN"/>
              </w:rPr>
              <w:t>覆盖</w:t>
            </w:r>
            <w:r>
              <w:rPr>
                <w:rFonts w:hint="eastAsia" w:ascii="宋体" w:hAnsi="宋体" w:eastAsia="方正仿宋_GBK" w:cs="方正仿宋_GBK"/>
                <w:color w:val="000000"/>
                <w:kern w:val="0"/>
                <w:sz w:val="24"/>
                <w:szCs w:val="24"/>
              </w:rPr>
              <w:t>率、森林质量，包括：人工林集约栽培、现有林改培、森林抚育等措施；3、深化林业改革，包括：推行林权制度改革工作；4、加强和完善"三防"工作，包括：加强森林防火基础设施设备建设、完善和规范林业相关执法工作，继续加强松材线虫病的除治。5、进一步强化2个国有林场森林资源培育、保护和基础设施建设</w:t>
            </w:r>
            <w:r>
              <w:rPr>
                <w:rFonts w:hint="eastAsia" w:ascii="宋体" w:hAnsi="宋体" w:eastAsia="方正仿宋_GBK" w:cs="方正仿宋_GBK"/>
                <w:color w:val="000000"/>
                <w:kern w:val="0"/>
                <w:sz w:val="21"/>
                <w:szCs w:val="21"/>
                <w:lang w:eastAsia="zh-CN"/>
              </w:rPr>
              <w:t>。</w:t>
            </w:r>
          </w:p>
        </w:tc>
        <w:tc>
          <w:tcPr>
            <w:tcW w:w="2928"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1、完成各类自然保护地的保护管理工作，包括：</w:t>
            </w:r>
            <w:r>
              <w:rPr>
                <w:rFonts w:hint="eastAsia" w:ascii="宋体" w:hAnsi="宋体" w:eastAsia="方正仿宋_GBK" w:cs="方正仿宋_GBK"/>
                <w:color w:val="000000"/>
                <w:kern w:val="0"/>
                <w:sz w:val="24"/>
                <w:szCs w:val="24"/>
                <w:lang w:val="en-US" w:eastAsia="zh-CN"/>
              </w:rPr>
              <w:t>5</w:t>
            </w:r>
            <w:r>
              <w:rPr>
                <w:rFonts w:hint="eastAsia" w:ascii="宋体" w:hAnsi="宋体" w:eastAsia="方正仿宋_GBK" w:cs="方正仿宋_GBK"/>
                <w:color w:val="000000"/>
                <w:kern w:val="0"/>
                <w:sz w:val="24"/>
                <w:szCs w:val="24"/>
              </w:rPr>
              <w:t>个自然保护区、4个森林公园、2个风景名胜区；2、完成国土绿化相关任务，包括：“两岸青山</w:t>
            </w:r>
            <w:r>
              <w:rPr>
                <w:rFonts w:hint="eastAsia" w:ascii="汉仪大黑简" w:hAnsi="汉仪大黑简" w:eastAsia="汉仪大黑简" w:cs="汉仪大黑简"/>
                <w:color w:val="000000"/>
                <w:kern w:val="0"/>
                <w:sz w:val="24"/>
                <w:szCs w:val="24"/>
              </w:rPr>
              <w:t>·</w:t>
            </w:r>
            <w:r>
              <w:rPr>
                <w:rFonts w:hint="eastAsia" w:ascii="宋体" w:hAnsi="宋体" w:eastAsia="方正仿宋_GBK" w:cs="方正仿宋_GBK"/>
                <w:color w:val="000000"/>
                <w:kern w:val="0"/>
                <w:sz w:val="24"/>
                <w:szCs w:val="24"/>
              </w:rPr>
              <w:t>千里林带”生态建设、天然林保护修复、退耕还林成果巩固；逐步提高森林</w:t>
            </w:r>
            <w:r>
              <w:rPr>
                <w:rFonts w:hint="eastAsia" w:ascii="宋体" w:hAnsi="宋体" w:eastAsia="方正仿宋_GBK" w:cs="方正仿宋_GBK"/>
                <w:color w:val="000000"/>
                <w:kern w:val="0"/>
                <w:sz w:val="24"/>
                <w:szCs w:val="24"/>
                <w:lang w:eastAsia="zh-CN"/>
              </w:rPr>
              <w:t>覆盖</w:t>
            </w:r>
            <w:r>
              <w:rPr>
                <w:rFonts w:hint="eastAsia" w:ascii="宋体" w:hAnsi="宋体" w:eastAsia="方正仿宋_GBK" w:cs="方正仿宋_GBK"/>
                <w:color w:val="000000"/>
                <w:kern w:val="0"/>
                <w:sz w:val="24"/>
                <w:szCs w:val="24"/>
              </w:rPr>
              <w:t>率、森林质量，包括：人工林集约栽培、现有林改培、森林抚育等措施；3、深化林业改革，包括：推行林权制</w:t>
            </w:r>
            <w:bookmarkStart w:id="0" w:name="_GoBack"/>
            <w:bookmarkEnd w:id="0"/>
            <w:r>
              <w:rPr>
                <w:rFonts w:hint="eastAsia" w:ascii="宋体" w:hAnsi="宋体" w:eastAsia="方正仿宋_GBK" w:cs="方正仿宋_GBK"/>
                <w:color w:val="000000"/>
                <w:kern w:val="0"/>
                <w:sz w:val="24"/>
                <w:szCs w:val="24"/>
              </w:rPr>
              <w:t>度改革工作；4、加强和完善"三防"工作，包括：加强森林防火基础设施设备建设、完善和规范林业相关执法工作，继续加强松材线虫病的除治。5、进一步强化2个国有林场森林资源培育、保护和基础设施建设</w:t>
            </w:r>
            <w:r>
              <w:rPr>
                <w:rFonts w:hint="eastAsia" w:ascii="宋体" w:hAnsi="宋体" w:eastAsia="方正仿宋_GBK" w:cs="方正仿宋_GBK"/>
                <w:color w:val="000000"/>
                <w:kern w:val="0"/>
                <w:sz w:val="21"/>
                <w:szCs w:val="21"/>
                <w:lang w:eastAsia="zh-CN"/>
              </w:rPr>
              <w:t>。</w:t>
            </w:r>
          </w:p>
        </w:tc>
        <w:tc>
          <w:tcPr>
            <w:tcW w:w="34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1、完成各类自然保护地的保护管理工作，包括：</w:t>
            </w:r>
            <w:r>
              <w:rPr>
                <w:rFonts w:hint="eastAsia" w:ascii="宋体" w:hAnsi="宋体" w:eastAsia="方正仿宋_GBK" w:cs="方正仿宋_GBK"/>
                <w:color w:val="000000"/>
                <w:kern w:val="0"/>
                <w:sz w:val="24"/>
                <w:szCs w:val="24"/>
                <w:lang w:val="en-US" w:eastAsia="zh-CN"/>
              </w:rPr>
              <w:t>5</w:t>
            </w:r>
            <w:r>
              <w:rPr>
                <w:rFonts w:hint="eastAsia" w:ascii="宋体" w:hAnsi="宋体" w:eastAsia="方正仿宋_GBK" w:cs="方正仿宋_GBK"/>
                <w:color w:val="000000"/>
                <w:kern w:val="0"/>
                <w:sz w:val="24"/>
                <w:szCs w:val="24"/>
              </w:rPr>
              <w:t>个自然保护区、4个森林公园、2个风景名胜区；2、完成国土绿化相关任务，包括：“两岸青山</w:t>
            </w:r>
            <w:r>
              <w:rPr>
                <w:rFonts w:hint="eastAsia" w:ascii="汉仪大黑简" w:hAnsi="汉仪大黑简" w:eastAsia="汉仪大黑简" w:cs="汉仪大黑简"/>
                <w:color w:val="000000"/>
                <w:kern w:val="0"/>
                <w:sz w:val="24"/>
                <w:szCs w:val="24"/>
              </w:rPr>
              <w:t>·</w:t>
            </w:r>
            <w:r>
              <w:rPr>
                <w:rFonts w:hint="eastAsia" w:ascii="宋体" w:hAnsi="宋体" w:eastAsia="方正仿宋_GBK" w:cs="方正仿宋_GBK"/>
                <w:color w:val="000000"/>
                <w:kern w:val="0"/>
                <w:sz w:val="24"/>
                <w:szCs w:val="24"/>
              </w:rPr>
              <w:t>千里林带”生态建设、天然林保护修复、退耕还林成果巩固；逐步提高森林</w:t>
            </w:r>
            <w:r>
              <w:rPr>
                <w:rFonts w:hint="eastAsia" w:ascii="宋体" w:hAnsi="宋体" w:eastAsia="方正仿宋_GBK" w:cs="方正仿宋_GBK"/>
                <w:color w:val="000000"/>
                <w:kern w:val="0"/>
                <w:sz w:val="24"/>
                <w:szCs w:val="24"/>
                <w:lang w:eastAsia="zh-CN"/>
              </w:rPr>
              <w:t>覆盖</w:t>
            </w:r>
            <w:r>
              <w:rPr>
                <w:rFonts w:hint="eastAsia" w:ascii="宋体" w:hAnsi="宋体" w:eastAsia="方正仿宋_GBK" w:cs="方正仿宋_GBK"/>
                <w:color w:val="000000"/>
                <w:kern w:val="0"/>
                <w:sz w:val="24"/>
                <w:szCs w:val="24"/>
              </w:rPr>
              <w:t>率、森林质量，包括：人工林集约栽培、现有林改培、森林抚育等措施；3、深化林业改革，包括：推行林权制度改革工作；4、加强和完善"三防"工作，包括：加强森林防火基础设施设备建设、完善和规范林业相关执法工作，继续加强松材线虫病的除治。5、进一步强化2个国有林场森林资源培育、保护和基础设施建设</w:t>
            </w:r>
            <w:r>
              <w:rPr>
                <w:rFonts w:hint="eastAsia" w:ascii="宋体" w:hAnsi="宋体" w:eastAsia="方正仿宋_GBK" w:cs="方正仿宋_GBK"/>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森林</w:t>
            </w:r>
            <w:r>
              <w:rPr>
                <w:rFonts w:hint="eastAsia" w:ascii="宋体" w:hAnsi="宋体" w:eastAsia="方正仿宋_GBK" w:cs="方正仿宋_GBK"/>
                <w:color w:val="000000"/>
                <w:kern w:val="0"/>
                <w:sz w:val="24"/>
                <w:szCs w:val="24"/>
                <w:lang w:eastAsia="zh-CN"/>
              </w:rPr>
              <w:t>覆盖</w:t>
            </w:r>
            <w:r>
              <w:rPr>
                <w:rFonts w:hint="eastAsia" w:ascii="宋体" w:hAnsi="宋体" w:eastAsia="方正仿宋_GBK" w:cs="方正仿宋_GBK"/>
                <w:color w:val="000000"/>
                <w:kern w:val="0"/>
                <w:sz w:val="24"/>
                <w:szCs w:val="24"/>
              </w:rPr>
              <w:t>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53</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53.29</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天保工程区森林资源管护面积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万亩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76.65</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76.65</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森林火灾受害率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0.03</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新发生林业有害生物成灾率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造林完成面积及森林抚育质量合格率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85</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85</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造林、森林抚育当期任务完成率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80</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造林和森林抚育带动就业人数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400</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群众满意度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80</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国家级公益林管护中央财政补助标准</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元/亩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5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184"/>
        <w:gridCol w:w="846"/>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森林生态效益补偿补助</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eastAsia="zh-CN"/>
              </w:rPr>
              <w:t>陈玉麟</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8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023-47513639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829.52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829.52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保护全区公益林，保护森林资源。</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及时足额的完成了公益林直补及管护费支付工作，保障了直补对象的权益，切实保护了森林资源。</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及时足额的完成了公益林直补及管护费支付工作，保障了直补对象的权益，切实保护了森林资源。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权重（分）</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地方公益林面积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万亩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44</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全区公益林管护面积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万亩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50.96</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50.96</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公益林补偿标准</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元/亩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16</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16</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公益林直补覆盖率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直补对象满意度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公益林管护费标准</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元/亩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3</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lang w:val="en-US" w:eastAsia="zh-CN"/>
        </w:rPr>
        <w:t>2.</w:t>
      </w:r>
      <w:r>
        <w:rPr>
          <w:rFonts w:hint="eastAsia" w:ascii="宋体" w:hAnsi="宋体" w:eastAsia="方正仿宋_GBK" w:cs="方正仿宋_GBK"/>
          <w:b/>
          <w:bCs w:val="0"/>
          <w:kern w:val="0"/>
          <w:sz w:val="32"/>
          <w:szCs w:val="32"/>
        </w:rPr>
        <w:t>绩效自评报告或案例</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本部门无此事项。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lang w:val="en-US" w:eastAsia="zh-CN"/>
        </w:rPr>
        <w:t>3.</w:t>
      </w: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本部门202</w:t>
      </w:r>
      <w:r>
        <w:rPr>
          <w:rFonts w:hint="eastAsia"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本部门无此事项。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六、</w:t>
      </w: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联系人：唐小波</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585A"/>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22CB9"/>
    <w:rsid w:val="020F6D27"/>
    <w:rsid w:val="02217C74"/>
    <w:rsid w:val="026359B2"/>
    <w:rsid w:val="026B7642"/>
    <w:rsid w:val="02AC542A"/>
    <w:rsid w:val="038E49EB"/>
    <w:rsid w:val="03A45696"/>
    <w:rsid w:val="03B74B35"/>
    <w:rsid w:val="03D862B6"/>
    <w:rsid w:val="03FB4D0B"/>
    <w:rsid w:val="045B484E"/>
    <w:rsid w:val="047841EE"/>
    <w:rsid w:val="048E4827"/>
    <w:rsid w:val="04A56073"/>
    <w:rsid w:val="04AD2B7D"/>
    <w:rsid w:val="04E841EF"/>
    <w:rsid w:val="05081AD1"/>
    <w:rsid w:val="052E6699"/>
    <w:rsid w:val="055870A5"/>
    <w:rsid w:val="057728DC"/>
    <w:rsid w:val="05912D04"/>
    <w:rsid w:val="05C1448E"/>
    <w:rsid w:val="05C1761D"/>
    <w:rsid w:val="05C8220B"/>
    <w:rsid w:val="05D90398"/>
    <w:rsid w:val="05E52FAD"/>
    <w:rsid w:val="060A24AD"/>
    <w:rsid w:val="062A71C8"/>
    <w:rsid w:val="06A40FE9"/>
    <w:rsid w:val="07343BB1"/>
    <w:rsid w:val="07640956"/>
    <w:rsid w:val="07A34544"/>
    <w:rsid w:val="08190B33"/>
    <w:rsid w:val="08C10882"/>
    <w:rsid w:val="08C7668D"/>
    <w:rsid w:val="08CC205B"/>
    <w:rsid w:val="08DB1609"/>
    <w:rsid w:val="09327D67"/>
    <w:rsid w:val="097859D4"/>
    <w:rsid w:val="09823D8A"/>
    <w:rsid w:val="09A60D7B"/>
    <w:rsid w:val="09C9617E"/>
    <w:rsid w:val="09E15480"/>
    <w:rsid w:val="0A280DE4"/>
    <w:rsid w:val="0A2D21B2"/>
    <w:rsid w:val="0A3B34BC"/>
    <w:rsid w:val="0A751EDD"/>
    <w:rsid w:val="0AB177F2"/>
    <w:rsid w:val="0AB319EF"/>
    <w:rsid w:val="0AEC3562"/>
    <w:rsid w:val="0AFD4908"/>
    <w:rsid w:val="0B3F2718"/>
    <w:rsid w:val="0B447CC4"/>
    <w:rsid w:val="0B5C19F8"/>
    <w:rsid w:val="0B6B4922"/>
    <w:rsid w:val="0B840250"/>
    <w:rsid w:val="0BBB1C03"/>
    <w:rsid w:val="0BBD1CFB"/>
    <w:rsid w:val="0BBF2911"/>
    <w:rsid w:val="0BC63C92"/>
    <w:rsid w:val="0BCF17F7"/>
    <w:rsid w:val="0C1A7343"/>
    <w:rsid w:val="0C3C56A3"/>
    <w:rsid w:val="0C3E1C6B"/>
    <w:rsid w:val="0C8D0553"/>
    <w:rsid w:val="0C994F52"/>
    <w:rsid w:val="0CB6160D"/>
    <w:rsid w:val="0D4A231C"/>
    <w:rsid w:val="0DAF76AF"/>
    <w:rsid w:val="0DBA0DC1"/>
    <w:rsid w:val="0DCE605A"/>
    <w:rsid w:val="0E0463AB"/>
    <w:rsid w:val="0E490FB9"/>
    <w:rsid w:val="0E5158C5"/>
    <w:rsid w:val="0EA66A76"/>
    <w:rsid w:val="0EAD6E68"/>
    <w:rsid w:val="0EB15612"/>
    <w:rsid w:val="0ECB4A82"/>
    <w:rsid w:val="0ECF621B"/>
    <w:rsid w:val="0EFB5876"/>
    <w:rsid w:val="0F107EE3"/>
    <w:rsid w:val="0F3B4594"/>
    <w:rsid w:val="0F4603E9"/>
    <w:rsid w:val="0F5D6174"/>
    <w:rsid w:val="0F8109EA"/>
    <w:rsid w:val="0F931176"/>
    <w:rsid w:val="0FA31387"/>
    <w:rsid w:val="0FC0132B"/>
    <w:rsid w:val="0FCF39BD"/>
    <w:rsid w:val="100A1A0C"/>
    <w:rsid w:val="1016071E"/>
    <w:rsid w:val="10325A41"/>
    <w:rsid w:val="10656E2F"/>
    <w:rsid w:val="1084224C"/>
    <w:rsid w:val="10897AD7"/>
    <w:rsid w:val="10DB232E"/>
    <w:rsid w:val="1113718A"/>
    <w:rsid w:val="114859F3"/>
    <w:rsid w:val="122F3000"/>
    <w:rsid w:val="12554B29"/>
    <w:rsid w:val="12AD3E7D"/>
    <w:rsid w:val="12C42FA0"/>
    <w:rsid w:val="12D35C61"/>
    <w:rsid w:val="12E0359D"/>
    <w:rsid w:val="12EA2F1A"/>
    <w:rsid w:val="130558D9"/>
    <w:rsid w:val="13424E21"/>
    <w:rsid w:val="137F545A"/>
    <w:rsid w:val="13801D6F"/>
    <w:rsid w:val="13841A7B"/>
    <w:rsid w:val="138B759A"/>
    <w:rsid w:val="13B44F47"/>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7D1A27"/>
    <w:rsid w:val="17932EDC"/>
    <w:rsid w:val="17A36DDB"/>
    <w:rsid w:val="17A532AB"/>
    <w:rsid w:val="180B07AE"/>
    <w:rsid w:val="181A2360"/>
    <w:rsid w:val="181F4708"/>
    <w:rsid w:val="18221462"/>
    <w:rsid w:val="184F1121"/>
    <w:rsid w:val="185B2A86"/>
    <w:rsid w:val="18C66253"/>
    <w:rsid w:val="18CD5743"/>
    <w:rsid w:val="19087D3A"/>
    <w:rsid w:val="194A3125"/>
    <w:rsid w:val="197B50D2"/>
    <w:rsid w:val="19926875"/>
    <w:rsid w:val="1A297DDD"/>
    <w:rsid w:val="1A7919B9"/>
    <w:rsid w:val="1B1350D9"/>
    <w:rsid w:val="1B9A7C0E"/>
    <w:rsid w:val="1B9B203B"/>
    <w:rsid w:val="1BE859F3"/>
    <w:rsid w:val="1BFD1CC9"/>
    <w:rsid w:val="1C10736F"/>
    <w:rsid w:val="1C96385A"/>
    <w:rsid w:val="1CE92F5C"/>
    <w:rsid w:val="1D437979"/>
    <w:rsid w:val="1D4708B1"/>
    <w:rsid w:val="1D656164"/>
    <w:rsid w:val="1E8900BD"/>
    <w:rsid w:val="1ECB269E"/>
    <w:rsid w:val="1EE66C3C"/>
    <w:rsid w:val="1EF96BEA"/>
    <w:rsid w:val="1F116510"/>
    <w:rsid w:val="1F1C3B7B"/>
    <w:rsid w:val="1FF97841"/>
    <w:rsid w:val="200551AB"/>
    <w:rsid w:val="203E4C8B"/>
    <w:rsid w:val="205932DE"/>
    <w:rsid w:val="20A03801"/>
    <w:rsid w:val="20BC5FF2"/>
    <w:rsid w:val="219D4F8D"/>
    <w:rsid w:val="222807B1"/>
    <w:rsid w:val="22435D4E"/>
    <w:rsid w:val="2245419D"/>
    <w:rsid w:val="22A50E81"/>
    <w:rsid w:val="22DC10A8"/>
    <w:rsid w:val="22FE317D"/>
    <w:rsid w:val="237704D4"/>
    <w:rsid w:val="23891077"/>
    <w:rsid w:val="23A1558C"/>
    <w:rsid w:val="23BE50B1"/>
    <w:rsid w:val="2422161E"/>
    <w:rsid w:val="246E6851"/>
    <w:rsid w:val="24942E5E"/>
    <w:rsid w:val="24954F65"/>
    <w:rsid w:val="24C7511E"/>
    <w:rsid w:val="24CB1F31"/>
    <w:rsid w:val="2540774B"/>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A573FC"/>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DA1DC0"/>
    <w:rsid w:val="2BFF60E5"/>
    <w:rsid w:val="2C0042E3"/>
    <w:rsid w:val="2C0D59AC"/>
    <w:rsid w:val="2C2D5D74"/>
    <w:rsid w:val="2C334F61"/>
    <w:rsid w:val="2C3D20DB"/>
    <w:rsid w:val="2C452995"/>
    <w:rsid w:val="2C71221F"/>
    <w:rsid w:val="2C715093"/>
    <w:rsid w:val="2CF75D34"/>
    <w:rsid w:val="2D822B4A"/>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224999"/>
    <w:rsid w:val="30450B4E"/>
    <w:rsid w:val="30465275"/>
    <w:rsid w:val="30F02DF3"/>
    <w:rsid w:val="31061102"/>
    <w:rsid w:val="31A04CAD"/>
    <w:rsid w:val="31A70211"/>
    <w:rsid w:val="31B15053"/>
    <w:rsid w:val="31D502F6"/>
    <w:rsid w:val="31FC154E"/>
    <w:rsid w:val="320A79AF"/>
    <w:rsid w:val="322532D3"/>
    <w:rsid w:val="3256082B"/>
    <w:rsid w:val="327D7E69"/>
    <w:rsid w:val="32826152"/>
    <w:rsid w:val="32BE1754"/>
    <w:rsid w:val="32EC51EE"/>
    <w:rsid w:val="33116010"/>
    <w:rsid w:val="331546C4"/>
    <w:rsid w:val="332634CA"/>
    <w:rsid w:val="33656AA9"/>
    <w:rsid w:val="33782EB9"/>
    <w:rsid w:val="33A16094"/>
    <w:rsid w:val="33E6234B"/>
    <w:rsid w:val="33F80618"/>
    <w:rsid w:val="340E49EF"/>
    <w:rsid w:val="34394392"/>
    <w:rsid w:val="3465554A"/>
    <w:rsid w:val="34983DE3"/>
    <w:rsid w:val="34A64D07"/>
    <w:rsid w:val="34B10AAC"/>
    <w:rsid w:val="34BF6C35"/>
    <w:rsid w:val="34F5635F"/>
    <w:rsid w:val="34FA25A2"/>
    <w:rsid w:val="354811BC"/>
    <w:rsid w:val="35521A2B"/>
    <w:rsid w:val="355E472E"/>
    <w:rsid w:val="359E40E8"/>
    <w:rsid w:val="35C22B6B"/>
    <w:rsid w:val="35EA737B"/>
    <w:rsid w:val="36041AA0"/>
    <w:rsid w:val="36706ADF"/>
    <w:rsid w:val="36833C5C"/>
    <w:rsid w:val="36A129F2"/>
    <w:rsid w:val="36B3095D"/>
    <w:rsid w:val="36D22597"/>
    <w:rsid w:val="371719A6"/>
    <w:rsid w:val="371E35B2"/>
    <w:rsid w:val="37564D03"/>
    <w:rsid w:val="37751EC2"/>
    <w:rsid w:val="378A1FE6"/>
    <w:rsid w:val="37C77C1E"/>
    <w:rsid w:val="388010B8"/>
    <w:rsid w:val="38FA6DBA"/>
    <w:rsid w:val="390E5CB1"/>
    <w:rsid w:val="39474657"/>
    <w:rsid w:val="394E2214"/>
    <w:rsid w:val="399A1E48"/>
    <w:rsid w:val="39A10C32"/>
    <w:rsid w:val="39CC7911"/>
    <w:rsid w:val="39E44839"/>
    <w:rsid w:val="3A3A1ED8"/>
    <w:rsid w:val="3A446825"/>
    <w:rsid w:val="3A457B72"/>
    <w:rsid w:val="3A4A2286"/>
    <w:rsid w:val="3A7E6175"/>
    <w:rsid w:val="3AA6726B"/>
    <w:rsid w:val="3AAC4D75"/>
    <w:rsid w:val="3AAF1A59"/>
    <w:rsid w:val="3AE82075"/>
    <w:rsid w:val="3B017FBE"/>
    <w:rsid w:val="3B307A72"/>
    <w:rsid w:val="3B4866A2"/>
    <w:rsid w:val="3B9335A4"/>
    <w:rsid w:val="3B992613"/>
    <w:rsid w:val="3BB24F73"/>
    <w:rsid w:val="3BB41505"/>
    <w:rsid w:val="3BCD490E"/>
    <w:rsid w:val="3BDB6726"/>
    <w:rsid w:val="3C056780"/>
    <w:rsid w:val="3C0B3B20"/>
    <w:rsid w:val="3C1860E9"/>
    <w:rsid w:val="3C265FAB"/>
    <w:rsid w:val="3C45620B"/>
    <w:rsid w:val="3D3363D2"/>
    <w:rsid w:val="3D437FD5"/>
    <w:rsid w:val="3D7312A1"/>
    <w:rsid w:val="3D743E88"/>
    <w:rsid w:val="3D8F2FFE"/>
    <w:rsid w:val="3D8F779B"/>
    <w:rsid w:val="3DB31849"/>
    <w:rsid w:val="3E15702B"/>
    <w:rsid w:val="3E247857"/>
    <w:rsid w:val="3E984240"/>
    <w:rsid w:val="3EAD34C3"/>
    <w:rsid w:val="3EBE7C37"/>
    <w:rsid w:val="3F120426"/>
    <w:rsid w:val="3F1976B6"/>
    <w:rsid w:val="3F5E6431"/>
    <w:rsid w:val="3F80219B"/>
    <w:rsid w:val="3F8C0907"/>
    <w:rsid w:val="3F9B5E29"/>
    <w:rsid w:val="3FDF4460"/>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3A6041B"/>
    <w:rsid w:val="440B4462"/>
    <w:rsid w:val="444C66C3"/>
    <w:rsid w:val="44630F9F"/>
    <w:rsid w:val="446A3603"/>
    <w:rsid w:val="458B573C"/>
    <w:rsid w:val="45CE60A3"/>
    <w:rsid w:val="45D93A17"/>
    <w:rsid w:val="45ED36F3"/>
    <w:rsid w:val="461C57E1"/>
    <w:rsid w:val="464D2106"/>
    <w:rsid w:val="46572A53"/>
    <w:rsid w:val="465B2718"/>
    <w:rsid w:val="46651F6D"/>
    <w:rsid w:val="46BE763A"/>
    <w:rsid w:val="46C178CC"/>
    <w:rsid w:val="46F31024"/>
    <w:rsid w:val="46FD3AFE"/>
    <w:rsid w:val="471E0A34"/>
    <w:rsid w:val="4723739A"/>
    <w:rsid w:val="47250EF5"/>
    <w:rsid w:val="473501DC"/>
    <w:rsid w:val="47C21415"/>
    <w:rsid w:val="47C956AF"/>
    <w:rsid w:val="47DD3876"/>
    <w:rsid w:val="48206AB3"/>
    <w:rsid w:val="4849652E"/>
    <w:rsid w:val="487415C1"/>
    <w:rsid w:val="48813383"/>
    <w:rsid w:val="48994869"/>
    <w:rsid w:val="489B6E47"/>
    <w:rsid w:val="48B91344"/>
    <w:rsid w:val="48C3403D"/>
    <w:rsid w:val="4901682D"/>
    <w:rsid w:val="491F1E3E"/>
    <w:rsid w:val="497E4D40"/>
    <w:rsid w:val="498D6EB3"/>
    <w:rsid w:val="49A14844"/>
    <w:rsid w:val="49DF0A85"/>
    <w:rsid w:val="4A38329E"/>
    <w:rsid w:val="4A786E7C"/>
    <w:rsid w:val="4A812037"/>
    <w:rsid w:val="4ABF0429"/>
    <w:rsid w:val="4B05514E"/>
    <w:rsid w:val="4B3A2287"/>
    <w:rsid w:val="4B7D224D"/>
    <w:rsid w:val="4B88354F"/>
    <w:rsid w:val="4B897577"/>
    <w:rsid w:val="4BA739F3"/>
    <w:rsid w:val="4BAA41B4"/>
    <w:rsid w:val="4BCA5B3F"/>
    <w:rsid w:val="4BCB2F27"/>
    <w:rsid w:val="4BEF3793"/>
    <w:rsid w:val="4BF4339D"/>
    <w:rsid w:val="4C3B1A9E"/>
    <w:rsid w:val="4C7A5457"/>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A9750F"/>
    <w:rsid w:val="50C63B0F"/>
    <w:rsid w:val="50F36C04"/>
    <w:rsid w:val="51011AC0"/>
    <w:rsid w:val="51086CD3"/>
    <w:rsid w:val="511B035E"/>
    <w:rsid w:val="512B6610"/>
    <w:rsid w:val="51741DF5"/>
    <w:rsid w:val="517A3160"/>
    <w:rsid w:val="51D53FD0"/>
    <w:rsid w:val="51F60CCB"/>
    <w:rsid w:val="52255513"/>
    <w:rsid w:val="527F0375"/>
    <w:rsid w:val="528D4348"/>
    <w:rsid w:val="52BF3EA5"/>
    <w:rsid w:val="52C9652E"/>
    <w:rsid w:val="52E5462F"/>
    <w:rsid w:val="53030193"/>
    <w:rsid w:val="531427EC"/>
    <w:rsid w:val="531C785E"/>
    <w:rsid w:val="533770C8"/>
    <w:rsid w:val="5338243A"/>
    <w:rsid w:val="53BD0CC2"/>
    <w:rsid w:val="53E84DC7"/>
    <w:rsid w:val="54091EFA"/>
    <w:rsid w:val="543B42DA"/>
    <w:rsid w:val="54481E7C"/>
    <w:rsid w:val="547B1E94"/>
    <w:rsid w:val="54E64A90"/>
    <w:rsid w:val="54EF1C22"/>
    <w:rsid w:val="54F43EB0"/>
    <w:rsid w:val="55025399"/>
    <w:rsid w:val="55631682"/>
    <w:rsid w:val="55913DE9"/>
    <w:rsid w:val="55B36956"/>
    <w:rsid w:val="55BC0A87"/>
    <w:rsid w:val="55C44EE3"/>
    <w:rsid w:val="55CD6DBF"/>
    <w:rsid w:val="55D409AB"/>
    <w:rsid w:val="560E70A6"/>
    <w:rsid w:val="564C33E3"/>
    <w:rsid w:val="565A5E3A"/>
    <w:rsid w:val="568B7E9E"/>
    <w:rsid w:val="56AA311A"/>
    <w:rsid w:val="56B357D4"/>
    <w:rsid w:val="56D175EE"/>
    <w:rsid w:val="572C3A10"/>
    <w:rsid w:val="576B630C"/>
    <w:rsid w:val="57906076"/>
    <w:rsid w:val="57F77E8D"/>
    <w:rsid w:val="584101D8"/>
    <w:rsid w:val="584366A5"/>
    <w:rsid w:val="58464AEC"/>
    <w:rsid w:val="58476DFE"/>
    <w:rsid w:val="58D37D03"/>
    <w:rsid w:val="58F80B81"/>
    <w:rsid w:val="59171D29"/>
    <w:rsid w:val="594B64BC"/>
    <w:rsid w:val="59673CBF"/>
    <w:rsid w:val="59C1394B"/>
    <w:rsid w:val="59E4333B"/>
    <w:rsid w:val="5A327175"/>
    <w:rsid w:val="5A461F67"/>
    <w:rsid w:val="5A4D12DB"/>
    <w:rsid w:val="5A926C6C"/>
    <w:rsid w:val="5AA95942"/>
    <w:rsid w:val="5B5F7A02"/>
    <w:rsid w:val="5B7E76BF"/>
    <w:rsid w:val="5B9A1A90"/>
    <w:rsid w:val="5BDE2F9A"/>
    <w:rsid w:val="5BEA616D"/>
    <w:rsid w:val="5BF27874"/>
    <w:rsid w:val="5C620610"/>
    <w:rsid w:val="5C7C27CC"/>
    <w:rsid w:val="5C8E6646"/>
    <w:rsid w:val="5CA1473C"/>
    <w:rsid w:val="5CBE07C0"/>
    <w:rsid w:val="5CE24B7D"/>
    <w:rsid w:val="5D743AF2"/>
    <w:rsid w:val="5D784DB7"/>
    <w:rsid w:val="5D804113"/>
    <w:rsid w:val="5D86298B"/>
    <w:rsid w:val="5DF574B1"/>
    <w:rsid w:val="5E01598A"/>
    <w:rsid w:val="5E0518AE"/>
    <w:rsid w:val="5E7319C7"/>
    <w:rsid w:val="5F3F14B1"/>
    <w:rsid w:val="5F4A1944"/>
    <w:rsid w:val="5F736A1C"/>
    <w:rsid w:val="5F7C1524"/>
    <w:rsid w:val="607A676E"/>
    <w:rsid w:val="61431576"/>
    <w:rsid w:val="61B07674"/>
    <w:rsid w:val="61D16983"/>
    <w:rsid w:val="63890717"/>
    <w:rsid w:val="63B16DA6"/>
    <w:rsid w:val="64325BAA"/>
    <w:rsid w:val="644E0E4E"/>
    <w:rsid w:val="6474563E"/>
    <w:rsid w:val="64DD2E2F"/>
    <w:rsid w:val="650C79CC"/>
    <w:rsid w:val="651F0B40"/>
    <w:rsid w:val="65277C81"/>
    <w:rsid w:val="65347BCA"/>
    <w:rsid w:val="654A3BA1"/>
    <w:rsid w:val="656D372F"/>
    <w:rsid w:val="65720792"/>
    <w:rsid w:val="65727ED4"/>
    <w:rsid w:val="658D11B9"/>
    <w:rsid w:val="65A15618"/>
    <w:rsid w:val="66002482"/>
    <w:rsid w:val="660467A7"/>
    <w:rsid w:val="66471D7C"/>
    <w:rsid w:val="667D6EFB"/>
    <w:rsid w:val="66CB081D"/>
    <w:rsid w:val="66FD7813"/>
    <w:rsid w:val="6754341A"/>
    <w:rsid w:val="67825ED9"/>
    <w:rsid w:val="67A0385B"/>
    <w:rsid w:val="67B37940"/>
    <w:rsid w:val="686C2A53"/>
    <w:rsid w:val="689C4BB9"/>
    <w:rsid w:val="68A06716"/>
    <w:rsid w:val="68A245E2"/>
    <w:rsid w:val="68B0544A"/>
    <w:rsid w:val="690F3CAF"/>
    <w:rsid w:val="69CE2334"/>
    <w:rsid w:val="6A0C28CE"/>
    <w:rsid w:val="6A650A4D"/>
    <w:rsid w:val="6B7060C6"/>
    <w:rsid w:val="6C095BD8"/>
    <w:rsid w:val="6C0C145C"/>
    <w:rsid w:val="6C60029B"/>
    <w:rsid w:val="6C927168"/>
    <w:rsid w:val="6D8C5247"/>
    <w:rsid w:val="6E904287"/>
    <w:rsid w:val="6EA83056"/>
    <w:rsid w:val="6EB55F1D"/>
    <w:rsid w:val="6EBE51FD"/>
    <w:rsid w:val="6ED14D6B"/>
    <w:rsid w:val="6EF364B6"/>
    <w:rsid w:val="6F2540A9"/>
    <w:rsid w:val="700B56BF"/>
    <w:rsid w:val="700F5C73"/>
    <w:rsid w:val="70817FC6"/>
    <w:rsid w:val="70AF0E0B"/>
    <w:rsid w:val="70C87CAA"/>
    <w:rsid w:val="70CF179B"/>
    <w:rsid w:val="716061F8"/>
    <w:rsid w:val="71723BF8"/>
    <w:rsid w:val="71B459C5"/>
    <w:rsid w:val="71CB4143"/>
    <w:rsid w:val="721C092E"/>
    <w:rsid w:val="723D7934"/>
    <w:rsid w:val="727266B8"/>
    <w:rsid w:val="72804A5F"/>
    <w:rsid w:val="72C81D24"/>
    <w:rsid w:val="73510736"/>
    <w:rsid w:val="73772C48"/>
    <w:rsid w:val="73B156FE"/>
    <w:rsid w:val="73B34B68"/>
    <w:rsid w:val="73C87749"/>
    <w:rsid w:val="742D20BE"/>
    <w:rsid w:val="74300B51"/>
    <w:rsid w:val="74373E1F"/>
    <w:rsid w:val="74557B08"/>
    <w:rsid w:val="745909D3"/>
    <w:rsid w:val="74757604"/>
    <w:rsid w:val="756026FD"/>
    <w:rsid w:val="757027FD"/>
    <w:rsid w:val="7610676D"/>
    <w:rsid w:val="764C7835"/>
    <w:rsid w:val="76606237"/>
    <w:rsid w:val="76BC0040"/>
    <w:rsid w:val="76E97240"/>
    <w:rsid w:val="76FE264B"/>
    <w:rsid w:val="77547F95"/>
    <w:rsid w:val="77581BDC"/>
    <w:rsid w:val="77DF77F2"/>
    <w:rsid w:val="77F53FBA"/>
    <w:rsid w:val="77FE3901"/>
    <w:rsid w:val="78A056D5"/>
    <w:rsid w:val="78B612F9"/>
    <w:rsid w:val="78B86F01"/>
    <w:rsid w:val="78BD180A"/>
    <w:rsid w:val="78BD2213"/>
    <w:rsid w:val="78CA62AD"/>
    <w:rsid w:val="79383F91"/>
    <w:rsid w:val="796C56F2"/>
    <w:rsid w:val="79CE324C"/>
    <w:rsid w:val="79DA4CD9"/>
    <w:rsid w:val="79DC3C10"/>
    <w:rsid w:val="79F32D29"/>
    <w:rsid w:val="7A3031E0"/>
    <w:rsid w:val="7A5F3AF6"/>
    <w:rsid w:val="7A640644"/>
    <w:rsid w:val="7A66765A"/>
    <w:rsid w:val="7A9F7AF9"/>
    <w:rsid w:val="7AB07AB2"/>
    <w:rsid w:val="7B7C3CE3"/>
    <w:rsid w:val="7B84301F"/>
    <w:rsid w:val="7B937DA9"/>
    <w:rsid w:val="7BB813CF"/>
    <w:rsid w:val="7BD9578A"/>
    <w:rsid w:val="7BFB159A"/>
    <w:rsid w:val="7C240326"/>
    <w:rsid w:val="7C5365EF"/>
    <w:rsid w:val="7C5F4A2B"/>
    <w:rsid w:val="7C6E6F9B"/>
    <w:rsid w:val="7C724B1A"/>
    <w:rsid w:val="7DDB79A8"/>
    <w:rsid w:val="7DE6477E"/>
    <w:rsid w:val="7E17286F"/>
    <w:rsid w:val="7E265B35"/>
    <w:rsid w:val="7E395726"/>
    <w:rsid w:val="7E50644D"/>
    <w:rsid w:val="7E54076D"/>
    <w:rsid w:val="7E836D97"/>
    <w:rsid w:val="7E8E73EF"/>
    <w:rsid w:val="7EF23A73"/>
    <w:rsid w:val="7F453C69"/>
    <w:rsid w:val="7F523D4E"/>
    <w:rsid w:val="7F7D4793"/>
    <w:rsid w:val="F3FD6B2F"/>
    <w:rsid w:val="FAF6EB06"/>
    <w:rsid w:val="FFFB58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3</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2021-07-07T06:32:00Z</dcterms:created>
  <dc:creator>微软用户</dc:creator>
  <cp:lastModifiedBy>uos</cp:lastModifiedBy>
  <cp:lastPrinted>2023-08-11T01:16:00Z</cp:lastPrinted>
  <dcterms:modified xsi:type="dcterms:W3CDTF">2025-08-27T08:53:47Z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