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napToGrid/>
        <w:spacing w:line="579"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重庆市江津区林业局（本级）</w:t>
      </w:r>
    </w:p>
    <w:p>
      <w:pPr>
        <w:keepNext w:val="0"/>
        <w:keepLines w:val="0"/>
        <w:pageBreakBefore w:val="0"/>
        <w:kinsoku/>
        <w:wordWrap/>
        <w:overflowPunct/>
        <w:topLinePunct w:val="0"/>
        <w:autoSpaceDN/>
        <w:bidi w:val="0"/>
        <w:snapToGrid/>
        <w:spacing w:line="579"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w:t>
      </w:r>
      <w:r>
        <w:rPr>
          <w:rFonts w:hint="eastAsia" w:ascii="Times New Roman" w:hAnsi="Times New Roman" w:eastAsia="方正小标宋_GBK" w:cs="方正小标宋_GBK"/>
          <w:sz w:val="44"/>
          <w:szCs w:val="44"/>
          <w:lang w:val="en-US" w:eastAsia="zh-CN"/>
        </w:rPr>
        <w:t>4年度决算公开</w:t>
      </w:r>
      <w:r>
        <w:rPr>
          <w:rFonts w:hint="eastAsia" w:ascii="Times New Roman" w:hAnsi="Times New Roman" w:eastAsia="方正小标宋_GBK" w:cs="方正小标宋_GBK"/>
          <w:sz w:val="44"/>
          <w:szCs w:val="44"/>
        </w:rPr>
        <w:t>说明</w:t>
      </w:r>
    </w:p>
    <w:p>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Times New Roman" w:hAnsi="Times New Roman" w:eastAsia="方正仿宋_GBK" w:cs="方正仿宋_GBK"/>
          <w:sz w:val="44"/>
          <w:szCs w:val="44"/>
        </w:rPr>
      </w:pP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Times New Roman" w:hAnsi="Times New Roman" w:eastAsia="方正楷体_GBK" w:cs="方正楷体_GBK"/>
          <w:kern w:val="0"/>
          <w:sz w:val="32"/>
          <w:szCs w:val="32"/>
          <w:lang w:val="en-US" w:eastAsia="zh-CN"/>
        </w:rPr>
      </w:pPr>
      <w:r>
        <w:rPr>
          <w:rFonts w:hint="eastAsia" w:ascii="Times New Roman" w:hAnsi="Times New Roman" w:eastAsia="方正楷体_GBK" w:cs="方正楷体_GBK"/>
          <w:kern w:val="0"/>
          <w:sz w:val="32"/>
          <w:szCs w:val="32"/>
          <w:lang w:eastAsia="zh-CN"/>
        </w:rPr>
        <w:t>（</w:t>
      </w:r>
      <w:r>
        <w:rPr>
          <w:rFonts w:hint="eastAsia" w:ascii="Times New Roman" w:hAnsi="Times New Roman" w:eastAsia="方正楷体_GBK" w:cs="方正楷体_GBK"/>
          <w:kern w:val="0"/>
          <w:sz w:val="32"/>
          <w:szCs w:val="32"/>
          <w:lang w:val="en-US" w:eastAsia="zh-CN"/>
        </w:rPr>
        <w:t>一</w:t>
      </w:r>
      <w:r>
        <w:rPr>
          <w:rFonts w:hint="eastAsia" w:ascii="Times New Roman" w:hAnsi="Times New Roman" w:eastAsia="方正楷体_GBK" w:cs="方正楷体_GBK"/>
          <w:kern w:val="0"/>
          <w:sz w:val="32"/>
          <w:szCs w:val="32"/>
          <w:lang w:eastAsia="zh-CN"/>
        </w:rPr>
        <w:t>）</w:t>
      </w:r>
      <w:r>
        <w:rPr>
          <w:rFonts w:hint="eastAsia" w:ascii="Times New Roman" w:hAnsi="Times New Roman" w:eastAsia="方正楷体_GBK" w:cs="方正楷体_GBK"/>
          <w:kern w:val="0"/>
          <w:sz w:val="32"/>
          <w:szCs w:val="32"/>
          <w:lang w:val="en-US" w:eastAsia="zh-CN"/>
        </w:rPr>
        <w:t>职能职责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Times New Roman" w:hAnsi="Times New Roman" w:eastAsia="方正仿宋_GBK"/>
          <w:color w:val="000000"/>
          <w:sz w:val="32"/>
          <w:lang w:eastAsia="zh-CN"/>
        </w:rPr>
      </w:pPr>
      <w:r>
        <w:rPr>
          <w:rFonts w:hint="eastAsia" w:ascii="Times New Roman" w:hAnsi="Times New Roman" w:eastAsia="方正仿宋_GBK"/>
          <w:color w:val="000000"/>
          <w:sz w:val="32"/>
          <w:lang w:val="en-US" w:eastAsia="zh-CN"/>
        </w:rPr>
        <w:t>1.</w:t>
      </w:r>
      <w:r>
        <w:rPr>
          <w:rFonts w:hint="eastAsia" w:ascii="Times New Roman" w:hAnsi="Times New Roman" w:eastAsia="方正仿宋_GBK"/>
          <w:color w:val="000000"/>
          <w:sz w:val="32"/>
          <w:lang w:eastAsia="zh-CN"/>
        </w:rPr>
        <w:t>组织编制林业、草原和湿地生态保护修复规划和年度计划并组织实施。组织开展石漠化调查，拟订石漠化防治、石漠化土地封禁保护区建设规划并组织实施。综合管理生态保护修复工程，组织指导公益林和商品林的培育，组织指导植树造林、封山育林、退耕还林还草等林业生态建设工作；承担林业、草原应对气候变化的有关工作；承担古树名木保护相关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ascii="Times New Roman" w:hAnsi="Times New Roman" w:eastAsia="方正仿宋_GBK"/>
          <w:snapToGrid/>
          <w:color w:val="000000"/>
          <w:sz w:val="32"/>
          <w:szCs w:val="32"/>
          <w:vertAlign w:val="baseline"/>
        </w:rPr>
      </w:pPr>
      <w:r>
        <w:rPr>
          <w:rFonts w:hint="eastAsia" w:ascii="Times New Roman" w:hAnsi="Times New Roman" w:eastAsia="方正仿宋_GBK"/>
          <w:color w:val="000000"/>
          <w:sz w:val="32"/>
          <w:lang w:val="en-US" w:eastAsia="zh-CN"/>
        </w:rPr>
        <w:t>2.</w:t>
      </w:r>
      <w:r>
        <w:rPr>
          <w:rFonts w:hint="eastAsia" w:ascii="Times New Roman" w:hAnsi="Times New Roman" w:eastAsia="方正仿宋_GBK"/>
          <w:snapToGrid/>
          <w:color w:val="000000"/>
          <w:sz w:val="32"/>
          <w:szCs w:val="32"/>
          <w:vertAlign w:val="baseline"/>
        </w:rPr>
        <w:t>负责落实综合防灾减灾规划相关要求，组织编制森林和草原火灾防治规划并</w:t>
      </w:r>
      <w:r>
        <w:rPr>
          <w:rFonts w:hint="eastAsia" w:ascii="Times New Roman" w:hAnsi="Times New Roman" w:eastAsia="方正仿宋_GBK"/>
          <w:snapToGrid/>
          <w:color w:val="000000"/>
          <w:sz w:val="32"/>
          <w:szCs w:val="32"/>
          <w:vertAlign w:val="baseline"/>
          <w:lang w:eastAsia="zh-CN"/>
        </w:rPr>
        <w:t>监督</w:t>
      </w:r>
      <w:r>
        <w:rPr>
          <w:rFonts w:hint="eastAsia" w:ascii="Times New Roman" w:hAnsi="Times New Roman" w:eastAsia="方正仿宋_GBK"/>
          <w:snapToGrid/>
          <w:color w:val="000000"/>
          <w:sz w:val="32"/>
          <w:szCs w:val="32"/>
          <w:vertAlign w:val="baseline"/>
        </w:rPr>
        <w:t>实施；指导开展防火巡护、火源管理、防火设施建设等工作；组织开展宣传教育、监测预警、督促检查等森林火灾预防工作；协调、配合区应急管理局做好森林火灾</w:t>
      </w:r>
      <w:r>
        <w:rPr>
          <w:rFonts w:hint="eastAsia" w:ascii="Times New Roman" w:hAnsi="Times New Roman" w:eastAsia="方正仿宋_GBK"/>
          <w:snapToGrid/>
          <w:color w:val="000000"/>
          <w:sz w:val="32"/>
          <w:szCs w:val="32"/>
          <w:vertAlign w:val="baseline"/>
          <w:lang w:eastAsia="zh-CN"/>
        </w:rPr>
        <w:t>应急救援</w:t>
      </w:r>
      <w:r>
        <w:rPr>
          <w:rFonts w:hint="eastAsia" w:ascii="Times New Roman" w:hAnsi="Times New Roman" w:eastAsia="方正仿宋_GBK"/>
          <w:snapToGrid/>
          <w:color w:val="000000"/>
          <w:sz w:val="32"/>
          <w:szCs w:val="32"/>
          <w:vertAlign w:val="baseline"/>
        </w:rPr>
        <w:t>相关工作</w:t>
      </w:r>
      <w:r>
        <w:rPr>
          <w:rFonts w:ascii="Times New Roman" w:hAnsi="Times New Roman" w:eastAsia="方正仿宋_GBK"/>
          <w:snapToGrid/>
          <w:color w:val="000000"/>
          <w:sz w:val="32"/>
          <w:szCs w:val="32"/>
          <w:vertAlign w:val="baseline"/>
        </w:rPr>
        <w:t>；</w:t>
      </w:r>
      <w:r>
        <w:rPr>
          <w:rFonts w:hint="eastAsia" w:ascii="Times New Roman" w:hAnsi="Times New Roman" w:eastAsia="方正仿宋_GBK"/>
          <w:snapToGrid/>
          <w:color w:val="000000"/>
          <w:sz w:val="32"/>
          <w:szCs w:val="32"/>
          <w:vertAlign w:val="baseline"/>
        </w:rPr>
        <w:t>拟订本部门安全工作计划，落实安全规章制度和安全生产责任制，统筹协调应急、安全生产监督管理工作；承担</w:t>
      </w:r>
      <w:r>
        <w:rPr>
          <w:rFonts w:hint="eastAsia" w:ascii="Times New Roman" w:hAnsi="Times New Roman" w:eastAsia="方正仿宋_GBK"/>
          <w:snapToGrid/>
          <w:color w:val="000000"/>
          <w:sz w:val="32"/>
          <w:szCs w:val="32"/>
          <w:vertAlign w:val="baseline"/>
          <w:lang w:eastAsia="zh-CN"/>
        </w:rPr>
        <w:t>行业安全生产监督管理和</w:t>
      </w:r>
      <w:r>
        <w:rPr>
          <w:rFonts w:hint="eastAsia" w:ascii="Times New Roman" w:hAnsi="Times New Roman" w:eastAsia="方正仿宋_GBK"/>
          <w:snapToGrid/>
          <w:color w:val="000000"/>
          <w:sz w:val="32"/>
          <w:szCs w:val="32"/>
          <w:vertAlign w:val="baseline"/>
        </w:rPr>
        <w:t>行政执法</w:t>
      </w:r>
      <w:r>
        <w:rPr>
          <w:rFonts w:hint="eastAsia" w:ascii="Times New Roman" w:hAnsi="Times New Roman" w:eastAsia="方正仿宋_GBK"/>
          <w:snapToGrid/>
          <w:color w:val="000000"/>
          <w:sz w:val="32"/>
          <w:szCs w:val="32"/>
          <w:vertAlign w:val="baseline"/>
          <w:lang w:eastAsia="zh-CN"/>
        </w:rPr>
        <w:t>等有关</w:t>
      </w:r>
      <w:r>
        <w:rPr>
          <w:rFonts w:hint="eastAsia" w:ascii="Times New Roman" w:hAnsi="Times New Roman" w:eastAsia="方正仿宋_GBK"/>
          <w:snapToGrid/>
          <w:color w:val="000000"/>
          <w:sz w:val="32"/>
          <w:szCs w:val="32"/>
          <w:vertAlign w:val="baseline"/>
        </w:rPr>
        <w:t>工作</w:t>
      </w:r>
      <w:r>
        <w:rPr>
          <w:rFonts w:ascii="Times New Roman" w:hAnsi="Times New Roman" w:eastAsia="方正仿宋_GBK"/>
          <w:snapToGrid/>
          <w:color w:val="000000"/>
          <w:sz w:val="32"/>
          <w:szCs w:val="32"/>
          <w:vertAlign w:val="baseline"/>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Times New Roman" w:hAnsi="Times New Roman" w:eastAsia="方正仿宋_GBK"/>
          <w:snapToGrid/>
          <w:color w:val="000000"/>
          <w:sz w:val="32"/>
          <w:szCs w:val="32"/>
          <w:vertAlign w:val="baseline"/>
          <w:lang w:val="en-US" w:eastAsia="zh-CN"/>
        </w:rPr>
      </w:pPr>
      <w:r>
        <w:rPr>
          <w:rFonts w:hint="eastAsia" w:ascii="Times New Roman" w:hAnsi="Times New Roman" w:eastAsia="方正仿宋_GBK"/>
          <w:snapToGrid/>
          <w:color w:val="000000"/>
          <w:sz w:val="32"/>
          <w:szCs w:val="32"/>
          <w:vertAlign w:val="baseline"/>
          <w:lang w:val="en-US" w:eastAsia="zh-CN"/>
        </w:rPr>
        <w:t>3.组织开展林业、草原、湿地、石漠化和陆生野生动植物资源动态监测与评价；拟订林业、草原、湿地资源和各类自然保护地的保护利用规划并组织实施；组织指导陆生野生动植物的救护繁育、栖息地恢复发展、疫源疫病监测，监督管理陆生野生动植物猎捕或采集、驯养繁殖或培植、经营利用；负责监督管理全区各级自然保护区，提出新建、调整各类自然保护区的建议并按程序报批；组织实施各类自然保护区生态修复工作。组织开展自然遗产的申报；负责自然保护区、风景名胜区、自然遗产、森林公园、地质公园等自然保护地管理工作；负责全区自然保护地的自然资源资产管理和国土空间用途管制；指导自然保护地管理机构工作；负责组织公益林划定、申报和保护管理工作；拟定森林经营规划和方案。组织开展相关普法宣传教育和法律咨询服务，负责行政规范性文件合法性审查工作；承担执法监督、行政诉讼和行政复议的有关工作；负责本部门行政审批事项的项目管理工作；负责部门行政审批事项的受理、核查、审批工作；负责本部门行政审批制度改革相关工作；负责区行政服务中心窗口工作。承担长江上游珍稀特有鱼类国家级自然保护区重庆市江津管理处日常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宋体" w:hAnsi="宋体" w:eastAsia="方正仿宋_GBK"/>
          <w:snapToGrid/>
          <w:color w:val="000000"/>
          <w:sz w:val="32"/>
          <w:szCs w:val="32"/>
          <w:vertAlign w:val="baseline"/>
          <w:lang w:val="en-US" w:eastAsia="zh-CN"/>
        </w:rPr>
      </w:pPr>
      <w:r>
        <w:rPr>
          <w:rFonts w:hint="eastAsia" w:ascii="Times New Roman" w:hAnsi="Times New Roman" w:eastAsia="方正仿宋_GBK"/>
          <w:snapToGrid/>
          <w:color w:val="000000"/>
          <w:sz w:val="32"/>
          <w:szCs w:val="32"/>
          <w:vertAlign w:val="baseline"/>
          <w:lang w:val="en-US" w:eastAsia="zh-CN"/>
        </w:rPr>
        <w:t>4.积极推进集体林权制度、国有林场和湿地等重要改革工作，积极探索创新林业、草原和湿地发展新模式、新路径，推进国有林场基本建设和发展。拟订林业、草原和湿地发展规划并组织实施；指导农村林地林木承包经营、流转管理工作；指导国有林场基本建设和发展；组织开展林业科研、成果推广、技术培训、科技合作与交流等工作；负责林业产业建设、林业招商引资、林产品质量监督工作；组织林木种子、草种种质资源普查，组织建立种质资源库；监督管理林木（草）种子种苗生产经营行为和林木（草）种子种苗质量；监督管理林业和草原转基因生物安全、植物新品种保护；协调指导行业协会及中介组织工作；负责生态扶贫相关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Times New Roman" w:hAnsi="Times New Roman" w:eastAsia="方正楷体_GBK" w:cs="方正楷体_GBK"/>
          <w:kern w:val="0"/>
          <w:sz w:val="32"/>
          <w:szCs w:val="32"/>
          <w:lang w:eastAsia="zh-CN"/>
        </w:rPr>
      </w:pPr>
      <w:r>
        <w:rPr>
          <w:rFonts w:hint="eastAsia" w:ascii="Times New Roman" w:hAnsi="Times New Roman" w:eastAsia="方正仿宋_GBK"/>
          <w:color w:val="000000"/>
          <w:sz w:val="32"/>
          <w:lang w:eastAsia="zh-CN"/>
        </w:rPr>
        <w:t>（二）</w:t>
      </w:r>
      <w:r>
        <w:rPr>
          <w:rFonts w:hint="eastAsia" w:ascii="Times New Roman" w:hAnsi="Times New Roman" w:eastAsia="方正楷体_GBK" w:cs="方正楷体_GBK"/>
          <w:kern w:val="0"/>
          <w:sz w:val="32"/>
          <w:szCs w:val="32"/>
          <w:lang w:val="en-US" w:eastAsia="zh-CN"/>
        </w:rPr>
        <w:t>机构设置</w:t>
      </w:r>
    </w:p>
    <w:p>
      <w:pPr>
        <w:keepNext w:val="0"/>
        <w:keepLines w:val="0"/>
        <w:pageBreakBefore w:val="0"/>
        <w:numPr>
          <w:ilvl w:val="0"/>
          <w:numId w:val="0"/>
        </w:numPr>
        <w:kinsoku/>
        <w:wordWrap/>
        <w:overflowPunct/>
        <w:topLinePunct w:val="0"/>
        <w:autoSpaceDN/>
        <w:bidi w:val="0"/>
        <w:snapToGrid/>
        <w:spacing w:beforeAutospacing="0" w:afterAutospacing="0" w:line="579"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仿宋_GBK" w:cs="方正仿宋_GBK"/>
          <w:i w:val="0"/>
          <w:caps w:val="0"/>
          <w:color w:val="auto"/>
          <w:spacing w:val="0"/>
          <w:sz w:val="32"/>
          <w:szCs w:val="31"/>
          <w:vertAlign w:val="baseline"/>
        </w:rPr>
        <w:t>重庆市江津区林业局</w:t>
      </w:r>
      <w:r>
        <w:rPr>
          <w:rFonts w:hint="eastAsia" w:ascii="Times New Roman" w:hAnsi="Times New Roman" w:eastAsia="方正仿宋_GBK" w:cs="方正仿宋_GBK"/>
          <w:i w:val="0"/>
          <w:caps w:val="0"/>
          <w:color w:val="auto"/>
          <w:spacing w:val="0"/>
          <w:sz w:val="32"/>
          <w:szCs w:val="31"/>
          <w:vertAlign w:val="baseline"/>
          <w:lang w:eastAsia="zh-CN"/>
        </w:rPr>
        <w:t>（本级）</w:t>
      </w:r>
      <w:r>
        <w:rPr>
          <w:rFonts w:hint="eastAsia" w:ascii="Times New Roman" w:hAnsi="Times New Roman" w:eastAsia="方正仿宋_GBK" w:cs="方正仿宋_GBK"/>
          <w:i w:val="0"/>
          <w:caps w:val="0"/>
          <w:color w:val="auto"/>
          <w:spacing w:val="0"/>
          <w:sz w:val="32"/>
          <w:szCs w:val="31"/>
          <w:vertAlign w:val="baseline"/>
        </w:rPr>
        <w:t>内设</w:t>
      </w:r>
      <w:r>
        <w:rPr>
          <w:rFonts w:hint="eastAsia" w:ascii="Times New Roman" w:hAnsi="Times New Roman" w:eastAsia="方正仿宋_GBK" w:cs="方正仿宋_GBK"/>
          <w:i w:val="0"/>
          <w:caps w:val="0"/>
          <w:color w:val="auto"/>
          <w:spacing w:val="0"/>
          <w:sz w:val="32"/>
          <w:szCs w:val="31"/>
          <w:vertAlign w:val="baseline"/>
          <w:lang w:val="en-US" w:eastAsia="zh-CN"/>
        </w:rPr>
        <w:t>8</w:t>
      </w:r>
      <w:r>
        <w:rPr>
          <w:rFonts w:hint="eastAsia" w:ascii="Times New Roman" w:hAnsi="Times New Roman" w:eastAsia="方正仿宋_GBK" w:cs="方正仿宋_GBK"/>
          <w:i w:val="0"/>
          <w:caps w:val="0"/>
          <w:color w:val="auto"/>
          <w:spacing w:val="0"/>
          <w:sz w:val="32"/>
          <w:szCs w:val="31"/>
          <w:vertAlign w:val="baseline"/>
        </w:rPr>
        <w:t>个职能科室</w:t>
      </w:r>
      <w:r>
        <w:rPr>
          <w:rFonts w:hint="eastAsia" w:ascii="Times New Roman" w:hAnsi="Times New Roman" w:eastAsia="方正仿宋_GBK" w:cs="方正仿宋_GBK"/>
          <w:i w:val="0"/>
          <w:caps w:val="0"/>
          <w:color w:val="auto"/>
          <w:spacing w:val="0"/>
          <w:sz w:val="32"/>
          <w:szCs w:val="31"/>
          <w:vertAlign w:val="baseline"/>
          <w:lang w:eastAsia="zh-CN"/>
        </w:rPr>
        <w:t>：党委办、</w:t>
      </w:r>
      <w:r>
        <w:rPr>
          <w:rFonts w:hint="eastAsia" w:ascii="Times New Roman" w:hAnsi="Times New Roman" w:eastAsia="方正仿宋_GBK"/>
          <w:snapToGrid/>
          <w:color w:val="000000"/>
          <w:sz w:val="32"/>
          <w:szCs w:val="32"/>
          <w:vertAlign w:val="baseline"/>
          <w:lang w:eastAsia="zh-CN"/>
        </w:rPr>
        <w:t>办公室、资金管理科、</w:t>
      </w:r>
      <w:r>
        <w:rPr>
          <w:rFonts w:hint="eastAsia" w:ascii="Times New Roman" w:hAnsi="Times New Roman" w:eastAsia="方正仿宋_GBK" w:cs="方正仿宋_GBK"/>
          <w:i w:val="0"/>
          <w:caps w:val="0"/>
          <w:color w:val="auto"/>
          <w:spacing w:val="0"/>
          <w:sz w:val="32"/>
          <w:szCs w:val="31"/>
          <w:vertAlign w:val="baseline"/>
          <w:lang w:eastAsia="zh-CN"/>
        </w:rPr>
        <w:t>生态修复科、</w:t>
      </w:r>
      <w:r>
        <w:rPr>
          <w:rFonts w:hint="eastAsia" w:ascii="Times New Roman" w:hAnsi="Times New Roman" w:eastAsia="方正仿宋_GBK"/>
          <w:snapToGrid/>
          <w:color w:val="000000"/>
          <w:sz w:val="32"/>
          <w:szCs w:val="32"/>
          <w:vertAlign w:val="baseline"/>
          <w:lang w:eastAsia="zh-CN"/>
        </w:rPr>
        <w:t>资源管理科、产业发展科、</w:t>
      </w:r>
      <w:r>
        <w:rPr>
          <w:rFonts w:hint="eastAsia" w:ascii="Times New Roman" w:hAnsi="Times New Roman" w:eastAsia="方正仿宋_GBK"/>
          <w:snapToGrid/>
          <w:color w:val="000000"/>
          <w:sz w:val="32"/>
          <w:szCs w:val="32"/>
          <w:vertAlign w:val="baseline"/>
        </w:rPr>
        <w:t>森林火灾预防</w:t>
      </w:r>
      <w:r>
        <w:rPr>
          <w:rFonts w:ascii="Times New Roman" w:hAnsi="Times New Roman" w:eastAsia="方正仿宋_GBK"/>
          <w:snapToGrid/>
          <w:color w:val="000000"/>
          <w:sz w:val="32"/>
          <w:szCs w:val="32"/>
          <w:vertAlign w:val="baseline"/>
        </w:rPr>
        <w:t>与安全</w:t>
      </w:r>
      <w:r>
        <w:rPr>
          <w:rFonts w:hint="eastAsia" w:ascii="Times New Roman" w:hAnsi="Times New Roman" w:eastAsia="方正仿宋_GBK"/>
          <w:snapToGrid/>
          <w:color w:val="000000"/>
          <w:sz w:val="32"/>
          <w:szCs w:val="32"/>
          <w:vertAlign w:val="baseline"/>
        </w:rPr>
        <w:t>科</w:t>
      </w:r>
      <w:r>
        <w:rPr>
          <w:rFonts w:hint="eastAsia" w:ascii="Times New Roman" w:hAnsi="Times New Roman" w:eastAsia="方正仿宋_GBK"/>
          <w:snapToGrid/>
          <w:color w:val="000000"/>
          <w:sz w:val="32"/>
          <w:szCs w:val="32"/>
          <w:vertAlign w:val="baseline"/>
          <w:lang w:eastAsia="zh-CN"/>
        </w:rPr>
        <w:t>、群众工作科。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0"/>
        <w:rPr>
          <w:rFonts w:hint="eastAsia" w:ascii="Times New Roman" w:hAnsi="Times New Roman" w:eastAsia="方正黑体_GBK" w:cs="方正黑体_GBK"/>
          <w:sz w:val="32"/>
          <w:szCs w:val="32"/>
        </w:rPr>
      </w:pPr>
      <w:r>
        <w:rPr>
          <w:rFonts w:hint="eastAsia" w:eastAsia="方正黑体_GBK" w:cs="方正黑体_GBK"/>
          <w:sz w:val="32"/>
          <w:szCs w:val="32"/>
          <w:lang w:eastAsia="zh-CN"/>
        </w:rPr>
        <w:t>二、</w:t>
      </w:r>
      <w:r>
        <w:rPr>
          <w:rFonts w:hint="eastAsia" w:ascii="Times New Roman" w:hAnsi="Times New Roman" w:eastAsia="方正黑体_GBK" w:cs="方正黑体_GBK"/>
          <w:sz w:val="32"/>
          <w:szCs w:val="32"/>
          <w:lang w:eastAsia="zh-CN"/>
        </w:rPr>
        <w:t>单位</w:t>
      </w:r>
      <w:r>
        <w:rPr>
          <w:rFonts w:hint="eastAsia" w:ascii="Times New Roman" w:hAnsi="Times New Roman" w:eastAsia="方正黑体_GBK" w:cs="方正黑体_GBK"/>
          <w:sz w:val="32"/>
          <w:szCs w:val="32"/>
        </w:rPr>
        <w:t>决算情况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Times New Roman" w:hAnsi="Times New Roman" w:eastAsia="方正楷体_GBK" w:cs="方正楷体_GBK"/>
          <w:sz w:val="32"/>
          <w:szCs w:val="32"/>
          <w:lang w:val="en-US" w:eastAsia="zh-CN"/>
        </w:rPr>
      </w:pPr>
      <w:r>
        <w:rPr>
          <w:rFonts w:hint="eastAsia" w:eastAsia="方正楷体_GBK" w:cs="方正楷体_GBK"/>
          <w:sz w:val="32"/>
          <w:szCs w:val="32"/>
          <w:lang w:val="en-US" w:eastAsia="zh-CN"/>
        </w:rPr>
        <w:t>（一）</w:t>
      </w:r>
      <w:r>
        <w:rPr>
          <w:rFonts w:hint="eastAsia" w:ascii="Times New Roman" w:hAnsi="Times New Roman" w:eastAsia="方正楷体_GBK" w:cs="方正楷体_GBK"/>
          <w:sz w:val="32"/>
          <w:szCs w:val="32"/>
          <w:lang w:val="en-US" w:eastAsia="zh-CN"/>
        </w:rPr>
        <w:t>单位收支总体情况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1.收入支出总体情况。</w:t>
      </w:r>
      <w:r>
        <w:rPr>
          <w:rFonts w:hint="eastAsia" w:ascii="Times New Roman" w:hAnsi="Times New Roman" w:eastAsia="方正仿宋_GBK" w:cs="方正仿宋_GBK"/>
          <w:b w:val="0"/>
          <w:bCs w:val="0"/>
          <w:sz w:val="32"/>
          <w:szCs w:val="32"/>
          <w:lang w:val="en-US" w:eastAsia="zh-CN"/>
        </w:rPr>
        <w:t>2024年度收入总计</w:t>
      </w:r>
      <w:r>
        <w:rPr>
          <w:rFonts w:ascii="Times New Roman" w:hAnsi="Times New Roman" w:eastAsia="方正仿宋_GBK" w:cs="方正仿宋_GBK"/>
          <w:sz w:val="32"/>
          <w:szCs w:val="32"/>
          <w:shd w:val="clear" w:color="auto" w:fill="FFFFFF"/>
        </w:rPr>
        <w:t>10155.63</w:t>
      </w:r>
      <w:r>
        <w:rPr>
          <w:rFonts w:hint="eastAsia" w:ascii="Times New Roman" w:hAnsi="Times New Roman" w:eastAsia="方正仿宋_GBK" w:cs="方正仿宋_GBK"/>
          <w:b w:val="0"/>
          <w:bCs w:val="0"/>
          <w:sz w:val="32"/>
          <w:szCs w:val="32"/>
          <w:lang w:val="en-US" w:eastAsia="zh-CN"/>
        </w:rPr>
        <w:t>万元，支出总计</w:t>
      </w:r>
      <w:r>
        <w:rPr>
          <w:rFonts w:ascii="Times New Roman" w:hAnsi="Times New Roman" w:eastAsia="方正仿宋_GBK" w:cs="方正仿宋_GBK"/>
          <w:sz w:val="32"/>
          <w:szCs w:val="32"/>
          <w:shd w:val="clear" w:color="auto" w:fill="FFFFFF"/>
        </w:rPr>
        <w:t>10155.63</w:t>
      </w:r>
      <w:r>
        <w:rPr>
          <w:rFonts w:hint="eastAsia" w:ascii="Times New Roman" w:hAnsi="Times New Roman" w:eastAsia="方正仿宋_GBK" w:cs="方正仿宋_GBK"/>
          <w:b w:val="0"/>
          <w:bCs w:val="0"/>
          <w:sz w:val="32"/>
          <w:szCs w:val="32"/>
          <w:lang w:val="en-US" w:eastAsia="zh-CN"/>
        </w:rPr>
        <w:t>万元。收支较上年</w:t>
      </w:r>
      <w:r>
        <w:rPr>
          <w:rFonts w:ascii="Times New Roman" w:hAnsi="Times New Roman" w:eastAsia="方正仿宋_GBK" w:cs="方正仿宋_GBK"/>
          <w:sz w:val="32"/>
          <w:szCs w:val="32"/>
          <w:shd w:val="clear" w:color="auto" w:fill="FFFFFF"/>
        </w:rPr>
        <w:t>减少3795.27</w:t>
      </w:r>
      <w:r>
        <w:rPr>
          <w:rFonts w:hint="eastAsia" w:ascii="Times New Roman" w:hAnsi="Times New Roman" w:eastAsia="方正仿宋_GBK" w:cs="方正仿宋_GBK"/>
          <w:b w:val="0"/>
          <w:bCs w:val="0"/>
          <w:sz w:val="32"/>
          <w:szCs w:val="32"/>
          <w:lang w:val="en-US" w:eastAsia="zh-CN"/>
        </w:rPr>
        <w:t>万元，</w:t>
      </w:r>
      <w:r>
        <w:rPr>
          <w:rFonts w:ascii="Times New Roman" w:hAnsi="Times New Roman" w:eastAsia="方正仿宋_GBK" w:cs="方正仿宋_GBK"/>
          <w:sz w:val="32"/>
          <w:szCs w:val="32"/>
          <w:shd w:val="clear" w:color="auto" w:fill="FFFFFF"/>
        </w:rPr>
        <w:t>下降27.2</w:t>
      </w:r>
      <w:r>
        <w:rPr>
          <w:rFonts w:hint="eastAsia" w:ascii="Times New Roman" w:hAnsi="Times New Roman" w:eastAsia="方正仿宋_GBK" w:cs="方正仿宋_GBK"/>
          <w:b w:val="0"/>
          <w:bCs w:val="0"/>
          <w:sz w:val="32"/>
          <w:szCs w:val="32"/>
          <w:lang w:val="en-US" w:eastAsia="zh-CN"/>
        </w:rPr>
        <w:t>%，主要原因为退耕还林项目资金减少。</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b/>
          <w:bCs/>
          <w:sz w:val="32"/>
          <w:szCs w:val="32"/>
          <w:lang w:val="en-US" w:eastAsia="zh-CN"/>
        </w:rPr>
        <w:t>2.收入情况。</w:t>
      </w:r>
      <w:r>
        <w:rPr>
          <w:rFonts w:hint="eastAsia" w:ascii="Times New Roman" w:hAnsi="Times New Roman" w:eastAsia="方正仿宋_GBK" w:cs="方正仿宋_GBK"/>
          <w:b w:val="0"/>
          <w:bCs w:val="0"/>
          <w:sz w:val="32"/>
          <w:szCs w:val="32"/>
          <w:lang w:val="en-US" w:eastAsia="zh-CN"/>
        </w:rPr>
        <w:t>2024年度本年收入合计</w:t>
      </w:r>
      <w:r>
        <w:rPr>
          <w:rFonts w:ascii="Times New Roman" w:hAnsi="Times New Roman" w:eastAsia="方正仿宋_GBK" w:cs="方正仿宋_GBK"/>
          <w:sz w:val="32"/>
          <w:szCs w:val="32"/>
          <w:shd w:val="clear" w:color="auto" w:fill="FFFFFF"/>
        </w:rPr>
        <w:t>10155.63</w:t>
      </w:r>
      <w:r>
        <w:rPr>
          <w:rFonts w:hint="eastAsia" w:ascii="Times New Roman" w:hAnsi="Times New Roman" w:eastAsia="方正仿宋_GBK" w:cs="方正仿宋_GBK"/>
          <w:b w:val="0"/>
          <w:bCs w:val="0"/>
          <w:sz w:val="32"/>
          <w:szCs w:val="32"/>
          <w:lang w:val="en-US" w:eastAsia="zh-CN"/>
        </w:rPr>
        <w:t>万元，较上年</w:t>
      </w:r>
      <w:r>
        <w:rPr>
          <w:rFonts w:ascii="Times New Roman" w:hAnsi="Times New Roman" w:eastAsia="方正仿宋_GBK" w:cs="方正仿宋_GBK"/>
          <w:sz w:val="32"/>
          <w:szCs w:val="32"/>
          <w:shd w:val="clear" w:color="auto" w:fill="FFFFFF"/>
        </w:rPr>
        <w:t>减少3795.27万元，下降27.2</w:t>
      </w:r>
      <w:r>
        <w:rPr>
          <w:rFonts w:hint="eastAsia" w:ascii="Times New Roman" w:hAnsi="Times New Roman" w:eastAsia="方正仿宋_GBK" w:cs="方正仿宋_GBK"/>
          <w:b w:val="0"/>
          <w:bCs w:val="0"/>
          <w:sz w:val="32"/>
          <w:szCs w:val="32"/>
          <w:lang w:val="en-US" w:eastAsia="zh-CN"/>
        </w:rPr>
        <w:t>%，主要原因为退耕还林项目资金减少。</w:t>
      </w:r>
      <w:r>
        <w:rPr>
          <w:rFonts w:ascii="Times New Roman" w:hAnsi="Times New Roman" w:eastAsia="方正仿宋_GBK" w:cs="方正仿宋_GBK"/>
          <w:sz w:val="32"/>
          <w:szCs w:val="32"/>
          <w:shd w:val="clear" w:color="auto" w:fill="FFFFFF"/>
        </w:rPr>
        <w:t>其中：财政拨款收入</w:t>
      </w:r>
      <w:r>
        <w:rPr>
          <w:rFonts w:ascii="Times New Roman" w:hAnsi="Times New Roman" w:eastAsia="方正仿宋_GBK" w:cs="方正仿宋_GBK"/>
          <w:sz w:val="32"/>
          <w:szCs w:val="32"/>
        </w:rPr>
        <w:t>10155.63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万元，占0.00%。此外，使用非财政拨款结余和专用结余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3.支出情况。</w:t>
      </w:r>
      <w:r>
        <w:rPr>
          <w:rFonts w:hint="eastAsia" w:ascii="Times New Roman" w:hAnsi="Times New Roman" w:eastAsia="方正仿宋_GBK" w:cs="方正仿宋_GBK"/>
          <w:b w:val="0"/>
          <w:bCs w:val="0"/>
          <w:sz w:val="32"/>
          <w:szCs w:val="32"/>
          <w:lang w:val="en-US" w:eastAsia="zh-CN"/>
        </w:rPr>
        <w:t>2024年度本年支出合计</w:t>
      </w:r>
      <w:r>
        <w:rPr>
          <w:rFonts w:ascii="Times New Roman" w:hAnsi="Times New Roman" w:eastAsia="方正仿宋_GBK" w:cs="方正仿宋_GBK"/>
          <w:sz w:val="32"/>
          <w:szCs w:val="32"/>
          <w:shd w:val="clear" w:color="auto" w:fill="FFFFFF"/>
        </w:rPr>
        <w:t>10155.63</w:t>
      </w:r>
      <w:r>
        <w:rPr>
          <w:rFonts w:hint="eastAsia" w:ascii="Times New Roman" w:hAnsi="Times New Roman" w:eastAsia="方正仿宋_GBK" w:cs="方正仿宋_GBK"/>
          <w:b w:val="0"/>
          <w:bCs w:val="0"/>
          <w:sz w:val="32"/>
          <w:szCs w:val="32"/>
          <w:lang w:val="en-US" w:eastAsia="zh-CN"/>
        </w:rPr>
        <w:t>万元，</w:t>
      </w:r>
      <w:r>
        <w:rPr>
          <w:rFonts w:hint="eastAsia" w:ascii="Times New Roman" w:hAnsi="Times New Roman" w:eastAsia="方正仿宋_GBK" w:cs="方正仿宋_GBK"/>
          <w:sz w:val="32"/>
        </w:rPr>
        <w:t>较</w:t>
      </w:r>
      <w:r>
        <w:rPr>
          <w:rFonts w:hint="eastAsia" w:ascii="Times New Roman" w:hAnsi="Times New Roman" w:eastAsia="方正仿宋_GBK" w:cs="方正仿宋_GBK"/>
          <w:sz w:val="32"/>
          <w:lang w:val="en-US" w:eastAsia="zh-CN"/>
        </w:rPr>
        <w:t>上年</w:t>
      </w:r>
      <w:r>
        <w:rPr>
          <w:rFonts w:ascii="Times New Roman" w:hAnsi="Times New Roman" w:eastAsia="方正仿宋_GBK" w:cs="方正仿宋_GBK"/>
          <w:sz w:val="32"/>
          <w:szCs w:val="32"/>
          <w:shd w:val="clear" w:color="auto" w:fill="FFFFFF"/>
        </w:rPr>
        <w:t>减少3795.27万元，下降27.2</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eastAsia="方正仿宋_GBK" w:cs="方正仿宋_GBK"/>
          <w:sz w:val="32"/>
        </w:rPr>
        <w:t>主要</w:t>
      </w:r>
      <w:r>
        <w:rPr>
          <w:rFonts w:hint="eastAsia" w:ascii="Times New Roman" w:hAnsi="Times New Roman" w:eastAsia="方正仿宋_GBK" w:cs="方正仿宋_GBK"/>
          <w:sz w:val="32"/>
          <w:lang w:val="en-US" w:eastAsia="zh-CN"/>
        </w:rPr>
        <w:t>原因为</w:t>
      </w:r>
      <w:r>
        <w:rPr>
          <w:rFonts w:hint="eastAsia" w:ascii="Times New Roman" w:hAnsi="Times New Roman" w:eastAsia="方正仿宋_GBK" w:cs="方正仿宋_GBK"/>
          <w:b w:val="0"/>
          <w:bCs w:val="0"/>
          <w:sz w:val="32"/>
          <w:szCs w:val="32"/>
          <w:lang w:val="en-US" w:eastAsia="zh-CN"/>
        </w:rPr>
        <w:t>退耕还林项目资金减少</w:t>
      </w:r>
      <w:r>
        <w:rPr>
          <w:rFonts w:hint="eastAsia" w:ascii="Times New Roman" w:hAnsi="Times New Roman" w:eastAsia="方正仿宋_GBK" w:cs="方正仿宋_GBK"/>
          <w:sz w:val="32"/>
          <w:lang w:val="en-US" w:eastAsia="zh-CN"/>
        </w:rPr>
        <w:t>。</w:t>
      </w:r>
      <w:r>
        <w:rPr>
          <w:rFonts w:hint="eastAsia" w:ascii="Times New Roman" w:hAnsi="Times New Roman" w:eastAsia="方正仿宋_GBK" w:cs="方正仿宋_GBK"/>
          <w:b w:val="0"/>
          <w:bCs w:val="0"/>
          <w:sz w:val="32"/>
          <w:szCs w:val="32"/>
          <w:lang w:val="en-US" w:eastAsia="zh-CN"/>
        </w:rPr>
        <w:t>其中：基本支出</w:t>
      </w:r>
      <w:r>
        <w:rPr>
          <w:rFonts w:ascii="Times New Roman" w:hAnsi="Times New Roman" w:eastAsia="方正仿宋_GBK" w:cs="方正仿宋_GBK"/>
          <w:sz w:val="32"/>
          <w:szCs w:val="32"/>
        </w:rPr>
        <w:t>624.28</w:t>
      </w:r>
      <w:r>
        <w:rPr>
          <w:rFonts w:hint="eastAsia" w:ascii="Times New Roman" w:hAnsi="Times New Roman" w:eastAsia="方正仿宋_GBK" w:cs="方正仿宋_GBK"/>
          <w:b w:val="0"/>
          <w:bCs w:val="0"/>
          <w:sz w:val="32"/>
          <w:szCs w:val="32"/>
          <w:lang w:val="en-US" w:eastAsia="zh-CN"/>
        </w:rPr>
        <w:t>万元，占比</w:t>
      </w:r>
      <w:r>
        <w:rPr>
          <w:rFonts w:ascii="Times New Roman" w:hAnsi="Times New Roman" w:eastAsia="方正仿宋_GBK" w:cs="方正仿宋_GBK"/>
          <w:sz w:val="32"/>
          <w:szCs w:val="32"/>
          <w:shd w:val="clear" w:color="auto" w:fill="FFFFFF"/>
        </w:rPr>
        <w:t>6.15</w:t>
      </w:r>
      <w:r>
        <w:rPr>
          <w:rFonts w:hint="eastAsia" w:ascii="Times New Roman" w:hAnsi="Times New Roman" w:eastAsia="方正仿宋_GBK" w:cs="方正仿宋_GBK"/>
          <w:b w:val="0"/>
          <w:bCs w:val="0"/>
          <w:sz w:val="32"/>
          <w:szCs w:val="32"/>
          <w:lang w:val="en-US" w:eastAsia="zh-CN"/>
        </w:rPr>
        <w:t>%；项目支出</w:t>
      </w:r>
      <w:r>
        <w:rPr>
          <w:rFonts w:ascii="Times New Roman" w:hAnsi="Times New Roman" w:eastAsia="方正仿宋_GBK" w:cs="方正仿宋_GBK"/>
          <w:sz w:val="32"/>
          <w:szCs w:val="32"/>
        </w:rPr>
        <w:t>9531.35</w:t>
      </w:r>
      <w:r>
        <w:rPr>
          <w:rFonts w:hint="eastAsia" w:ascii="Times New Roman" w:hAnsi="Times New Roman" w:eastAsia="方正仿宋_GBK" w:cs="方正仿宋_GBK"/>
          <w:b w:val="0"/>
          <w:bCs w:val="0"/>
          <w:sz w:val="32"/>
          <w:szCs w:val="32"/>
          <w:lang w:val="en-US" w:eastAsia="zh-CN"/>
        </w:rPr>
        <w:t>万元，占比</w:t>
      </w:r>
      <w:r>
        <w:rPr>
          <w:rFonts w:ascii="Times New Roman" w:hAnsi="Times New Roman" w:eastAsia="方正仿宋_GBK" w:cs="方正仿宋_GBK"/>
          <w:sz w:val="32"/>
          <w:szCs w:val="32"/>
          <w:shd w:val="clear" w:color="auto" w:fill="FFFFFF"/>
        </w:rPr>
        <w:t>93.85</w:t>
      </w:r>
      <w:r>
        <w:rPr>
          <w:rFonts w:hint="eastAsia" w:ascii="Times New Roman" w:hAnsi="Times New Roman" w:eastAsia="方正仿宋_GBK" w:cs="方正仿宋_GBK"/>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b/>
          <w:bCs/>
          <w:sz w:val="32"/>
          <w:szCs w:val="32"/>
          <w:lang w:val="en-US" w:eastAsia="zh-CN"/>
        </w:rPr>
        <w:t>4.结转结余情况。</w:t>
      </w:r>
      <w:r>
        <w:rPr>
          <w:rFonts w:hint="eastAsia" w:ascii="Times New Roman" w:hAnsi="Times New Roman" w:eastAsia="方正仿宋_GBK" w:cs="方正仿宋_GBK"/>
          <w:b w:val="0"/>
          <w:bCs w:val="0"/>
          <w:sz w:val="32"/>
          <w:szCs w:val="32"/>
          <w:lang w:val="en-US" w:eastAsia="zh-CN"/>
        </w:rPr>
        <w:t>2024年度年末结转和结余0万元，与2023年度相比</w:t>
      </w:r>
      <w:r>
        <w:rPr>
          <w:rFonts w:ascii="Times New Roman" w:hAnsi="Times New Roman" w:eastAsia="方正仿宋_GBK" w:cs="方正仿宋_GBK"/>
          <w:sz w:val="32"/>
          <w:szCs w:val="32"/>
          <w:shd w:val="clear" w:color="auto" w:fill="FFFFFF"/>
        </w:rPr>
        <w:t>无增减</w:t>
      </w:r>
      <w:r>
        <w:rPr>
          <w:rFonts w:hint="eastAsia" w:ascii="Times New Roman" w:hAnsi="Times New Roman" w:eastAsia="方正仿宋_GBK" w:cs="方正仿宋_GBK"/>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Times New Roman" w:hAnsi="Times New Roman" w:eastAsia="方正楷体_GBK" w:cs="方正楷体_GBK"/>
          <w:sz w:val="32"/>
          <w:szCs w:val="32"/>
          <w:lang w:val="en-US" w:eastAsia="zh-CN"/>
        </w:rPr>
      </w:pPr>
      <w:r>
        <w:rPr>
          <w:rFonts w:hint="eastAsia" w:eastAsia="方正楷体_GBK" w:cs="方正楷体_GBK"/>
          <w:sz w:val="32"/>
          <w:szCs w:val="32"/>
          <w:lang w:val="en-US" w:eastAsia="zh-CN"/>
        </w:rPr>
        <w:t>（二）</w:t>
      </w:r>
      <w:r>
        <w:rPr>
          <w:rFonts w:hint="eastAsia" w:ascii="Times New Roman" w:hAnsi="Times New Roman" w:eastAsia="方正楷体_GBK" w:cs="方正楷体_GBK"/>
          <w:sz w:val="32"/>
          <w:szCs w:val="32"/>
          <w:lang w:val="en-US" w:eastAsia="zh-CN"/>
        </w:rPr>
        <w:t>财政拨款收支总体情况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2024年度财政拨款收入总计</w:t>
      </w:r>
      <w:r>
        <w:rPr>
          <w:rFonts w:ascii="Times New Roman" w:hAnsi="Times New Roman" w:eastAsia="方正仿宋_GBK" w:cs="方正仿宋_GBK"/>
          <w:sz w:val="32"/>
          <w:szCs w:val="32"/>
          <w:shd w:val="clear" w:color="auto" w:fill="FFFFFF"/>
        </w:rPr>
        <w:t>10155.63</w:t>
      </w:r>
      <w:r>
        <w:rPr>
          <w:rFonts w:hint="eastAsia" w:ascii="Times New Roman" w:hAnsi="Times New Roman" w:eastAsia="方正仿宋_GBK" w:cs="方正仿宋_GBK"/>
          <w:sz w:val="32"/>
          <w:lang w:val="en-US" w:eastAsia="zh-CN"/>
        </w:rPr>
        <w:t>万元，支出总计</w:t>
      </w:r>
      <w:r>
        <w:rPr>
          <w:rFonts w:ascii="Times New Roman" w:hAnsi="Times New Roman" w:eastAsia="方正仿宋_GBK" w:cs="方正仿宋_GBK"/>
          <w:sz w:val="32"/>
          <w:szCs w:val="32"/>
          <w:shd w:val="clear" w:color="auto" w:fill="FFFFFF"/>
        </w:rPr>
        <w:t>10155.63</w:t>
      </w:r>
      <w:r>
        <w:rPr>
          <w:rFonts w:hint="eastAsia" w:ascii="Times New Roman" w:hAnsi="Times New Roman" w:eastAsia="方正仿宋_GBK" w:cs="方正仿宋_GBK"/>
          <w:sz w:val="32"/>
          <w:lang w:val="en-US" w:eastAsia="zh-CN"/>
        </w:rPr>
        <w:t>万元。</w:t>
      </w:r>
      <w:r>
        <w:rPr>
          <w:rFonts w:hint="eastAsia" w:ascii="Times New Roman" w:hAnsi="Times New Roman" w:eastAsia="方正仿宋_GBK" w:cs="方正仿宋_GBK"/>
          <w:sz w:val="32"/>
        </w:rPr>
        <w:t>收支较上年</w:t>
      </w:r>
      <w:r>
        <w:rPr>
          <w:rFonts w:ascii="Times New Roman" w:hAnsi="Times New Roman" w:eastAsia="方正仿宋_GBK" w:cs="方正仿宋_GBK"/>
          <w:sz w:val="32"/>
          <w:szCs w:val="32"/>
          <w:shd w:val="clear" w:color="auto" w:fill="FFFFFF"/>
        </w:rPr>
        <w:t>减少3795.27万元，下降27.2</w:t>
      </w:r>
      <w:r>
        <w:rPr>
          <w:rFonts w:hint="eastAsia" w:ascii="Times New Roman" w:hAnsi="Times New Roman" w:eastAsia="方正仿宋_GBK" w:cs="方正仿宋_GBK"/>
          <w:sz w:val="32"/>
          <w:lang w:val="en-US" w:eastAsia="zh-CN"/>
        </w:rPr>
        <w:t>%，</w:t>
      </w:r>
      <w:r>
        <w:rPr>
          <w:rFonts w:hint="eastAsia" w:ascii="Times New Roman" w:hAnsi="Times New Roman" w:eastAsia="方正仿宋_GBK" w:cs="方正仿宋_GBK"/>
          <w:sz w:val="32"/>
        </w:rPr>
        <w:t>主要原因</w:t>
      </w:r>
      <w:r>
        <w:rPr>
          <w:rFonts w:hint="eastAsia" w:ascii="Times New Roman" w:hAnsi="Times New Roman" w:eastAsia="方正仿宋_GBK" w:cs="方正仿宋_GBK"/>
          <w:sz w:val="32"/>
          <w:lang w:val="en-US" w:eastAsia="zh-CN"/>
        </w:rPr>
        <w:t>为</w:t>
      </w:r>
      <w:r>
        <w:rPr>
          <w:rFonts w:hint="eastAsia" w:ascii="Times New Roman" w:hAnsi="Times New Roman" w:eastAsia="方正仿宋_GBK" w:cs="方正仿宋_GBK"/>
          <w:b w:val="0"/>
          <w:bCs w:val="0"/>
          <w:sz w:val="32"/>
          <w:szCs w:val="32"/>
          <w:lang w:val="en-US" w:eastAsia="zh-CN"/>
        </w:rPr>
        <w:t>退耕还林项目资金减少</w:t>
      </w:r>
      <w:r>
        <w:rPr>
          <w:rFonts w:hint="eastAsia" w:ascii="Times New Roman" w:hAnsi="Times New Roman" w:eastAsia="方正仿宋_GBK" w:cs="方正仿宋_GBK"/>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Times New Roman" w:hAnsi="Times New Roman" w:eastAsia="方正楷体_GBK" w:cs="方正楷体_GBK"/>
          <w:sz w:val="32"/>
          <w:szCs w:val="32"/>
          <w:lang w:val="en-US" w:eastAsia="zh-CN"/>
        </w:rPr>
      </w:pPr>
      <w:r>
        <w:rPr>
          <w:rFonts w:hint="eastAsia" w:eastAsia="方正楷体_GBK" w:cs="方正楷体_GBK"/>
          <w:sz w:val="32"/>
          <w:szCs w:val="32"/>
          <w:lang w:val="en-US" w:eastAsia="zh-CN"/>
        </w:rPr>
        <w:t>（三）</w:t>
      </w:r>
      <w:r>
        <w:rPr>
          <w:rFonts w:hint="eastAsia" w:ascii="Times New Roman" w:hAnsi="Times New Roman" w:eastAsia="方正楷体_GBK" w:cs="方正楷体_GBK"/>
          <w:sz w:val="32"/>
          <w:szCs w:val="32"/>
          <w:lang w:val="en-US" w:eastAsia="zh-CN"/>
        </w:rPr>
        <w:t>一般公共预算财政拨款收支总体情况</w:t>
      </w:r>
    </w:p>
    <w:p>
      <w:pPr>
        <w:keepNext w:val="0"/>
        <w:keepLines w:val="0"/>
        <w:pageBreakBefore w:val="0"/>
        <w:numPr>
          <w:ilvl w:val="0"/>
          <w:numId w:val="0"/>
        </w:numPr>
        <w:kinsoku/>
        <w:wordWrap/>
        <w:overflowPunct/>
        <w:topLinePunct w:val="0"/>
        <w:autoSpaceDN/>
        <w:bidi w:val="0"/>
        <w:snapToGrid/>
        <w:spacing w:line="579" w:lineRule="exact"/>
        <w:ind w:firstLine="643" w:firstLineChars="200"/>
        <w:textAlignment w:val="auto"/>
        <w:rPr>
          <w:rFonts w:hint="eastAsia" w:ascii="Times New Roman" w:hAnsi="Times New Roman" w:eastAsia="方正仿宋_GBK" w:cs="方正仿宋_GBK"/>
          <w:b/>
          <w:bCs/>
          <w:sz w:val="32"/>
          <w:lang w:val="en-US" w:eastAsia="zh-CN"/>
        </w:rPr>
      </w:pPr>
      <w:r>
        <w:rPr>
          <w:rFonts w:hint="eastAsia" w:ascii="Times New Roman" w:hAnsi="Times New Roman" w:eastAsia="方正仿宋_GBK" w:cs="方正仿宋_GBK"/>
          <w:b/>
          <w:bCs/>
          <w:sz w:val="32"/>
          <w:lang w:val="en-US" w:eastAsia="zh-CN"/>
        </w:rPr>
        <w:t>1.收入情况。</w:t>
      </w:r>
      <w:r>
        <w:rPr>
          <w:rFonts w:hint="eastAsia" w:ascii="Times New Roman" w:hAnsi="Times New Roman" w:eastAsia="方正仿宋_GBK" w:cs="方正仿宋_GBK"/>
          <w:color w:val="auto"/>
          <w:sz w:val="32"/>
        </w:rPr>
        <w:t>202</w:t>
      </w:r>
      <w:r>
        <w:rPr>
          <w:rFonts w:hint="eastAsia" w:ascii="Times New Roman" w:hAnsi="Times New Roman" w:eastAsia="方正仿宋_GBK" w:cs="方正仿宋_GBK"/>
          <w:color w:val="auto"/>
          <w:sz w:val="32"/>
          <w:lang w:val="en-US" w:eastAsia="zh-CN"/>
        </w:rPr>
        <w:t>4</w:t>
      </w:r>
      <w:r>
        <w:rPr>
          <w:rFonts w:hint="eastAsia" w:ascii="Times New Roman" w:hAnsi="Times New Roman" w:eastAsia="方正仿宋_GBK" w:cs="方正仿宋_GBK"/>
          <w:color w:val="auto"/>
          <w:sz w:val="32"/>
        </w:rPr>
        <w:t>年度一般公共预算财政拨款收入</w:t>
      </w:r>
      <w:r>
        <w:rPr>
          <w:rFonts w:ascii="Times New Roman" w:hAnsi="Times New Roman" w:eastAsia="方正仿宋_GBK" w:cs="方正仿宋_GBK"/>
          <w:sz w:val="32"/>
          <w:szCs w:val="32"/>
          <w:shd w:val="clear" w:color="auto" w:fill="FFFFFF"/>
        </w:rPr>
        <w:t>10155.63</w:t>
      </w:r>
      <w:r>
        <w:rPr>
          <w:rFonts w:hint="eastAsia" w:ascii="Times New Roman" w:hAnsi="Times New Roman" w:eastAsia="方正仿宋_GBK" w:cs="方正仿宋_GBK"/>
          <w:color w:val="auto"/>
          <w:sz w:val="32"/>
        </w:rPr>
        <w:t>万元，较上年</w:t>
      </w:r>
      <w:r>
        <w:rPr>
          <w:rFonts w:hint="eastAsia" w:ascii="Times New Roman" w:hAnsi="Times New Roman" w:eastAsia="方正仿宋_GBK" w:cs="方正仿宋_GBK"/>
          <w:color w:val="auto"/>
          <w:sz w:val="32"/>
          <w:lang w:val="en-US" w:eastAsia="zh-CN"/>
        </w:rPr>
        <w:t>决算数</w:t>
      </w:r>
      <w:r>
        <w:rPr>
          <w:rFonts w:ascii="Times New Roman" w:hAnsi="Times New Roman" w:eastAsia="方正仿宋_GBK" w:cs="方正仿宋_GBK"/>
          <w:sz w:val="32"/>
          <w:szCs w:val="32"/>
          <w:shd w:val="clear" w:color="auto" w:fill="FFFFFF"/>
        </w:rPr>
        <w:t>减少3795.27万元，下降27.2</w:t>
      </w:r>
      <w:r>
        <w:rPr>
          <w:rFonts w:hint="eastAsia" w:ascii="Times New Roman" w:hAnsi="Times New Roman" w:eastAsia="方正仿宋_GBK" w:cs="方正仿宋_GBK"/>
          <w:color w:val="auto"/>
          <w:sz w:val="32"/>
        </w:rPr>
        <w:t>%</w:t>
      </w:r>
      <w:r>
        <w:rPr>
          <w:rFonts w:hint="eastAsia" w:ascii="Times New Roman" w:hAnsi="Times New Roman" w:eastAsia="方正仿宋_GBK" w:cs="方正仿宋_GBK"/>
          <w:color w:val="auto"/>
          <w:sz w:val="32"/>
          <w:lang w:eastAsia="zh-CN"/>
        </w:rPr>
        <w:t>，</w:t>
      </w:r>
      <w:r>
        <w:rPr>
          <w:rFonts w:hint="eastAsia" w:ascii="Times New Roman" w:hAnsi="Times New Roman" w:eastAsia="方正仿宋_GBK" w:cs="方正仿宋_GBK"/>
          <w:color w:val="auto"/>
          <w:sz w:val="32"/>
        </w:rPr>
        <w:t>主要原因</w:t>
      </w:r>
      <w:r>
        <w:rPr>
          <w:rFonts w:hint="eastAsia" w:ascii="Times New Roman" w:hAnsi="Times New Roman" w:eastAsia="方正仿宋_GBK" w:cs="方正仿宋_GBK"/>
          <w:color w:val="auto"/>
          <w:sz w:val="32"/>
          <w:lang w:val="en-US" w:eastAsia="zh-CN"/>
        </w:rPr>
        <w:t>为</w:t>
      </w:r>
      <w:r>
        <w:rPr>
          <w:rFonts w:hint="eastAsia" w:ascii="Times New Roman" w:hAnsi="Times New Roman" w:eastAsia="方正仿宋_GBK" w:cs="方正仿宋_GBK"/>
          <w:b w:val="0"/>
          <w:bCs w:val="0"/>
          <w:sz w:val="32"/>
          <w:szCs w:val="32"/>
          <w:lang w:val="en-US" w:eastAsia="zh-CN"/>
        </w:rPr>
        <w:t>退耕还林项目资金减少</w:t>
      </w:r>
      <w:r>
        <w:rPr>
          <w:rFonts w:hint="eastAsia" w:ascii="Times New Roman" w:hAnsi="Times New Roman" w:eastAsia="方正仿宋_GBK" w:cs="方正仿宋_GBK"/>
          <w:color w:val="auto"/>
          <w:sz w:val="32"/>
          <w:lang w:val="en-US" w:eastAsia="zh-CN"/>
        </w:rPr>
        <w:t>。较年初预算数</w:t>
      </w:r>
      <w:r>
        <w:rPr>
          <w:rFonts w:ascii="Times New Roman" w:hAnsi="Times New Roman" w:eastAsia="方正仿宋_GBK" w:cs="方正仿宋_GBK"/>
          <w:sz w:val="32"/>
          <w:szCs w:val="32"/>
          <w:shd w:val="clear" w:color="auto" w:fill="FFFFFF"/>
        </w:rPr>
        <w:t>减少3662.51万元，下降26.51</w:t>
      </w:r>
      <w:r>
        <w:rPr>
          <w:rFonts w:hint="eastAsia" w:ascii="Times New Roman" w:hAnsi="Times New Roman" w:eastAsia="方正仿宋_GBK" w:cs="方正仿宋_GBK"/>
          <w:color w:val="auto"/>
          <w:sz w:val="32"/>
          <w:lang w:val="en-US" w:eastAsia="zh-CN"/>
        </w:rPr>
        <w:t>%，主要原因是</w:t>
      </w:r>
      <w:r>
        <w:rPr>
          <w:rFonts w:hint="eastAsia" w:ascii="Times New Roman" w:hAnsi="Times New Roman" w:eastAsia="方正仿宋_GBK" w:cs="方正仿宋_GBK"/>
          <w:b w:val="0"/>
          <w:bCs w:val="0"/>
          <w:sz w:val="32"/>
          <w:szCs w:val="32"/>
          <w:lang w:val="en-US" w:eastAsia="zh-CN"/>
        </w:rPr>
        <w:t>退耕还林项目资金减少</w:t>
      </w:r>
      <w:r>
        <w:rPr>
          <w:rFonts w:hint="eastAsia" w:ascii="Times New Roman" w:hAnsi="Times New Roman" w:eastAsia="方正仿宋_GBK" w:cs="方正仿宋_GBK"/>
          <w:color w:val="auto"/>
          <w:sz w:val="32"/>
          <w:lang w:val="en-US" w:eastAsia="zh-CN"/>
        </w:rPr>
        <w:t>。</w:t>
      </w:r>
      <w:r>
        <w:rPr>
          <w:rFonts w:ascii="Times New Roman" w:hAnsi="Times New Roman" w:eastAsia="方正仿宋_GBK" w:cs="方正仿宋_GBK"/>
          <w:sz w:val="32"/>
          <w:szCs w:val="32"/>
          <w:shd w:val="clear" w:color="auto" w:fill="FFFFFF"/>
        </w:rPr>
        <w:t>此外，年初财政拨款结转和结余</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w:t>
      </w:r>
    </w:p>
    <w:p>
      <w:pPr>
        <w:keepNext w:val="0"/>
        <w:keepLines w:val="0"/>
        <w:pageBreakBefore w:val="0"/>
        <w:numPr>
          <w:ilvl w:val="0"/>
          <w:numId w:val="0"/>
        </w:numPr>
        <w:kinsoku/>
        <w:wordWrap/>
        <w:overflowPunct/>
        <w:topLinePunct w:val="0"/>
        <w:autoSpaceDN/>
        <w:bidi w:val="0"/>
        <w:snapToGrid/>
        <w:spacing w:line="579" w:lineRule="exact"/>
        <w:ind w:firstLine="643" w:firstLineChars="200"/>
        <w:textAlignment w:val="auto"/>
        <w:rPr>
          <w:rFonts w:hint="eastAsia" w:ascii="Times New Roman" w:hAnsi="Times New Roman" w:eastAsia="方正仿宋_GBK" w:cs="方正仿宋_GBK"/>
          <w:b/>
          <w:bCs/>
          <w:sz w:val="32"/>
          <w:lang w:val="en-US" w:eastAsia="zh-CN"/>
        </w:rPr>
      </w:pPr>
      <w:r>
        <w:rPr>
          <w:rFonts w:hint="eastAsia" w:ascii="Times New Roman" w:hAnsi="Times New Roman" w:eastAsia="方正仿宋_GBK" w:cs="方正仿宋_GBK"/>
          <w:b/>
          <w:bCs/>
          <w:sz w:val="32"/>
          <w:lang w:val="en-US" w:eastAsia="zh-CN"/>
        </w:rPr>
        <w:t>2.支出情况。</w:t>
      </w:r>
      <w:r>
        <w:rPr>
          <w:rFonts w:hint="eastAsia" w:ascii="Times New Roman" w:hAnsi="Times New Roman" w:eastAsia="方正仿宋_GBK" w:cs="方正仿宋_GBK"/>
          <w:color w:val="auto"/>
          <w:sz w:val="32"/>
          <w:lang w:val="en-US" w:eastAsia="zh-CN"/>
        </w:rPr>
        <w:t>2024年度一般公共预算财政拨款支出</w:t>
      </w:r>
      <w:r>
        <w:rPr>
          <w:rFonts w:ascii="Times New Roman" w:hAnsi="Times New Roman" w:eastAsia="方正仿宋_GBK" w:cs="方正仿宋_GBK"/>
          <w:sz w:val="32"/>
          <w:szCs w:val="32"/>
          <w:shd w:val="clear" w:color="auto" w:fill="FFFFFF"/>
        </w:rPr>
        <w:t>10155.63</w:t>
      </w:r>
      <w:r>
        <w:rPr>
          <w:rFonts w:hint="eastAsia" w:ascii="Times New Roman" w:hAnsi="Times New Roman" w:eastAsia="方正仿宋_GBK" w:cs="方正仿宋_GBK"/>
          <w:color w:val="auto"/>
          <w:sz w:val="32"/>
          <w:lang w:val="en-US" w:eastAsia="zh-CN"/>
        </w:rPr>
        <w:t>万元，</w:t>
      </w:r>
      <w:r>
        <w:rPr>
          <w:rFonts w:hint="eastAsia" w:ascii="Times New Roman" w:hAnsi="Times New Roman" w:eastAsia="方正仿宋_GBK" w:cs="方正仿宋_GBK"/>
          <w:color w:val="auto"/>
          <w:sz w:val="32"/>
        </w:rPr>
        <w:t>较上年决算数</w:t>
      </w:r>
      <w:r>
        <w:rPr>
          <w:rFonts w:ascii="Times New Roman" w:hAnsi="Times New Roman" w:eastAsia="方正仿宋_GBK" w:cs="方正仿宋_GBK"/>
          <w:sz w:val="32"/>
          <w:szCs w:val="32"/>
          <w:shd w:val="clear" w:color="auto" w:fill="FFFFFF"/>
        </w:rPr>
        <w:t>减少3795.27万元，下降27.2</w:t>
      </w:r>
      <w:r>
        <w:rPr>
          <w:rFonts w:hint="eastAsia" w:ascii="Times New Roman" w:hAnsi="Times New Roman" w:eastAsia="方正仿宋_GBK" w:cs="方正仿宋_GBK"/>
          <w:color w:val="auto"/>
          <w:sz w:val="32"/>
        </w:rPr>
        <w:t>%</w:t>
      </w:r>
      <w:r>
        <w:rPr>
          <w:rFonts w:hint="eastAsia" w:ascii="Times New Roman" w:hAnsi="Times New Roman" w:eastAsia="方正仿宋_GBK" w:cs="方正仿宋_GBK"/>
          <w:color w:val="auto"/>
          <w:sz w:val="32"/>
          <w:lang w:eastAsia="zh-CN"/>
        </w:rPr>
        <w:t>，</w:t>
      </w:r>
      <w:r>
        <w:rPr>
          <w:rFonts w:hint="eastAsia" w:ascii="Times New Roman" w:hAnsi="Times New Roman" w:eastAsia="方正仿宋_GBK" w:cs="方正仿宋_GBK"/>
          <w:color w:val="auto"/>
          <w:sz w:val="32"/>
        </w:rPr>
        <w:t>主要原因是</w:t>
      </w:r>
      <w:r>
        <w:rPr>
          <w:rFonts w:hint="eastAsia" w:ascii="Times New Roman" w:hAnsi="Times New Roman" w:eastAsia="方正仿宋_GBK" w:cs="方正仿宋_GBK"/>
          <w:b w:val="0"/>
          <w:bCs w:val="0"/>
          <w:sz w:val="32"/>
          <w:szCs w:val="32"/>
          <w:lang w:val="en-US" w:eastAsia="zh-CN"/>
        </w:rPr>
        <w:t>退耕还林项目资金减少</w:t>
      </w:r>
      <w:r>
        <w:rPr>
          <w:rFonts w:hint="eastAsia" w:ascii="Times New Roman" w:hAnsi="Times New Roman" w:eastAsia="方正仿宋_GBK" w:cs="方正仿宋_GBK"/>
          <w:color w:val="auto"/>
          <w:sz w:val="32"/>
          <w:lang w:val="en-US" w:eastAsia="zh-CN"/>
        </w:rPr>
        <w:t>。较年初预算数</w:t>
      </w:r>
      <w:r>
        <w:rPr>
          <w:rFonts w:ascii="Times New Roman" w:hAnsi="Times New Roman" w:eastAsia="方正仿宋_GBK" w:cs="方正仿宋_GBK"/>
          <w:sz w:val="32"/>
          <w:szCs w:val="32"/>
          <w:shd w:val="clear" w:color="auto" w:fill="FFFFFF"/>
        </w:rPr>
        <w:t>减少3662.51万元，下降26.51</w:t>
      </w:r>
      <w:r>
        <w:rPr>
          <w:rFonts w:hint="eastAsia" w:ascii="Times New Roman" w:hAnsi="Times New Roman" w:eastAsia="方正仿宋_GBK" w:cs="方正仿宋_GBK"/>
          <w:color w:val="auto"/>
          <w:sz w:val="32"/>
          <w:lang w:val="en-US" w:eastAsia="zh-CN"/>
        </w:rPr>
        <w:t>%，主要原因是</w:t>
      </w:r>
      <w:r>
        <w:rPr>
          <w:rFonts w:hint="eastAsia" w:ascii="Times New Roman" w:hAnsi="Times New Roman" w:eastAsia="方正仿宋_GBK" w:cs="方正仿宋_GBK"/>
          <w:b w:val="0"/>
          <w:bCs w:val="0"/>
          <w:sz w:val="32"/>
          <w:szCs w:val="32"/>
          <w:lang w:val="en-US" w:eastAsia="zh-CN"/>
        </w:rPr>
        <w:t>退耕还林项目资金减少</w:t>
      </w:r>
      <w:r>
        <w:rPr>
          <w:rFonts w:hint="eastAsia" w:ascii="Times New Roman" w:hAnsi="Times New Roman" w:eastAsia="方正仿宋_GBK" w:cs="方正仿宋_GBK"/>
          <w:color w:val="auto"/>
          <w:sz w:val="32"/>
          <w:lang w:val="en-US" w:eastAsia="zh-CN"/>
        </w:rPr>
        <w:t>。</w:t>
      </w:r>
    </w:p>
    <w:p>
      <w:pPr>
        <w:keepNext w:val="0"/>
        <w:keepLines w:val="0"/>
        <w:pageBreakBefore w:val="0"/>
        <w:numPr>
          <w:ilvl w:val="0"/>
          <w:numId w:val="0"/>
        </w:numPr>
        <w:kinsoku/>
        <w:wordWrap/>
        <w:overflowPunct/>
        <w:topLinePunct w:val="0"/>
        <w:autoSpaceDN/>
        <w:bidi w:val="0"/>
        <w:snapToGrid/>
        <w:spacing w:line="579" w:lineRule="exact"/>
        <w:ind w:firstLine="643" w:firstLineChars="200"/>
        <w:textAlignment w:val="auto"/>
        <w:rPr>
          <w:rFonts w:hint="eastAsia" w:ascii="Times New Roman" w:hAnsi="Times New Roman" w:eastAsia="方正仿宋_GBK" w:cs="方正仿宋_GBK"/>
          <w:b/>
          <w:bCs/>
          <w:sz w:val="32"/>
          <w:lang w:val="en-US" w:eastAsia="zh-CN"/>
        </w:rPr>
      </w:pPr>
      <w:r>
        <w:rPr>
          <w:rFonts w:hint="eastAsia" w:ascii="Times New Roman" w:hAnsi="Times New Roman" w:eastAsia="方正仿宋_GBK" w:cs="方正仿宋_GBK"/>
          <w:b/>
          <w:bCs/>
          <w:color w:val="auto"/>
          <w:sz w:val="32"/>
          <w:lang w:val="en-US" w:eastAsia="zh-CN"/>
        </w:rPr>
        <w:t>3.结转结余情况。</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度年末一般公共预算财政拨款结转和结余</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万元，与2023年度相比无增减</w:t>
      </w:r>
      <w:r>
        <w:rPr>
          <w:rFonts w:hint="eastAsia" w:ascii="Times New Roman" w:hAnsi="Times New Roman" w:eastAsia="方正仿宋_GBK" w:cs="方正仿宋_GBK"/>
          <w:sz w:val="32"/>
          <w:szCs w:val="32"/>
          <w:shd w:val="clear" w:color="auto" w:fill="FFFFFF"/>
          <w:lang w:val="en-US"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3"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b/>
          <w:bCs/>
          <w:kern w:val="2"/>
          <w:sz w:val="32"/>
          <w:szCs w:val="22"/>
          <w:lang w:val="en-US" w:eastAsia="zh-CN" w:bidi="ar-SA"/>
        </w:rPr>
        <w:t>4.比较情况。</w:t>
      </w:r>
      <w:r>
        <w:rPr>
          <w:rFonts w:hint="eastAsia" w:ascii="Times New Roman" w:hAnsi="Times New Roman" w:eastAsia="方正仿宋_GBK" w:cs="方正仿宋_GBK"/>
          <w:color w:val="auto"/>
          <w:sz w:val="32"/>
          <w:lang w:val="en-US" w:eastAsia="zh-CN"/>
        </w:rPr>
        <w:t>本单位2024年度一般公共预算财政拨款支出主要用于以下几个方面：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）教育支出</w:t>
      </w:r>
      <w:r>
        <w:rPr>
          <w:rFonts w:ascii="Times New Roman" w:hAnsi="Times New Roman" w:eastAsia="方正仿宋_GBK" w:cs="方正仿宋_GBK"/>
          <w:sz w:val="32"/>
          <w:szCs w:val="32"/>
        </w:rPr>
        <w:t>0.89</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0.01</w:t>
      </w:r>
      <w:r>
        <w:rPr>
          <w:rFonts w:ascii="Times New Roman" w:hAnsi="Times New Roman" w:eastAsia="方正仿宋_GBK" w:cs="方正仿宋_GBK"/>
          <w:sz w:val="32"/>
          <w:szCs w:val="32"/>
          <w:shd w:val="clear" w:color="auto" w:fill="FFFFFF"/>
        </w:rPr>
        <w:t>%，较年初预算数减少1.39万元，下降60.96%，主要原因是</w:t>
      </w:r>
      <w:r>
        <w:rPr>
          <w:rFonts w:hint="eastAsia" w:ascii="Times New Roman" w:hAnsi="Times New Roman" w:eastAsia="方正仿宋_GBK" w:cs="方正仿宋_GBK"/>
          <w:color w:val="auto"/>
          <w:sz w:val="32"/>
          <w:lang w:val="en-US" w:eastAsia="zh-CN"/>
        </w:rPr>
        <w:t>职工培训减少。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2</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社会保障与就业支出</w:t>
      </w:r>
      <w:r>
        <w:rPr>
          <w:rFonts w:ascii="Times New Roman" w:hAnsi="Times New Roman" w:eastAsia="方正仿宋_GBK" w:cs="方正仿宋_GBK"/>
          <w:sz w:val="32"/>
          <w:szCs w:val="32"/>
        </w:rPr>
        <w:t>184.28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1.81</w:t>
      </w:r>
      <w:r>
        <w:rPr>
          <w:rFonts w:ascii="Times New Roman" w:hAnsi="Times New Roman" w:eastAsia="方正仿宋_GBK" w:cs="方正仿宋_GBK"/>
          <w:sz w:val="32"/>
          <w:szCs w:val="32"/>
          <w:shd w:val="clear" w:color="auto" w:fill="FFFFFF"/>
        </w:rPr>
        <w:t>%，较年初预算数增加32.10万元，增长21.09%，主要原因是</w:t>
      </w:r>
      <w:r>
        <w:rPr>
          <w:rFonts w:hint="eastAsia" w:ascii="Times New Roman" w:hAnsi="Times New Roman" w:eastAsia="方正仿宋_GBK" w:cs="方正仿宋_GBK"/>
          <w:sz w:val="32"/>
          <w:szCs w:val="32"/>
          <w:shd w:val="clear" w:color="auto" w:fill="FFFFFF"/>
          <w:lang w:eastAsia="zh-CN"/>
        </w:rPr>
        <w:t>退休职工死亡，抚恤金增加。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）卫生健康支出</w:t>
      </w:r>
      <w:r>
        <w:rPr>
          <w:rFonts w:ascii="Times New Roman" w:hAnsi="Times New Roman" w:eastAsia="方正仿宋_GBK" w:cs="方正仿宋_GBK"/>
          <w:sz w:val="32"/>
          <w:szCs w:val="32"/>
        </w:rPr>
        <w:t>36.48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0.36</w:t>
      </w:r>
      <w:r>
        <w:rPr>
          <w:rFonts w:ascii="Times New Roman" w:hAnsi="Times New Roman" w:eastAsia="方正仿宋_GBK" w:cs="方正仿宋_GBK"/>
          <w:sz w:val="32"/>
          <w:szCs w:val="32"/>
          <w:shd w:val="clear" w:color="auto" w:fill="FFFFFF"/>
        </w:rPr>
        <w:t>%，较年初预算数减少0.21万元，下降0.57%，主要原因是</w:t>
      </w:r>
      <w:r>
        <w:rPr>
          <w:rFonts w:hint="eastAsia" w:ascii="Times New Roman" w:hAnsi="Times New Roman" w:eastAsia="方正仿宋_GBK" w:cs="方正仿宋_GBK"/>
          <w:sz w:val="32"/>
          <w:szCs w:val="32"/>
          <w:shd w:val="clear" w:color="auto" w:fill="FFFFFF"/>
          <w:lang w:eastAsia="zh-CN"/>
        </w:rPr>
        <w:t>医疗补助费用减少。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）节能环保支出</w:t>
      </w:r>
      <w:r>
        <w:rPr>
          <w:rFonts w:ascii="Times New Roman" w:hAnsi="Times New Roman" w:eastAsia="方正仿宋_GBK" w:cs="方正仿宋_GBK"/>
          <w:sz w:val="32"/>
          <w:szCs w:val="32"/>
        </w:rPr>
        <w:t>148.02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1.46</w:t>
      </w:r>
      <w:r>
        <w:rPr>
          <w:rFonts w:ascii="Times New Roman" w:hAnsi="Times New Roman" w:eastAsia="方正仿宋_GBK" w:cs="方正仿宋_GBK"/>
          <w:sz w:val="32"/>
          <w:szCs w:val="32"/>
          <w:shd w:val="clear" w:color="auto" w:fill="FFFFFF"/>
        </w:rPr>
        <w:t>%，较年初预算数减少1215.39万元，下降89.14%，主要原因是</w:t>
      </w:r>
      <w:r>
        <w:rPr>
          <w:rFonts w:hint="eastAsia" w:ascii="Times New Roman" w:hAnsi="Times New Roman" w:eastAsia="方正仿宋_GBK" w:cs="方正仿宋_GBK"/>
          <w:color w:val="auto"/>
          <w:sz w:val="32"/>
          <w:lang w:val="en-US" w:eastAsia="zh-CN"/>
        </w:rPr>
        <w:t>自然保护地管理和</w:t>
      </w:r>
      <w:r>
        <w:rPr>
          <w:rFonts w:hint="eastAsia" w:ascii="Times New Roman" w:hAnsi="Times New Roman" w:eastAsia="方正仿宋_GBK" w:cs="方正仿宋_GBK"/>
          <w:b w:val="0"/>
          <w:bCs w:val="0"/>
          <w:sz w:val="32"/>
          <w:szCs w:val="32"/>
          <w:lang w:val="en-US" w:eastAsia="zh-CN"/>
        </w:rPr>
        <w:t>森林管护项目支出减少。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5</w:t>
      </w:r>
      <w:r>
        <w:rPr>
          <w:rFonts w:ascii="Times New Roman" w:hAnsi="Times New Roman" w:eastAsia="方正仿宋_GBK" w:cs="方正仿宋_GBK"/>
          <w:sz w:val="32"/>
          <w:szCs w:val="32"/>
          <w:shd w:val="clear" w:color="auto" w:fill="FFFFFF"/>
        </w:rPr>
        <w:t>）农林水支出</w:t>
      </w:r>
      <w:r>
        <w:rPr>
          <w:rFonts w:ascii="Times New Roman" w:hAnsi="Times New Roman" w:eastAsia="方正仿宋_GBK" w:cs="方正仿宋_GBK"/>
          <w:sz w:val="32"/>
          <w:szCs w:val="32"/>
        </w:rPr>
        <w:t>8897.9</w:t>
      </w:r>
      <w:r>
        <w:rPr>
          <w:rFonts w:hint="eastAsia" w:ascii="Times New Roman" w:hAnsi="Times New Roman" w:eastAsia="方正仿宋_GBK" w:cs="方正仿宋_GBK"/>
          <w:sz w:val="32"/>
          <w:szCs w:val="32"/>
          <w:lang w:val="en-US" w:eastAsia="zh-CN"/>
        </w:rPr>
        <w:t>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87.62</w:t>
      </w:r>
      <w:r>
        <w:rPr>
          <w:rFonts w:ascii="Times New Roman" w:hAnsi="Times New Roman" w:eastAsia="方正仿宋_GBK" w:cs="方正仿宋_GBK"/>
          <w:sz w:val="32"/>
          <w:szCs w:val="32"/>
          <w:shd w:val="clear" w:color="auto" w:fill="FFFFFF"/>
        </w:rPr>
        <w:t>%，较年初预算数减少2463.27万元，下降21.68%，主要原因是</w:t>
      </w:r>
      <w:r>
        <w:rPr>
          <w:rFonts w:hint="eastAsia" w:ascii="Times New Roman" w:hAnsi="Times New Roman" w:eastAsia="方正仿宋_GBK" w:cs="方正仿宋_GBK"/>
          <w:sz w:val="32"/>
        </w:rPr>
        <w:t>退耕还林项目</w:t>
      </w:r>
      <w:r>
        <w:rPr>
          <w:rFonts w:hint="eastAsia" w:ascii="Times New Roman" w:hAnsi="Times New Roman" w:eastAsia="方正仿宋_GBK" w:cs="方正仿宋_GBK"/>
          <w:sz w:val="32"/>
          <w:lang w:eastAsia="zh-CN"/>
        </w:rPr>
        <w:t>支出</w:t>
      </w:r>
      <w:r>
        <w:rPr>
          <w:rFonts w:hint="eastAsia" w:ascii="Times New Roman" w:hAnsi="Times New Roman" w:eastAsia="方正仿宋_GBK" w:cs="方正仿宋_GBK"/>
          <w:sz w:val="32"/>
        </w:rPr>
        <w:t>减少</w:t>
      </w:r>
      <w:r>
        <w:rPr>
          <w:rFonts w:hint="eastAsia" w:ascii="Times New Roman" w:hAnsi="Times New Roman" w:eastAsia="方正仿宋_GBK" w:cs="方正仿宋_GBK"/>
          <w:color w:val="auto"/>
          <w:sz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6</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住房保障支出31.35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0.31</w:t>
      </w:r>
      <w:r>
        <w:rPr>
          <w:rFonts w:ascii="Times New Roman" w:hAnsi="Times New Roman" w:eastAsia="方正仿宋_GBK" w:cs="方正仿宋_GBK"/>
          <w:sz w:val="32"/>
          <w:szCs w:val="32"/>
          <w:shd w:val="clear" w:color="auto" w:fill="FFFFFF"/>
        </w:rPr>
        <w:t>%，较年初预算数无增减</w:t>
      </w:r>
      <w:r>
        <w:rPr>
          <w:rFonts w:hint="eastAsia" w:ascii="Times New Roman" w:hAnsi="Times New Roman" w:eastAsia="方正仿宋_GBK" w:cs="方正仿宋_GBK"/>
          <w:sz w:val="32"/>
          <w:szCs w:val="32"/>
          <w:shd w:val="clear" w:color="auto" w:fill="FFFFFF"/>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7</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灾害防治及应急管理支出856.66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8.44</w:t>
      </w:r>
      <w:r>
        <w:rPr>
          <w:rFonts w:ascii="Times New Roman" w:hAnsi="Times New Roman" w:eastAsia="方正仿宋_GBK" w:cs="方正仿宋_GBK"/>
          <w:sz w:val="32"/>
          <w:szCs w:val="32"/>
          <w:shd w:val="clear" w:color="auto" w:fill="FFFFFF"/>
        </w:rPr>
        <w:t>%，较年初预算数减少14.34万元，下降1.65%，</w:t>
      </w:r>
      <w:r>
        <w:rPr>
          <w:rFonts w:hint="eastAsia" w:ascii="Times New Roman" w:hAnsi="Times New Roman" w:eastAsia="方正仿宋_GBK" w:cs="方正仿宋_GBK"/>
          <w:color w:val="auto"/>
          <w:sz w:val="32"/>
          <w:lang w:val="en-US" w:eastAsia="zh-CN"/>
        </w:rPr>
        <w:t>主要原因是</w:t>
      </w:r>
      <w:r>
        <w:rPr>
          <w:rFonts w:hint="eastAsia" w:ascii="Times New Roman" w:hAnsi="Times New Roman" w:eastAsia="方正仿宋_GBK" w:cs="方正仿宋_GBK"/>
          <w:b w:val="0"/>
          <w:bCs w:val="0"/>
          <w:sz w:val="32"/>
          <w:szCs w:val="32"/>
          <w:lang w:val="en-US" w:eastAsia="zh-CN"/>
        </w:rPr>
        <w:t>项目需抚育管理验收合格后支付尾款</w:t>
      </w:r>
      <w:r>
        <w:rPr>
          <w:rFonts w:hint="eastAsia" w:ascii="Times New Roman" w:hAnsi="Times New Roman" w:eastAsia="方正仿宋_GBK" w:cs="方正仿宋_GBK"/>
          <w:color w:val="auto"/>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Times New Roman" w:hAnsi="Times New Roman" w:eastAsia="方正楷体_GBK" w:cs="方正楷体_GBK"/>
          <w:sz w:val="32"/>
          <w:szCs w:val="32"/>
          <w:lang w:val="en-US" w:eastAsia="zh-CN"/>
        </w:rPr>
      </w:pPr>
      <w:r>
        <w:rPr>
          <w:rStyle w:val="14"/>
          <w:rFonts w:hint="eastAsia" w:eastAsia="方正楷体_GBK" w:cs="方正楷体_GBK"/>
          <w:b w:val="0"/>
          <w:bCs/>
          <w:kern w:val="2"/>
          <w:sz w:val="32"/>
          <w:szCs w:val="32"/>
          <w:shd w:val="clear" w:color="auto" w:fill="FFFFFF"/>
          <w:lang w:val="en-US" w:eastAsia="zh-CN" w:bidi="ar-SA"/>
        </w:rPr>
        <w:t>（四）</w:t>
      </w:r>
      <w:r>
        <w:rPr>
          <w:rStyle w:val="14"/>
          <w:rFonts w:hint="eastAsia" w:ascii="Times New Roman" w:hAnsi="Times New Roman" w:eastAsia="方正楷体_GBK" w:cs="方正楷体_GBK"/>
          <w:b w:val="0"/>
          <w:bCs/>
          <w:kern w:val="2"/>
          <w:sz w:val="32"/>
          <w:szCs w:val="32"/>
          <w:shd w:val="clear" w:color="auto" w:fill="FFFFFF"/>
          <w:lang w:val="en-US" w:eastAsia="zh-CN" w:bidi="ar-SA"/>
        </w:rPr>
        <w:t>一般公共预算财政拨款基本支出情况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2024年度一般公共预算财政拨款基本支出</w:t>
      </w:r>
      <w:r>
        <w:rPr>
          <w:rFonts w:ascii="Times New Roman" w:hAnsi="Times New Roman" w:eastAsia="方正仿宋_GBK" w:cs="方正仿宋_GBK"/>
          <w:sz w:val="32"/>
          <w:szCs w:val="32"/>
        </w:rPr>
        <w:t>624.28</w:t>
      </w:r>
      <w:r>
        <w:rPr>
          <w:rFonts w:hint="eastAsia" w:ascii="Times New Roman" w:hAnsi="Times New Roman" w:eastAsia="方正仿宋_GBK" w:cs="方正仿宋_GBK"/>
          <w:color w:val="auto"/>
          <w:sz w:val="32"/>
          <w:lang w:val="en-US" w:eastAsia="zh-CN"/>
        </w:rPr>
        <w:t>万元。其中：人员经费</w:t>
      </w:r>
      <w:r>
        <w:rPr>
          <w:rFonts w:ascii="Times New Roman" w:hAnsi="Times New Roman" w:eastAsia="方正仿宋_GBK" w:cs="方正仿宋_GBK"/>
          <w:sz w:val="32"/>
          <w:szCs w:val="32"/>
        </w:rPr>
        <w:t>543.15</w:t>
      </w:r>
      <w:r>
        <w:rPr>
          <w:rFonts w:hint="eastAsia" w:ascii="Times New Roman" w:hAnsi="Times New Roman" w:eastAsia="方正仿宋_GBK" w:cs="方正仿宋_GBK"/>
          <w:color w:val="auto"/>
          <w:sz w:val="32"/>
          <w:lang w:val="en-US" w:eastAsia="zh-CN"/>
        </w:rPr>
        <w:t>万元，主要用于工资福利和对个人和家庭的补助支出，较上年决算数</w:t>
      </w:r>
      <w:r>
        <w:rPr>
          <w:rFonts w:ascii="Times New Roman" w:hAnsi="Times New Roman" w:eastAsia="方正仿宋_GBK" w:cs="方正仿宋_GBK"/>
          <w:sz w:val="32"/>
          <w:szCs w:val="32"/>
          <w:shd w:val="clear" w:color="auto" w:fill="FFFFFF"/>
        </w:rPr>
        <w:t>减少27.32万元，下降4.79</w:t>
      </w:r>
      <w:r>
        <w:rPr>
          <w:rFonts w:hint="eastAsia" w:ascii="Times New Roman" w:hAnsi="Times New Roman" w:eastAsia="方正仿宋_GBK" w:cs="方正仿宋_GBK"/>
          <w:sz w:val="32"/>
          <w:szCs w:val="32"/>
          <w:shd w:val="clear" w:color="auto" w:fill="FFFFFF"/>
          <w:lang w:val="en-US" w:eastAsia="zh-CN"/>
        </w:rPr>
        <w:t>%</w:t>
      </w:r>
      <w:r>
        <w:rPr>
          <w:rFonts w:hint="eastAsia" w:ascii="Times New Roman" w:hAnsi="Times New Roman" w:eastAsia="方正仿宋_GBK" w:cs="方正仿宋_GBK"/>
          <w:color w:val="auto"/>
          <w:sz w:val="32"/>
          <w:lang w:val="en-US" w:eastAsia="zh-CN"/>
        </w:rPr>
        <w:t>，主要原因是人员变动，工资福利支出减少。公用经费</w:t>
      </w:r>
      <w:r>
        <w:rPr>
          <w:rFonts w:ascii="Times New Roman" w:hAnsi="Times New Roman" w:eastAsia="方正仿宋_GBK" w:cs="方正仿宋_GBK"/>
          <w:sz w:val="32"/>
          <w:szCs w:val="32"/>
        </w:rPr>
        <w:t>81.13</w:t>
      </w:r>
      <w:r>
        <w:rPr>
          <w:rFonts w:hint="eastAsia" w:ascii="Times New Roman" w:hAnsi="Times New Roman" w:eastAsia="方正仿宋_GBK" w:cs="方正仿宋_GBK"/>
          <w:color w:val="auto"/>
          <w:sz w:val="32"/>
          <w:lang w:val="en-US" w:eastAsia="zh-CN"/>
        </w:rPr>
        <w:t>万元，主要用于</w:t>
      </w:r>
      <w:r>
        <w:rPr>
          <w:rFonts w:hint="eastAsia" w:ascii="Times New Roman" w:hAnsi="Times New Roman" w:eastAsia="方正仿宋_GBK" w:cs="方正仿宋_GBK"/>
          <w:b w:val="0"/>
          <w:bCs w:val="0"/>
          <w:kern w:val="0"/>
          <w:sz w:val="32"/>
          <w:szCs w:val="32"/>
          <w:shd w:val="clear" w:color="auto" w:fill="FFFFFF"/>
        </w:rPr>
        <w:t>办公费、电费、邮电费、劳务费</w:t>
      </w:r>
      <w:r>
        <w:rPr>
          <w:rFonts w:hint="eastAsia" w:ascii="Times New Roman" w:hAnsi="Times New Roman" w:eastAsia="方正仿宋_GBK" w:cs="方正仿宋_GBK"/>
          <w:b w:val="0"/>
          <w:bCs w:val="0"/>
          <w:kern w:val="0"/>
          <w:sz w:val="32"/>
          <w:szCs w:val="32"/>
          <w:shd w:val="clear" w:color="auto" w:fill="FFFFFF"/>
          <w:lang w:eastAsia="zh-CN"/>
        </w:rPr>
        <w:t>、公务用车运行维护费、</w:t>
      </w:r>
      <w:r>
        <w:rPr>
          <w:rFonts w:hint="eastAsia" w:ascii="Times New Roman" w:hAnsi="Times New Roman" w:eastAsia="方正仿宋_GBK" w:cs="方正仿宋_GBK"/>
          <w:b w:val="0"/>
          <w:bCs w:val="0"/>
          <w:kern w:val="0"/>
          <w:sz w:val="32"/>
          <w:szCs w:val="32"/>
          <w:shd w:val="clear" w:color="auto" w:fill="FFFFFF"/>
        </w:rPr>
        <w:t>差旅费等</w:t>
      </w:r>
      <w:r>
        <w:rPr>
          <w:rFonts w:hint="eastAsia" w:ascii="Times New Roman" w:hAnsi="Times New Roman" w:eastAsia="方正仿宋_GBK" w:cs="方正仿宋_GBK"/>
          <w:color w:val="auto"/>
          <w:sz w:val="32"/>
          <w:lang w:val="en-US" w:eastAsia="zh-CN"/>
        </w:rPr>
        <w:t>，较上年决算数减少</w:t>
      </w:r>
      <w:r>
        <w:rPr>
          <w:rFonts w:ascii="Times New Roman" w:hAnsi="Times New Roman" w:eastAsia="方正仿宋_GBK" w:cs="方正仿宋_GBK"/>
          <w:sz w:val="32"/>
          <w:szCs w:val="32"/>
          <w:shd w:val="clear" w:color="auto" w:fill="FFFFFF"/>
        </w:rPr>
        <w:t>22.66</w:t>
      </w:r>
      <w:r>
        <w:rPr>
          <w:rFonts w:hint="eastAsia" w:ascii="Times New Roman" w:hAnsi="Times New Roman" w:eastAsia="方正仿宋_GBK" w:cs="方正仿宋_GBK"/>
          <w:color w:val="auto"/>
          <w:sz w:val="32"/>
          <w:lang w:val="en-US" w:eastAsia="zh-CN"/>
        </w:rPr>
        <w:t>万元，减少</w:t>
      </w:r>
      <w:r>
        <w:rPr>
          <w:rFonts w:ascii="Times New Roman" w:hAnsi="Times New Roman" w:eastAsia="方正仿宋_GBK" w:cs="方正仿宋_GBK"/>
          <w:sz w:val="32"/>
          <w:szCs w:val="32"/>
          <w:shd w:val="clear" w:color="auto" w:fill="FFFFFF"/>
        </w:rPr>
        <w:t>21.83</w:t>
      </w:r>
      <w:r>
        <w:rPr>
          <w:rFonts w:hint="eastAsia" w:ascii="Times New Roman" w:hAnsi="Times New Roman" w:eastAsia="方正仿宋_GBK" w:cs="方正仿宋_GBK"/>
          <w:color w:val="auto"/>
          <w:sz w:val="32"/>
          <w:lang w:val="en-US" w:eastAsia="zh-CN"/>
        </w:rPr>
        <w:t>%，主要原因是加强单位运行管理，非必要性支出减少。</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（五）政府性基金预算收支决算情况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ascii="Times New Roman" w:hAnsi="Times New Roman" w:eastAsia="方正仿宋_GBK" w:cs="方正仿宋_GBK"/>
          <w:color w:val="auto"/>
          <w:sz w:val="32"/>
          <w:szCs w:val="32"/>
          <w:shd w:val="clear" w:color="auto" w:fill="FFFFFF"/>
        </w:rPr>
        <w:t>本单位</w:t>
      </w:r>
      <w:r>
        <w:rPr>
          <w:rFonts w:hint="eastAsia" w:ascii="Times New Roman" w:hAnsi="Times New Roman" w:eastAsia="方正仿宋_GBK" w:cs="方正仿宋_GBK"/>
          <w:color w:val="auto"/>
          <w:sz w:val="32"/>
          <w:szCs w:val="32"/>
          <w:shd w:val="clear" w:color="auto" w:fill="FFFFFF"/>
          <w:lang w:eastAsia="zh-CN"/>
        </w:rPr>
        <w:t>2024年</w:t>
      </w:r>
      <w:r>
        <w:rPr>
          <w:rFonts w:ascii="Times New Roman" w:hAnsi="Times New Roman" w:eastAsia="方正仿宋_GBK" w:cs="方正仿宋_GBK"/>
          <w:color w:val="auto"/>
          <w:sz w:val="32"/>
          <w:szCs w:val="32"/>
          <w:shd w:val="clear" w:color="auto" w:fill="FFFFFF"/>
        </w:rPr>
        <w:t>度无政府性基金预算财政拨款收支</w:t>
      </w:r>
      <w:r>
        <w:rPr>
          <w:rFonts w:hint="eastAsia" w:ascii="Times New Roman" w:hAnsi="Times New Roman" w:eastAsia="方正仿宋_GBK" w:cs="方正仿宋_GBK"/>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（六）国有资本经营预算财政拨款支出决算情况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ascii="Times New Roman" w:hAnsi="Times New Roman" w:eastAsia="方正仿宋_GBK" w:cs="方正仿宋_GBK"/>
          <w:color w:val="auto"/>
          <w:sz w:val="32"/>
          <w:szCs w:val="32"/>
          <w:shd w:val="clear" w:color="auto" w:fill="FFFFFF"/>
        </w:rPr>
        <w:t>本单位</w:t>
      </w:r>
      <w:r>
        <w:rPr>
          <w:rFonts w:hint="eastAsia" w:ascii="Times New Roman" w:hAnsi="Times New Roman" w:eastAsia="方正仿宋_GBK" w:cs="方正仿宋_GBK"/>
          <w:color w:val="auto"/>
          <w:sz w:val="32"/>
          <w:szCs w:val="32"/>
          <w:shd w:val="clear" w:color="auto" w:fill="FFFFFF"/>
          <w:lang w:eastAsia="zh-CN"/>
        </w:rPr>
        <w:t>2024年</w:t>
      </w:r>
      <w:r>
        <w:rPr>
          <w:rFonts w:ascii="Times New Roman" w:hAnsi="Times New Roman" w:eastAsia="方正仿宋_GBK" w:cs="方正仿宋_GBK"/>
          <w:color w:val="auto"/>
          <w:sz w:val="32"/>
          <w:szCs w:val="32"/>
          <w:shd w:val="clear" w:color="auto" w:fill="FFFFFF"/>
        </w:rPr>
        <w:t>度无国有资本经营预算财政拨款支出。</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Times New Roman" w:hAnsi="Times New Roman" w:eastAsia="方正黑体_GBK" w:cs="方正黑体_GBK"/>
          <w:b w:val="0"/>
          <w:sz w:val="32"/>
          <w:szCs w:val="32"/>
          <w:shd w:val="clear" w:color="auto" w:fill="FFFFFF"/>
        </w:rPr>
      </w:pPr>
      <w:r>
        <w:rPr>
          <w:rStyle w:val="14"/>
          <w:rFonts w:hint="eastAsia" w:ascii="Times New Roman" w:hAnsi="Times New Roman" w:eastAsia="方正黑体_GBK" w:cs="方正黑体_GBK"/>
          <w:b w:val="0"/>
          <w:sz w:val="32"/>
          <w:szCs w:val="32"/>
          <w:shd w:val="clear" w:color="auto" w:fill="FFFFFF"/>
          <w:lang w:val="en-US" w:eastAsia="zh-CN"/>
        </w:rPr>
        <w:t>三、</w:t>
      </w:r>
      <w:r>
        <w:rPr>
          <w:rStyle w:val="14"/>
          <w:rFonts w:hint="eastAsia" w:ascii="Times New Roman" w:hAnsi="Times New Roman" w:eastAsia="方正黑体_GBK" w:cs="方正黑体_GBK"/>
          <w:b w:val="0"/>
          <w:sz w:val="32"/>
          <w:szCs w:val="32"/>
          <w:shd w:val="clear" w:color="auto" w:fill="FFFFFF"/>
        </w:rPr>
        <w:t>“三公”经费情况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（一）“三公”经费支出总体情况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2024年度“三公”经费支出共计</w:t>
      </w:r>
      <w:r>
        <w:rPr>
          <w:rFonts w:ascii="Times New Roman" w:hAnsi="Times New Roman" w:eastAsia="方正仿宋_GBK" w:cs="方正仿宋_GBK"/>
          <w:sz w:val="32"/>
          <w:szCs w:val="32"/>
        </w:rPr>
        <w:t>24.59</w:t>
      </w:r>
      <w:r>
        <w:rPr>
          <w:rFonts w:hint="eastAsia" w:ascii="Times New Roman" w:hAnsi="Times New Roman" w:eastAsia="方正仿宋_GBK" w:cs="方正仿宋_GBK"/>
          <w:color w:val="auto"/>
          <w:sz w:val="32"/>
          <w:lang w:val="en-US" w:eastAsia="zh-CN"/>
        </w:rPr>
        <w:t>万元，较年初预算数</w:t>
      </w:r>
      <w:r>
        <w:rPr>
          <w:rFonts w:ascii="Times New Roman" w:hAnsi="Times New Roman" w:eastAsia="方正仿宋_GBK" w:cs="方正仿宋_GBK"/>
          <w:sz w:val="32"/>
          <w:szCs w:val="32"/>
          <w:shd w:val="clear" w:color="auto" w:fill="FFFFFF"/>
        </w:rPr>
        <w:t>增加14.59万元，增长145.9</w:t>
      </w:r>
      <w:r>
        <w:rPr>
          <w:rFonts w:hint="eastAsia" w:ascii="Times New Roman" w:hAnsi="Times New Roman" w:eastAsia="方正仿宋_GBK" w:cs="方正仿宋_GBK"/>
          <w:color w:val="auto"/>
          <w:sz w:val="32"/>
          <w:lang w:val="en-US" w:eastAsia="zh-CN"/>
        </w:rPr>
        <w:t>%，主要原因是购置公务用车一辆。较上年支出数</w:t>
      </w:r>
      <w:r>
        <w:rPr>
          <w:rFonts w:ascii="Times New Roman" w:hAnsi="Times New Roman" w:eastAsia="方正仿宋_GBK" w:cs="方正仿宋_GBK"/>
          <w:sz w:val="32"/>
          <w:szCs w:val="32"/>
          <w:shd w:val="clear" w:color="auto" w:fill="FFFFFF"/>
        </w:rPr>
        <w:t>增加11.15</w:t>
      </w:r>
      <w:r>
        <w:rPr>
          <w:rFonts w:hint="eastAsia" w:ascii="Times New Roman" w:hAnsi="Times New Roman" w:eastAsia="方正仿宋_GBK" w:cs="方正仿宋_GBK"/>
          <w:color w:val="auto"/>
          <w:sz w:val="32"/>
          <w:lang w:val="en-US" w:eastAsia="zh-CN"/>
        </w:rPr>
        <w:t>万元，</w:t>
      </w:r>
      <w:r>
        <w:rPr>
          <w:rFonts w:ascii="Times New Roman" w:hAnsi="Times New Roman" w:eastAsia="方正仿宋_GBK" w:cs="方正仿宋_GBK"/>
          <w:sz w:val="32"/>
          <w:szCs w:val="32"/>
          <w:shd w:val="clear" w:color="auto" w:fill="FFFFFF"/>
        </w:rPr>
        <w:t>增长82.96</w:t>
      </w:r>
      <w:r>
        <w:rPr>
          <w:rFonts w:hint="eastAsia" w:ascii="Times New Roman" w:hAnsi="Times New Roman" w:eastAsia="方正仿宋_GBK" w:cs="方正仿宋_GBK"/>
          <w:color w:val="auto"/>
          <w:sz w:val="32"/>
          <w:lang w:val="en-US" w:eastAsia="zh-CN"/>
        </w:rPr>
        <w:t>%，主要原因是购置公务用车一辆。</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（二）“三公”经费分项支出情况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因公出国（境）费用0万元。费用支出较年初预算数持平，较上年支出数持平。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公务车购置费用14.59万元，主要用于应急保障车购置。费用支出较年初预算数增加14.59万元，较上年支出数增加</w:t>
      </w:r>
      <w:r>
        <w:rPr>
          <w:rFonts w:ascii="Times New Roman" w:hAnsi="Times New Roman" w:eastAsia="方正仿宋_GBK" w:cs="方正仿宋_GBK"/>
          <w:sz w:val="32"/>
          <w:szCs w:val="32"/>
          <w:shd w:val="clear" w:color="auto" w:fill="FFFFFF"/>
        </w:rPr>
        <w:t>14.59</w:t>
      </w:r>
      <w:r>
        <w:rPr>
          <w:rFonts w:hint="eastAsia" w:ascii="Times New Roman" w:hAnsi="Times New Roman" w:eastAsia="方正仿宋_GBK" w:cs="方正仿宋_GBK"/>
          <w:color w:val="auto"/>
          <w:sz w:val="32"/>
          <w:lang w:val="en-US" w:eastAsia="zh-CN"/>
        </w:rPr>
        <w:t>万元，增长100%，主要原因是2024年购置公务车1辆。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公务车运行维护费9万元，主要用于公务用车燃料费、维修费、保险费、过桥过路费等。费用支出较年初预算数</w:t>
      </w:r>
      <w:r>
        <w:rPr>
          <w:rFonts w:ascii="Times New Roman" w:hAnsi="Times New Roman" w:eastAsia="方正仿宋_GBK" w:cs="方正仿宋_GBK"/>
          <w:sz w:val="32"/>
          <w:szCs w:val="32"/>
          <w:shd w:val="clear" w:color="auto" w:fill="FFFFFF"/>
        </w:rPr>
        <w:t>无增减</w:t>
      </w:r>
      <w:r>
        <w:rPr>
          <w:rFonts w:hint="eastAsia" w:ascii="Times New Roman" w:hAnsi="Times New Roman" w:eastAsia="方正仿宋_GBK" w:cs="方正仿宋_GBK"/>
          <w:color w:val="auto"/>
          <w:sz w:val="32"/>
          <w:lang w:val="en-US" w:eastAsia="zh-CN"/>
        </w:rPr>
        <w:t>，较上年支出数</w:t>
      </w:r>
      <w:r>
        <w:rPr>
          <w:rFonts w:ascii="Times New Roman" w:hAnsi="Times New Roman" w:eastAsia="方正仿宋_GBK" w:cs="方正仿宋_GBK"/>
          <w:sz w:val="32"/>
          <w:szCs w:val="32"/>
          <w:shd w:val="clear" w:color="auto" w:fill="FFFFFF"/>
        </w:rPr>
        <w:t>减少3.46万元，下降27.77</w:t>
      </w:r>
      <w:r>
        <w:rPr>
          <w:rFonts w:hint="eastAsia" w:ascii="Times New Roman" w:hAnsi="Times New Roman" w:eastAsia="方正仿宋_GBK" w:cs="方正仿宋_GBK"/>
          <w:sz w:val="32"/>
          <w:szCs w:val="32"/>
          <w:shd w:val="clear" w:color="auto" w:fill="FFFFFF"/>
          <w:lang w:val="en-US" w:eastAsia="zh-CN"/>
        </w:rPr>
        <w:t>%</w:t>
      </w:r>
      <w:r>
        <w:rPr>
          <w:rFonts w:hint="eastAsia" w:ascii="Times New Roman" w:hAnsi="Times New Roman" w:eastAsia="方正仿宋_GBK" w:cs="方正仿宋_GBK"/>
          <w:color w:val="auto"/>
          <w:sz w:val="32"/>
          <w:lang w:val="en-US" w:eastAsia="zh-CN"/>
        </w:rPr>
        <w:t>，主要原因是严格公车使用审批，费用降低。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公务接待费1万元，主要用于各类公务接待</w:t>
      </w:r>
      <w:r>
        <w:rPr>
          <w:rFonts w:hint="eastAsia" w:eastAsia="方正仿宋_GBK" w:cs="方正仿宋_GBK"/>
          <w:color w:val="auto"/>
          <w:sz w:val="32"/>
          <w:lang w:val="en-US" w:eastAsia="zh-CN"/>
        </w:rPr>
        <w:t>支出</w:t>
      </w:r>
      <w:r>
        <w:rPr>
          <w:rFonts w:hint="eastAsia" w:ascii="Times New Roman" w:hAnsi="Times New Roman" w:eastAsia="方正仿宋_GBK" w:cs="方正仿宋_GBK"/>
          <w:color w:val="auto"/>
          <w:sz w:val="32"/>
          <w:lang w:val="en-US" w:eastAsia="zh-CN"/>
        </w:rPr>
        <w:t>。费用支出较年初预算数</w:t>
      </w:r>
      <w:r>
        <w:rPr>
          <w:rFonts w:ascii="Times New Roman" w:hAnsi="Times New Roman" w:eastAsia="方正仿宋_GBK" w:cs="方正仿宋_GBK"/>
          <w:sz w:val="32"/>
          <w:szCs w:val="32"/>
          <w:shd w:val="clear" w:color="auto" w:fill="FFFFFF"/>
        </w:rPr>
        <w:t>无增减</w:t>
      </w:r>
      <w:r>
        <w:rPr>
          <w:rFonts w:hint="eastAsia" w:ascii="Times New Roman" w:hAnsi="Times New Roman" w:eastAsia="方正仿宋_GBK" w:cs="方正仿宋_GBK"/>
          <w:color w:val="auto"/>
          <w:sz w:val="32"/>
          <w:lang w:val="en-US" w:eastAsia="zh-CN"/>
        </w:rPr>
        <w:t>，较上年支出数增加0.02万元，增长</w:t>
      </w:r>
      <w:r>
        <w:rPr>
          <w:rFonts w:ascii="Times New Roman" w:hAnsi="Times New Roman" w:eastAsia="方正仿宋_GBK" w:cs="方正仿宋_GBK"/>
          <w:sz w:val="32"/>
          <w:szCs w:val="32"/>
          <w:shd w:val="clear" w:color="auto" w:fill="FFFFFF"/>
        </w:rPr>
        <w:t>2.04</w:t>
      </w:r>
      <w:r>
        <w:rPr>
          <w:rFonts w:hint="eastAsia" w:ascii="Times New Roman" w:hAnsi="Times New Roman" w:eastAsia="方正仿宋_GBK" w:cs="方正仿宋_GBK"/>
          <w:sz w:val="32"/>
          <w:szCs w:val="32"/>
          <w:shd w:val="clear" w:color="auto" w:fill="FFFFFF"/>
          <w:lang w:val="en-US" w:eastAsia="zh-CN"/>
        </w:rPr>
        <w:t>%</w:t>
      </w:r>
      <w:r>
        <w:rPr>
          <w:rFonts w:hint="eastAsia" w:ascii="Times New Roman" w:hAnsi="Times New Roman" w:eastAsia="方正仿宋_GBK" w:cs="方正仿宋_GBK"/>
          <w:color w:val="auto"/>
          <w:sz w:val="32"/>
          <w:lang w:val="en-US" w:eastAsia="zh-CN"/>
        </w:rPr>
        <w:t>，主要原因是集体林权制度改革试点工作等，考察学习接待增加。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Times New Roman" w:hAnsi="Times New Roman" w:eastAsia="方正楷体_GBK" w:cs="方正楷体_GBK"/>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（三）“三公”经费实物量情况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2024年度本</w:t>
      </w:r>
      <w:r>
        <w:rPr>
          <w:rFonts w:hint="eastAsia" w:eastAsia="方正仿宋_GBK" w:cs="方正仿宋_GBK"/>
          <w:color w:val="auto"/>
          <w:sz w:val="32"/>
          <w:lang w:val="en-US" w:eastAsia="zh-CN"/>
        </w:rPr>
        <w:t>单位</w:t>
      </w:r>
      <w:r>
        <w:rPr>
          <w:rFonts w:hint="eastAsia" w:ascii="Times New Roman" w:hAnsi="Times New Roman" w:eastAsia="方正仿宋_GBK" w:cs="方正仿宋_GBK"/>
          <w:color w:val="auto"/>
          <w:sz w:val="32"/>
          <w:lang w:val="en-US" w:eastAsia="zh-CN"/>
        </w:rPr>
        <w:t>因公出国（境）共计0个团组，0人；公务用车购置1辆，公务车保有量为3辆；国内公务接待15批次112人，其中：国内外事接待0批次，0人；国（境）外公务接待0批次，0人。人均接待费89.29元，车均购置费14.59万元，车均维护费3万元。</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Times New Roman" w:hAnsi="Times New Roman" w:eastAsia="方正黑体_GBK" w:cs="方正黑体_GBK"/>
          <w:b w:val="0"/>
          <w:sz w:val="32"/>
          <w:szCs w:val="32"/>
          <w:shd w:val="clear" w:color="auto" w:fill="FFFFFF"/>
        </w:rPr>
      </w:pPr>
      <w:r>
        <w:rPr>
          <w:rStyle w:val="14"/>
          <w:rFonts w:hint="eastAsia" w:ascii="Times New Roman" w:hAnsi="Times New Roman" w:eastAsia="方正黑体_GBK" w:cs="方正黑体_GBK"/>
          <w:b w:val="0"/>
          <w:sz w:val="32"/>
          <w:szCs w:val="32"/>
          <w:shd w:val="clear" w:color="auto" w:fill="FFFFFF"/>
          <w:lang w:val="en-US" w:eastAsia="zh-CN"/>
        </w:rPr>
        <w:t>四、</w:t>
      </w:r>
      <w:r>
        <w:rPr>
          <w:rStyle w:val="14"/>
          <w:rFonts w:hint="eastAsia" w:ascii="Times New Roman" w:hAnsi="Times New Roman" w:eastAsia="方正黑体_GBK" w:cs="方正黑体_GBK"/>
          <w:b w:val="0"/>
          <w:sz w:val="32"/>
          <w:szCs w:val="32"/>
          <w:shd w:val="clear" w:color="auto" w:fill="FFFFFF"/>
        </w:rPr>
        <w:t>其他需要说明的事项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（一）财政拨款会议费和培训费情况</w:t>
      </w:r>
    </w:p>
    <w:p>
      <w:pPr>
        <w:keepNext w:val="0"/>
        <w:keepLines w:val="0"/>
        <w:pageBreakBefore w:val="0"/>
        <w:kinsoku/>
        <w:wordWrap/>
        <w:overflowPunct/>
        <w:topLinePunct w:val="0"/>
        <w:autoSpaceDN/>
        <w:bidi w:val="0"/>
        <w:snapToGrid/>
        <w:spacing w:line="579" w:lineRule="exact"/>
        <w:ind w:firstLine="640" w:firstLineChars="200"/>
        <w:textAlignment w:val="auto"/>
        <w:rPr>
          <w:rFonts w:hint="eastAsia" w:ascii="Times New Roman" w:hAnsi="Times New Roman" w:eastAsia="方正仿宋_GBK" w:cs="方正仿宋_GBK"/>
          <w:color w:val="FF0000"/>
          <w:sz w:val="32"/>
          <w:szCs w:val="32"/>
          <w:lang w:val="en-US" w:eastAsia="zh-CN"/>
        </w:rPr>
      </w:pPr>
      <w:r>
        <w:rPr>
          <w:rFonts w:hint="eastAsia" w:ascii="Times New Roman" w:hAnsi="Times New Roman" w:eastAsia="方正仿宋_GBK" w:cs="方正仿宋_GBK"/>
          <w:sz w:val="32"/>
          <w:szCs w:val="32"/>
          <w:shd w:val="clear" w:color="auto" w:fill="FFFFFF"/>
          <w:lang w:val="en-US" w:eastAsia="zh-CN"/>
        </w:rPr>
        <w:t>2024</w:t>
      </w:r>
      <w:r>
        <w:rPr>
          <w:rFonts w:ascii="Times New Roman" w:hAnsi="Times New Roman" w:eastAsia="方正仿宋_GBK" w:cs="方正仿宋_GBK"/>
          <w:sz w:val="32"/>
          <w:szCs w:val="32"/>
          <w:shd w:val="clear" w:color="auto" w:fill="FFFFFF"/>
        </w:rPr>
        <w:t>年度会议费支出</w:t>
      </w:r>
      <w:r>
        <w:rPr>
          <w:rFonts w:hint="eastAsia" w:ascii="Times New Roman" w:hAnsi="Times New Roman" w:eastAsia="方正仿宋_GBK" w:cs="方正仿宋_GBK"/>
          <w:sz w:val="32"/>
          <w:szCs w:val="32"/>
          <w:lang w:val="en-US" w:eastAsia="zh-CN"/>
        </w:rPr>
        <w:t>0.73</w:t>
      </w:r>
      <w:r>
        <w:rPr>
          <w:rFonts w:ascii="Times New Roman" w:hAnsi="Times New Roman" w:eastAsia="方正仿宋_GBK" w:cs="方正仿宋_GBK"/>
          <w:sz w:val="32"/>
          <w:szCs w:val="32"/>
          <w:shd w:val="clear" w:color="auto" w:fill="FFFFFF"/>
        </w:rPr>
        <w:t>万元，与2023年度相比，增加0.2万元，增长37.74%，主要原因是</w:t>
      </w:r>
      <w:r>
        <w:rPr>
          <w:rFonts w:hint="eastAsia" w:ascii="Times New Roman" w:hAnsi="Times New Roman" w:eastAsia="方正仿宋_GBK" w:cs="方正仿宋_GBK"/>
          <w:sz w:val="32"/>
          <w:szCs w:val="32"/>
          <w:shd w:val="clear" w:color="auto" w:fill="FFFFFF"/>
          <w:lang w:eastAsia="zh-CN"/>
        </w:rPr>
        <w:t>在本区召开全市集体林权改革试点工作会，费用增加</w:t>
      </w:r>
      <w:r>
        <w:rPr>
          <w:rFonts w:ascii="Times New Roman" w:hAnsi="Times New Roman" w:eastAsia="方正仿宋_GBK" w:cs="方正仿宋_GBK"/>
          <w:sz w:val="32"/>
          <w:szCs w:val="32"/>
          <w:shd w:val="clear" w:color="auto" w:fill="FFFFFF"/>
        </w:rPr>
        <w:t>。本年度培训费支出</w:t>
      </w:r>
      <w:r>
        <w:rPr>
          <w:rFonts w:ascii="Times New Roman" w:hAnsi="Times New Roman" w:eastAsia="方正仿宋_GBK" w:cs="方正仿宋_GBK"/>
          <w:sz w:val="32"/>
          <w:szCs w:val="32"/>
        </w:rPr>
        <w:t>1.09</w:t>
      </w:r>
      <w:r>
        <w:rPr>
          <w:rFonts w:ascii="Times New Roman" w:hAnsi="Times New Roman" w:eastAsia="方正仿宋_GBK" w:cs="方正仿宋_GBK"/>
          <w:sz w:val="32"/>
          <w:szCs w:val="32"/>
          <w:shd w:val="clear" w:color="auto" w:fill="FFFFFF"/>
        </w:rPr>
        <w:t>万元，与2023年度相比，减少1.33万元，下降54.96%，主要原因是</w:t>
      </w:r>
      <w:r>
        <w:rPr>
          <w:rFonts w:hint="eastAsia" w:ascii="Times New Roman" w:hAnsi="Times New Roman" w:eastAsia="方正仿宋_GBK" w:cs="方正仿宋_GBK"/>
          <w:sz w:val="32"/>
          <w:szCs w:val="32"/>
          <w:shd w:val="clear" w:color="auto" w:fill="FFFFFF"/>
          <w:lang w:eastAsia="zh-CN"/>
        </w:rPr>
        <w:t>非必要性外出培训减少</w:t>
      </w:r>
      <w:r>
        <w:rPr>
          <w:rFonts w:ascii="Times New Roman" w:hAnsi="Times New Roman" w:eastAsia="方正仿宋_GBK" w:cs="方正仿宋_GBK"/>
          <w:sz w:val="32"/>
          <w:szCs w:val="32"/>
          <w:shd w:val="clear" w:color="auto"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（二）机关运行经费情况</w:t>
      </w:r>
    </w:p>
    <w:p>
      <w:pPr>
        <w:keepNext w:val="0"/>
        <w:keepLines w:val="0"/>
        <w:pageBreakBefore w:val="0"/>
        <w:kinsoku/>
        <w:wordWrap/>
        <w:overflowPunct/>
        <w:topLinePunct w:val="0"/>
        <w:autoSpaceDN/>
        <w:bidi w:val="0"/>
        <w:snapToGrid/>
        <w:spacing w:line="579"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202</w:t>
      </w:r>
      <w:r>
        <w:rPr>
          <w:rFonts w:hint="eastAsia" w:ascii="Times New Roman" w:hAnsi="Times New Roman" w:eastAsia="方正仿宋_GBK" w:cs="方正仿宋_GBK"/>
          <w:kern w:val="0"/>
          <w:sz w:val="32"/>
          <w:szCs w:val="32"/>
          <w:lang w:val="en-US" w:eastAsia="zh-CN"/>
        </w:rPr>
        <w:t>4</w:t>
      </w:r>
      <w:r>
        <w:rPr>
          <w:rFonts w:hint="eastAsia" w:ascii="Times New Roman" w:hAnsi="Times New Roman" w:eastAsia="方正仿宋_GBK" w:cs="方正仿宋_GBK"/>
          <w:kern w:val="0"/>
          <w:sz w:val="32"/>
          <w:szCs w:val="32"/>
        </w:rPr>
        <w:t>年度本</w:t>
      </w:r>
      <w:r>
        <w:rPr>
          <w:rFonts w:hint="eastAsia" w:eastAsia="方正仿宋_GBK" w:cs="方正仿宋_GBK"/>
          <w:kern w:val="0"/>
          <w:sz w:val="32"/>
          <w:szCs w:val="32"/>
          <w:lang w:val="en-US" w:eastAsia="zh-CN"/>
        </w:rPr>
        <w:t>单位</w:t>
      </w:r>
      <w:r>
        <w:rPr>
          <w:rFonts w:hint="eastAsia" w:ascii="Times New Roman" w:hAnsi="Times New Roman" w:eastAsia="方正仿宋_GBK" w:cs="方正仿宋_GBK"/>
          <w:kern w:val="0"/>
          <w:sz w:val="32"/>
          <w:szCs w:val="32"/>
        </w:rPr>
        <w:t>机关运行经费支出</w:t>
      </w:r>
      <w:r>
        <w:rPr>
          <w:rFonts w:hint="eastAsia" w:ascii="Times New Roman" w:hAnsi="Times New Roman" w:eastAsia="方正仿宋_GBK" w:cs="方正仿宋_GBK"/>
          <w:kern w:val="0"/>
          <w:sz w:val="32"/>
          <w:szCs w:val="32"/>
          <w:lang w:val="en-US" w:eastAsia="zh-CN"/>
        </w:rPr>
        <w:t>81.13</w:t>
      </w:r>
      <w:r>
        <w:rPr>
          <w:rFonts w:hint="eastAsia" w:ascii="Times New Roman" w:hAnsi="Times New Roman" w:eastAsia="方正仿宋_GBK" w:cs="方正仿宋_GBK"/>
          <w:kern w:val="0"/>
          <w:sz w:val="32"/>
          <w:szCs w:val="32"/>
        </w:rPr>
        <w:t>万元，</w:t>
      </w:r>
      <w:r>
        <w:rPr>
          <w:rFonts w:hint="eastAsia" w:ascii="Times New Roman" w:hAnsi="Times New Roman" w:eastAsia="方正仿宋_GBK" w:cs="方正仿宋_GBK"/>
          <w:kern w:val="0"/>
          <w:sz w:val="32"/>
          <w:szCs w:val="32"/>
          <w:lang w:val="en-US" w:eastAsia="zh-CN"/>
        </w:rPr>
        <w:t>较上年</w:t>
      </w:r>
      <w:r>
        <w:rPr>
          <w:rFonts w:hint="eastAsia" w:ascii="Times New Roman" w:hAnsi="Times New Roman" w:eastAsia="方正仿宋_GBK" w:cs="方正仿宋_GBK"/>
          <w:kern w:val="0"/>
          <w:sz w:val="32"/>
          <w:szCs w:val="32"/>
          <w:lang w:eastAsia="zh-CN"/>
        </w:rPr>
        <w:t>减少</w:t>
      </w:r>
      <w:r>
        <w:rPr>
          <w:rFonts w:hint="eastAsia" w:ascii="Times New Roman" w:hAnsi="Times New Roman" w:eastAsia="方正仿宋_GBK" w:cs="方正仿宋_GBK"/>
          <w:kern w:val="0"/>
          <w:sz w:val="32"/>
          <w:szCs w:val="32"/>
          <w:lang w:val="en-US" w:eastAsia="zh-CN"/>
        </w:rPr>
        <w:t>22.67</w:t>
      </w:r>
      <w:r>
        <w:rPr>
          <w:rFonts w:hint="eastAsia" w:ascii="Times New Roman" w:hAnsi="Times New Roman" w:eastAsia="方正仿宋_GBK" w:cs="方正仿宋_GBK"/>
          <w:kern w:val="0"/>
          <w:sz w:val="32"/>
          <w:szCs w:val="32"/>
        </w:rPr>
        <w:t>万元，</w:t>
      </w:r>
      <w:r>
        <w:rPr>
          <w:rFonts w:ascii="Times New Roman" w:hAnsi="Times New Roman" w:eastAsia="方正仿宋_GBK" w:cs="方正仿宋_GBK"/>
          <w:sz w:val="32"/>
          <w:szCs w:val="32"/>
          <w:shd w:val="clear" w:color="auto" w:fill="FFFFFF"/>
        </w:rPr>
        <w:t>下降21.8</w:t>
      </w:r>
      <w:r>
        <w:rPr>
          <w:rFonts w:hint="eastAsia" w:ascii="Times New Roman" w:hAnsi="Times New Roman" w:eastAsia="方正仿宋_GBK" w:cs="方正仿宋_GBK"/>
          <w:sz w:val="32"/>
          <w:szCs w:val="32"/>
          <w:shd w:val="clear" w:color="auto" w:fill="FFFFFF"/>
          <w:lang w:val="en-US" w:eastAsia="zh-CN"/>
        </w:rPr>
        <w:t>4</w:t>
      </w:r>
      <w:r>
        <w:rPr>
          <w:rFonts w:hint="eastAsia" w:ascii="Times New Roman" w:hAnsi="Times New Roman" w:eastAsia="方正仿宋_GBK" w:cs="方正仿宋_GBK"/>
          <w:kern w:val="0"/>
          <w:sz w:val="32"/>
          <w:szCs w:val="32"/>
        </w:rPr>
        <w:t>%，主要原因是</w:t>
      </w:r>
      <w:r>
        <w:rPr>
          <w:rFonts w:hint="eastAsia" w:ascii="Times New Roman" w:hAnsi="Times New Roman" w:eastAsia="方正仿宋_GBK" w:cs="方正仿宋_GBK"/>
          <w:kern w:val="0"/>
          <w:sz w:val="32"/>
          <w:szCs w:val="32"/>
          <w:lang w:val="en-US" w:eastAsia="zh-CN"/>
        </w:rPr>
        <w:t>加强机关运行管理，倡导节能减排，降低运行成本</w:t>
      </w:r>
      <w:r>
        <w:rPr>
          <w:rFonts w:hint="eastAsia" w:ascii="Times New Roman" w:hAnsi="Times New Roman" w:eastAsia="方正仿宋_GBK" w:cs="方正仿宋_GBK"/>
          <w:kern w:val="0"/>
          <w:sz w:val="32"/>
          <w:szCs w:val="32"/>
        </w:rPr>
        <w:t>。机关运</w:t>
      </w:r>
      <w:r>
        <w:rPr>
          <w:rFonts w:hint="eastAsia" w:ascii="Times New Roman" w:hAnsi="Times New Roman" w:eastAsia="方正仿宋_GBK" w:cs="方正仿宋_GBK"/>
          <w:kern w:val="0"/>
          <w:sz w:val="32"/>
          <w:szCs w:val="32"/>
          <w:lang w:eastAsia="zh-CN"/>
        </w:rPr>
        <w:t>行</w:t>
      </w:r>
      <w:r>
        <w:rPr>
          <w:rFonts w:hint="eastAsia" w:ascii="Times New Roman" w:hAnsi="Times New Roman" w:eastAsia="方正仿宋_GBK" w:cs="方正仿宋_GBK"/>
          <w:kern w:val="0"/>
          <w:sz w:val="32"/>
          <w:szCs w:val="32"/>
        </w:rPr>
        <w:t>经费主要用于</w:t>
      </w:r>
      <w:r>
        <w:rPr>
          <w:rFonts w:hint="eastAsia" w:ascii="Times New Roman" w:hAnsi="Times New Roman" w:eastAsia="方正仿宋_GBK" w:cs="方正仿宋_GBK"/>
          <w:b w:val="0"/>
          <w:bCs w:val="0"/>
          <w:kern w:val="0"/>
          <w:sz w:val="32"/>
          <w:szCs w:val="32"/>
          <w:shd w:val="clear" w:color="auto" w:fill="FFFFFF"/>
        </w:rPr>
        <w:t>办公费、</w:t>
      </w:r>
      <w:r>
        <w:rPr>
          <w:rFonts w:hint="eastAsia" w:ascii="Times New Roman" w:hAnsi="Times New Roman" w:eastAsia="方正仿宋_GBK" w:cs="方正仿宋_GBK"/>
          <w:b w:val="0"/>
          <w:bCs w:val="0"/>
          <w:kern w:val="0"/>
          <w:sz w:val="32"/>
          <w:szCs w:val="32"/>
          <w:shd w:val="clear" w:color="auto" w:fill="FFFFFF"/>
          <w:lang w:eastAsia="zh-CN"/>
        </w:rPr>
        <w:t>邮电</w:t>
      </w:r>
      <w:r>
        <w:rPr>
          <w:rFonts w:hint="eastAsia" w:ascii="Times New Roman" w:hAnsi="Times New Roman" w:eastAsia="方正仿宋_GBK" w:cs="方正仿宋_GBK"/>
          <w:b w:val="0"/>
          <w:bCs w:val="0"/>
          <w:kern w:val="0"/>
          <w:sz w:val="32"/>
          <w:szCs w:val="32"/>
          <w:shd w:val="clear" w:color="auto" w:fill="FFFFFF"/>
        </w:rPr>
        <w:t>费、差旅费</w:t>
      </w:r>
      <w:r>
        <w:rPr>
          <w:rFonts w:hint="eastAsia" w:ascii="Times New Roman" w:hAnsi="Times New Roman" w:eastAsia="方正仿宋_GBK" w:cs="方正仿宋_GBK"/>
          <w:b w:val="0"/>
          <w:bCs w:val="0"/>
          <w:kern w:val="0"/>
          <w:sz w:val="32"/>
          <w:szCs w:val="32"/>
          <w:shd w:val="clear" w:color="auto" w:fill="FFFFFF"/>
          <w:lang w:eastAsia="zh-CN"/>
        </w:rPr>
        <w:t>、</w:t>
      </w:r>
      <w:r>
        <w:rPr>
          <w:rFonts w:hint="eastAsia" w:ascii="Times New Roman" w:hAnsi="Times New Roman" w:eastAsia="方正仿宋_GBK" w:cs="方正仿宋_GBK"/>
          <w:sz w:val="32"/>
          <w:szCs w:val="32"/>
        </w:rPr>
        <w:t>办公用房水电费、</w:t>
      </w:r>
      <w:r>
        <w:rPr>
          <w:rFonts w:hint="eastAsia" w:ascii="Times New Roman" w:hAnsi="Times New Roman" w:eastAsia="方正仿宋_GBK" w:cs="方正仿宋_GBK"/>
          <w:b w:val="0"/>
          <w:bCs w:val="0"/>
          <w:kern w:val="0"/>
          <w:sz w:val="32"/>
          <w:szCs w:val="32"/>
          <w:shd w:val="clear" w:color="auto" w:fill="FFFFFF"/>
          <w:lang w:eastAsia="zh-CN"/>
        </w:rPr>
        <w:t>公务用车运行维护费</w:t>
      </w:r>
      <w:r>
        <w:rPr>
          <w:rFonts w:hint="eastAsia" w:ascii="Times New Roman" w:hAnsi="Times New Roman" w:eastAsia="方正仿宋_GBK" w:cs="方正仿宋_GBK"/>
          <w:b w:val="0"/>
          <w:bCs w:val="0"/>
          <w:kern w:val="0"/>
          <w:sz w:val="32"/>
          <w:szCs w:val="32"/>
          <w:shd w:val="clear" w:color="auto" w:fill="FFFFFF"/>
        </w:rPr>
        <w:t>等</w:t>
      </w:r>
      <w:r>
        <w:rPr>
          <w:rFonts w:hint="eastAsia" w:ascii="Times New Roman" w:hAnsi="Times New Roman" w:eastAsia="方正仿宋_GBK" w:cs="方正仿宋_GBK"/>
          <w:kern w:val="0"/>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（三）国有资产占用情况说明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截至202</w:t>
      </w:r>
      <w:r>
        <w:rPr>
          <w:rFonts w:hint="eastAsia" w:ascii="Times New Roman" w:hAnsi="Times New Roman" w:eastAsia="方正仿宋_GBK" w:cs="方正仿宋_GBK"/>
          <w:kern w:val="0"/>
          <w:sz w:val="32"/>
          <w:szCs w:val="32"/>
          <w:lang w:val="en-US" w:eastAsia="zh-CN"/>
        </w:rPr>
        <w:t>4</w:t>
      </w:r>
      <w:r>
        <w:rPr>
          <w:rFonts w:hint="eastAsia" w:ascii="Times New Roman" w:hAnsi="Times New Roman" w:eastAsia="方正仿宋_GBK" w:cs="方正仿宋_GBK"/>
          <w:kern w:val="0"/>
          <w:sz w:val="32"/>
          <w:szCs w:val="32"/>
        </w:rPr>
        <w:t>年12月31日，本</w:t>
      </w:r>
      <w:r>
        <w:rPr>
          <w:rFonts w:hint="eastAsia" w:eastAsia="方正仿宋_GBK" w:cs="方正仿宋_GBK"/>
          <w:kern w:val="0"/>
          <w:sz w:val="32"/>
          <w:szCs w:val="32"/>
          <w:lang w:eastAsia="zh-CN"/>
        </w:rPr>
        <w:t>单位</w:t>
      </w:r>
      <w:r>
        <w:rPr>
          <w:rFonts w:hint="eastAsia" w:ascii="Times New Roman" w:hAnsi="Times New Roman" w:eastAsia="方正仿宋_GBK" w:cs="方正仿宋_GBK"/>
          <w:kern w:val="0"/>
          <w:sz w:val="32"/>
          <w:szCs w:val="32"/>
        </w:rPr>
        <w:t>共有车辆</w:t>
      </w:r>
      <w:r>
        <w:rPr>
          <w:rFonts w:hint="eastAsia" w:ascii="Times New Roman" w:hAnsi="Times New Roman" w:eastAsia="方正仿宋_GBK" w:cs="方正仿宋_GBK"/>
          <w:kern w:val="0"/>
          <w:sz w:val="32"/>
          <w:szCs w:val="32"/>
          <w:lang w:val="en-US" w:eastAsia="zh-CN"/>
        </w:rPr>
        <w:t>3</w:t>
      </w:r>
      <w:r>
        <w:rPr>
          <w:rFonts w:hint="eastAsia" w:ascii="Times New Roman" w:hAnsi="Times New Roman" w:eastAsia="方正仿宋_GBK" w:cs="方正仿宋_GBK"/>
          <w:kern w:val="0"/>
          <w:sz w:val="32"/>
          <w:szCs w:val="32"/>
        </w:rPr>
        <w:t>辆。其中：副部（省）级及以上领导用车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辆，主要</w:t>
      </w:r>
      <w:r>
        <w:rPr>
          <w:rFonts w:hint="eastAsia" w:ascii="Times New Roman" w:hAnsi="Times New Roman" w:eastAsia="方正仿宋_GBK" w:cs="方正仿宋_GBK"/>
          <w:kern w:val="0"/>
          <w:sz w:val="32"/>
          <w:szCs w:val="32"/>
          <w:lang w:val="en-US" w:eastAsia="zh-CN"/>
        </w:rPr>
        <w:t>负责人</w:t>
      </w:r>
      <w:r>
        <w:rPr>
          <w:rFonts w:hint="eastAsia" w:ascii="Times New Roman" w:hAnsi="Times New Roman" w:eastAsia="方正仿宋_GBK" w:cs="方正仿宋_GBK"/>
          <w:kern w:val="0"/>
          <w:sz w:val="32"/>
          <w:szCs w:val="32"/>
        </w:rPr>
        <w:t>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辆，机要通信用车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辆，应急保障用车</w:t>
      </w:r>
      <w:r>
        <w:rPr>
          <w:rFonts w:hint="eastAsia" w:ascii="Times New Roman" w:hAnsi="Times New Roman" w:eastAsia="方正仿宋_GBK" w:cs="方正仿宋_GBK"/>
          <w:kern w:val="0"/>
          <w:sz w:val="32"/>
          <w:szCs w:val="32"/>
          <w:lang w:val="en-US" w:eastAsia="zh-CN"/>
        </w:rPr>
        <w:t>3</w:t>
      </w:r>
      <w:r>
        <w:rPr>
          <w:rFonts w:hint="eastAsia" w:ascii="Times New Roman" w:hAnsi="Times New Roman" w:eastAsia="方正仿宋_GBK" w:cs="方正仿宋_GBK"/>
          <w:kern w:val="0"/>
          <w:sz w:val="32"/>
          <w:szCs w:val="32"/>
        </w:rPr>
        <w:t>辆，执法执勤用车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辆，特种专业技术用车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辆，离退休干部</w:t>
      </w:r>
      <w:r>
        <w:rPr>
          <w:rFonts w:hint="eastAsia" w:ascii="Times New Roman" w:hAnsi="Times New Roman" w:eastAsia="方正仿宋_GBK" w:cs="方正仿宋_GBK"/>
          <w:kern w:val="0"/>
          <w:sz w:val="32"/>
          <w:szCs w:val="32"/>
          <w:lang w:val="en-US" w:eastAsia="zh-CN"/>
        </w:rPr>
        <w:t>服务</w:t>
      </w:r>
      <w:r>
        <w:rPr>
          <w:rFonts w:hint="eastAsia" w:ascii="Times New Roman" w:hAnsi="Times New Roman" w:eastAsia="方正仿宋_GBK" w:cs="方正仿宋_GBK"/>
          <w:kern w:val="0"/>
          <w:sz w:val="32"/>
          <w:szCs w:val="32"/>
        </w:rPr>
        <w:t>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辆，其他用车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辆。单价100万元（含）以上设备</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不含车辆</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台（套）。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（四）政府采购支出说明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kern w:val="0"/>
          <w:sz w:val="32"/>
          <w:szCs w:val="32"/>
        </w:rPr>
        <w:t>202</w:t>
      </w:r>
      <w:r>
        <w:rPr>
          <w:rFonts w:hint="eastAsia" w:ascii="Times New Roman" w:hAnsi="Times New Roman" w:eastAsia="方正仿宋_GBK" w:cs="方正仿宋_GBK"/>
          <w:kern w:val="0"/>
          <w:sz w:val="32"/>
          <w:szCs w:val="32"/>
          <w:lang w:val="en-US" w:eastAsia="zh-CN"/>
        </w:rPr>
        <w:t>4</w:t>
      </w:r>
      <w:r>
        <w:rPr>
          <w:rFonts w:hint="eastAsia" w:ascii="Times New Roman" w:hAnsi="Times New Roman" w:eastAsia="方正仿宋_GBK" w:cs="方正仿宋_GBK"/>
          <w:kern w:val="0"/>
          <w:sz w:val="32"/>
          <w:szCs w:val="32"/>
        </w:rPr>
        <w:t>年度本</w:t>
      </w:r>
      <w:r>
        <w:rPr>
          <w:rFonts w:hint="eastAsia" w:eastAsia="方正仿宋_GBK" w:cs="方正仿宋_GBK"/>
          <w:kern w:val="0"/>
          <w:sz w:val="32"/>
          <w:szCs w:val="32"/>
          <w:lang w:eastAsia="zh-CN"/>
        </w:rPr>
        <w:t>单位</w:t>
      </w:r>
      <w:r>
        <w:rPr>
          <w:rFonts w:hint="eastAsia" w:ascii="Times New Roman" w:hAnsi="Times New Roman" w:eastAsia="方正仿宋_GBK" w:cs="方正仿宋_GBK"/>
          <w:kern w:val="0"/>
          <w:sz w:val="32"/>
          <w:szCs w:val="32"/>
        </w:rPr>
        <w:t>政府采购支出总额</w:t>
      </w:r>
      <w:r>
        <w:rPr>
          <w:rFonts w:ascii="Times New Roman" w:hAnsi="Times New Roman" w:eastAsia="方正仿宋_GBK" w:cs="方正仿宋_GBK"/>
          <w:sz w:val="32"/>
          <w:szCs w:val="32"/>
        </w:rPr>
        <w:t>2027.22</w:t>
      </w:r>
      <w:r>
        <w:rPr>
          <w:rFonts w:hint="eastAsia" w:ascii="Times New Roman" w:hAnsi="Times New Roman" w:eastAsia="方正仿宋_GBK" w:cs="方正仿宋_GBK"/>
          <w:kern w:val="0"/>
          <w:sz w:val="32"/>
          <w:szCs w:val="32"/>
        </w:rPr>
        <w:t>万元，其中：政府采购货物支出</w:t>
      </w:r>
      <w:r>
        <w:rPr>
          <w:rFonts w:ascii="Times New Roman" w:hAnsi="Times New Roman" w:eastAsia="方正仿宋_GBK" w:cs="方正仿宋_GBK"/>
          <w:sz w:val="32"/>
          <w:szCs w:val="32"/>
        </w:rPr>
        <w:t>335.47</w:t>
      </w:r>
      <w:r>
        <w:rPr>
          <w:rFonts w:hint="eastAsia" w:ascii="Times New Roman" w:hAnsi="Times New Roman" w:eastAsia="方正仿宋_GBK" w:cs="方正仿宋_GBK"/>
          <w:kern w:val="0"/>
          <w:sz w:val="32"/>
          <w:szCs w:val="32"/>
        </w:rPr>
        <w:t>万元、政府采购工程支出</w:t>
      </w:r>
      <w:r>
        <w:rPr>
          <w:rFonts w:hint="eastAsia" w:ascii="Times New Roman" w:hAnsi="Times New Roman" w:eastAsia="方正仿宋_GBK" w:cs="方正仿宋_GBK"/>
          <w:kern w:val="0"/>
          <w:sz w:val="32"/>
          <w:szCs w:val="32"/>
          <w:lang w:val="en-US" w:eastAsia="zh-CN"/>
        </w:rPr>
        <w:t>959.7</w:t>
      </w:r>
      <w:r>
        <w:rPr>
          <w:rFonts w:hint="eastAsia" w:ascii="Times New Roman" w:hAnsi="Times New Roman" w:eastAsia="方正仿宋_GBK" w:cs="方正仿宋_GBK"/>
          <w:kern w:val="0"/>
          <w:sz w:val="32"/>
          <w:szCs w:val="32"/>
        </w:rPr>
        <w:t>万元、政府采购服务支出</w:t>
      </w:r>
      <w:r>
        <w:rPr>
          <w:rFonts w:ascii="Times New Roman" w:hAnsi="Times New Roman" w:eastAsia="方正仿宋_GBK" w:cs="方正仿宋_GBK"/>
          <w:sz w:val="32"/>
          <w:szCs w:val="32"/>
        </w:rPr>
        <w:t>732.06</w:t>
      </w:r>
      <w:r>
        <w:rPr>
          <w:rFonts w:hint="eastAsia" w:ascii="Times New Roman" w:hAnsi="Times New Roman" w:eastAsia="方正仿宋_GBK" w:cs="方正仿宋_GBK"/>
          <w:kern w:val="0"/>
          <w:sz w:val="32"/>
          <w:szCs w:val="32"/>
        </w:rPr>
        <w:t>万元。授予中小企业合同金额</w:t>
      </w:r>
      <w:r>
        <w:rPr>
          <w:rFonts w:ascii="Times New Roman" w:hAnsi="Times New Roman" w:eastAsia="方正仿宋_GBK" w:cs="方正仿宋_GBK"/>
          <w:sz w:val="32"/>
          <w:szCs w:val="32"/>
        </w:rPr>
        <w:t>1887.37</w:t>
      </w:r>
      <w:r>
        <w:rPr>
          <w:rFonts w:hint="eastAsia" w:ascii="Times New Roman" w:hAnsi="Times New Roman" w:eastAsia="方正仿宋_GBK" w:cs="方正仿宋_GBK"/>
          <w:kern w:val="0"/>
          <w:sz w:val="32"/>
          <w:szCs w:val="32"/>
        </w:rPr>
        <w:t>万元，占政府采购支出总额的</w:t>
      </w:r>
      <w:r>
        <w:rPr>
          <w:rFonts w:ascii="Times New Roman" w:hAnsi="Times New Roman" w:eastAsia="方正仿宋_GBK" w:cs="方正仿宋_GBK"/>
          <w:sz w:val="32"/>
          <w:szCs w:val="32"/>
        </w:rPr>
        <w:t>93.1</w:t>
      </w:r>
      <w:r>
        <w:rPr>
          <w:rFonts w:hint="eastAsia" w:ascii="Times New Roman" w:hAnsi="Times New Roman" w:eastAsia="方正仿宋_GBK" w:cs="方正仿宋_GBK"/>
          <w:kern w:val="0"/>
          <w:sz w:val="32"/>
          <w:szCs w:val="32"/>
        </w:rPr>
        <w:t>%，其中：授予小微企业合同金额</w:t>
      </w:r>
      <w:r>
        <w:rPr>
          <w:rFonts w:ascii="Times New Roman" w:hAnsi="Times New Roman" w:eastAsia="方正仿宋_GBK" w:cs="方正仿宋_GBK"/>
          <w:sz w:val="32"/>
          <w:szCs w:val="32"/>
        </w:rPr>
        <w:t>1693.57</w:t>
      </w:r>
      <w:r>
        <w:rPr>
          <w:rFonts w:hint="eastAsia" w:ascii="Times New Roman" w:hAnsi="Times New Roman" w:eastAsia="方正仿宋_GBK" w:cs="方正仿宋_GBK"/>
          <w:kern w:val="0"/>
          <w:sz w:val="32"/>
          <w:szCs w:val="32"/>
        </w:rPr>
        <w:t>万元，占政府采购支出总额的</w:t>
      </w:r>
      <w:r>
        <w:rPr>
          <w:rFonts w:ascii="Times New Roman" w:hAnsi="Times New Roman" w:eastAsia="方正仿宋_GBK" w:cs="方正仿宋_GBK"/>
          <w:sz w:val="32"/>
          <w:szCs w:val="32"/>
        </w:rPr>
        <w:t>83.54</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color w:val="auto"/>
          <w:sz w:val="32"/>
          <w:lang w:val="en-US" w:eastAsia="zh-CN"/>
        </w:rPr>
        <w:t>主要用于采购有害生物监测和林业管理建设等。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Times New Roman" w:hAnsi="Times New Roman" w:eastAsia="方正黑体_GBK" w:cs="方正黑体_GBK"/>
          <w:b w:val="0"/>
          <w:bCs/>
          <w:sz w:val="32"/>
          <w:szCs w:val="32"/>
          <w:lang w:eastAsia="zh-CN"/>
        </w:rPr>
      </w:pPr>
      <w:r>
        <w:rPr>
          <w:rStyle w:val="8"/>
          <w:rFonts w:hint="eastAsia" w:ascii="Times New Roman" w:hAnsi="Times New Roman" w:eastAsia="方正黑体_GBK" w:cs="方正黑体_GBK"/>
          <w:b w:val="0"/>
          <w:bCs/>
          <w:sz w:val="32"/>
          <w:szCs w:val="32"/>
          <w:shd w:val="clear" w:color="auto" w:fill="FFFFFF"/>
        </w:rPr>
        <w:t>五、预算绩效管理情况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Fonts w:hint="eastAsia" w:ascii="Times New Roman" w:hAnsi="Times New Roman" w:eastAsia="方正楷体_GBK" w:cs="方正楷体_GBK"/>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（一）预算绩效管理工作开展情况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kern w:val="0"/>
          <w:sz w:val="32"/>
          <w:szCs w:val="32"/>
        </w:rPr>
        <w:t>根据预算绩效管理要求，我</w:t>
      </w:r>
      <w:r>
        <w:rPr>
          <w:rFonts w:hint="eastAsia" w:ascii="Times New Roman" w:hAnsi="Times New Roman" w:eastAsia="方正仿宋_GBK" w:cs="方正仿宋_GBK"/>
          <w:kern w:val="0"/>
          <w:sz w:val="32"/>
          <w:szCs w:val="32"/>
          <w:lang w:eastAsia="zh-CN"/>
        </w:rPr>
        <w:t>单位</w:t>
      </w:r>
      <w:r>
        <w:rPr>
          <w:rFonts w:hint="eastAsia" w:ascii="Times New Roman" w:hAnsi="Times New Roman" w:eastAsia="方正仿宋_GBK" w:cs="方正仿宋_GBK"/>
          <w:kern w:val="0"/>
          <w:sz w:val="32"/>
          <w:szCs w:val="32"/>
        </w:rPr>
        <w:t>对</w:t>
      </w:r>
      <w:r>
        <w:rPr>
          <w:rFonts w:hint="eastAsia" w:ascii="Times New Roman" w:hAnsi="Times New Roman" w:eastAsia="方正仿宋_GBK" w:cs="方正仿宋_GBK"/>
          <w:kern w:val="0"/>
          <w:sz w:val="32"/>
          <w:szCs w:val="32"/>
          <w:lang w:val="en-US" w:eastAsia="zh-CN"/>
        </w:rPr>
        <w:t>44</w:t>
      </w:r>
      <w:r>
        <w:rPr>
          <w:rFonts w:hint="eastAsia" w:ascii="Times New Roman" w:hAnsi="Times New Roman" w:eastAsia="方正仿宋_GBK" w:cs="方正仿宋_GBK"/>
          <w:kern w:val="0"/>
          <w:sz w:val="32"/>
          <w:szCs w:val="32"/>
        </w:rPr>
        <w:t>个项目开展了绩效自评，其中，以填报目标自评表形式开展自评</w:t>
      </w:r>
      <w:r>
        <w:rPr>
          <w:rFonts w:hint="eastAsia" w:ascii="Times New Roman" w:hAnsi="Times New Roman" w:eastAsia="方正仿宋_GBK" w:cs="方正仿宋_GBK"/>
          <w:kern w:val="0"/>
          <w:sz w:val="32"/>
          <w:szCs w:val="32"/>
          <w:lang w:val="en-US" w:eastAsia="zh-CN"/>
        </w:rPr>
        <w:t>44</w:t>
      </w:r>
      <w:r>
        <w:rPr>
          <w:rFonts w:hint="eastAsia" w:ascii="Times New Roman" w:hAnsi="Times New Roman" w:eastAsia="方正仿宋_GBK" w:cs="方正仿宋_GBK"/>
          <w:kern w:val="0"/>
          <w:sz w:val="32"/>
          <w:szCs w:val="32"/>
        </w:rPr>
        <w:t>项，涉及资金</w:t>
      </w:r>
      <w:r>
        <w:rPr>
          <w:rFonts w:hint="eastAsia" w:ascii="Times New Roman" w:hAnsi="Times New Roman" w:eastAsia="方正仿宋_GBK" w:cs="方正仿宋_GBK"/>
          <w:kern w:val="0"/>
          <w:sz w:val="32"/>
          <w:szCs w:val="32"/>
          <w:lang w:val="en-US" w:eastAsia="zh-CN"/>
        </w:rPr>
        <w:t>9531.35</w:t>
      </w:r>
      <w:r>
        <w:rPr>
          <w:rFonts w:hint="eastAsia" w:ascii="Times New Roman" w:hAnsi="Times New Roman" w:eastAsia="方正仿宋_GBK" w:cs="方正仿宋_GBK"/>
          <w:kern w:val="0"/>
          <w:sz w:val="32"/>
          <w:szCs w:val="32"/>
        </w:rPr>
        <w:t>万元</w:t>
      </w:r>
      <w:r>
        <w:rPr>
          <w:rFonts w:hint="eastAsia" w:ascii="Times New Roman" w:hAnsi="Times New Roman" w:eastAsia="方正仿宋_GBK" w:cs="方正仿宋_GBK"/>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（二）绩效自评结果</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3" w:firstLineChars="200"/>
        <w:jc w:val="left"/>
        <w:textAlignment w:val="auto"/>
        <w:rPr>
          <w:rFonts w:hint="eastAsia" w:ascii="Times New Roman" w:hAnsi="Times New Roman" w:eastAsia="方正仿宋_GBK" w:cs="方正仿宋_GBK"/>
          <w:b/>
          <w:bCs/>
          <w:color w:val="auto"/>
          <w:sz w:val="32"/>
          <w:lang w:val="en-US" w:eastAsia="zh-CN"/>
        </w:rPr>
      </w:pPr>
      <w:r>
        <w:rPr>
          <w:rFonts w:hint="eastAsia" w:ascii="Times New Roman" w:hAnsi="Times New Roman" w:eastAsia="方正仿宋_GBK" w:cs="方正仿宋_GBK"/>
          <w:b/>
          <w:bCs/>
          <w:color w:val="auto"/>
          <w:sz w:val="32"/>
          <w:lang w:val="en-US" w:eastAsia="zh-CN"/>
        </w:rPr>
        <w:t>1.绩效目标自评表</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公开内容。详见表格。</w:t>
      </w: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Times New Roman" w:hAnsi="Times New Roman" w:eastAsia="方正黑体_GBK" w:cs="方正黑体_GBK"/>
          <w:b w:val="0"/>
          <w:bCs w:val="0"/>
          <w:color w:val="000000"/>
          <w:kern w:val="0"/>
          <w:sz w:val="36"/>
          <w:szCs w:val="36"/>
        </w:rPr>
      </w:pPr>
      <w:r>
        <w:rPr>
          <w:rFonts w:hint="eastAsia" w:ascii="Times New Roman" w:hAnsi="Times New Roman" w:eastAsia="方正黑体_GBK" w:cs="方正黑体_GBK"/>
          <w:b w:val="0"/>
          <w:bCs w:val="0"/>
          <w:color w:val="000000"/>
          <w:kern w:val="0"/>
          <w:sz w:val="36"/>
          <w:szCs w:val="36"/>
          <w:lang w:val="en-US" w:eastAsia="zh-CN"/>
        </w:rPr>
        <w:t>2024年度项目</w:t>
      </w:r>
      <w:r>
        <w:rPr>
          <w:rFonts w:hint="eastAsia" w:ascii="Times New Roman" w:hAnsi="Times New Roman"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184"/>
        <w:gridCol w:w="846"/>
        <w:gridCol w:w="34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70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森林生态效益补偿补助</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48"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重庆市江津区林业局</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农业农村科</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lang w:eastAsia="zh-CN"/>
              </w:rPr>
              <w:t>陈玉麟</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084" w:type="dxa"/>
            <w:gridSpan w:val="3"/>
            <w:tcBorders>
              <w:tl2br w:val="nil"/>
              <w:tr2bl w:val="nil"/>
            </w:tcBorders>
            <w:noWrap w:val="0"/>
            <w:vAlign w:val="center"/>
          </w:tcPr>
          <w:p>
            <w:pPr>
              <w:pStyle w:val="5"/>
              <w:keepNext w:val="0"/>
              <w:keepLines w:val="0"/>
              <w:widowControl/>
              <w:suppressLineNumbers w:val="0"/>
              <w:spacing w:line="585" w:lineRule="atLeast"/>
              <w:rPr>
                <w:rFonts w:hint="eastAsia" w:ascii="宋体" w:hAnsi="宋体" w:eastAsia="方正仿宋_GBK" w:cs="方正仿宋_GBK"/>
                <w:color w:val="000000"/>
                <w:kern w:val="0"/>
                <w:sz w:val="24"/>
                <w:szCs w:val="24"/>
              </w:rPr>
            </w:pPr>
            <w:r>
              <w:rPr>
                <w:rFonts w:ascii="方正仿宋_GBK" w:hAnsi="方正仿宋_GBK" w:eastAsia="方正仿宋_GBK" w:cs="方正仿宋_GBK"/>
                <w:color w:val="000000"/>
                <w:sz w:val="24"/>
                <w:szCs w:val="24"/>
              </w:rPr>
              <w:t>023-47513639</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829.52</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666.15</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666.15</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84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kern w:val="0"/>
                <w:sz w:val="24"/>
                <w:szCs w:val="24"/>
                <w:lang w:val="en-US" w:eastAsia="zh-CN"/>
              </w:rPr>
            </w:pPr>
            <w:r>
              <w:rPr>
                <w:rFonts w:hint="eastAsia" w:ascii="宋体" w:hAnsi="宋体" w:eastAsia="方正仿宋_GBK" w:cs="方正仿宋_GBK"/>
                <w:kern w:val="0"/>
                <w:sz w:val="24"/>
                <w:szCs w:val="24"/>
                <w:lang w:val="en-US" w:eastAsia="zh-CN"/>
              </w:rPr>
              <w:t>10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829.52</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666.15</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666.15</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84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kern w:val="0"/>
                <w:sz w:val="24"/>
                <w:szCs w:val="24"/>
                <w:lang w:val="en-US" w:eastAsia="zh-CN"/>
              </w:rPr>
              <w:t>10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保护全区公益林，保护森林资源。</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及时足额的完成了公益林直补及管护费支付工作，保障了直补对象的权益，切实保护了森林资源。</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及时足额的完成了公益林直补及管护费支付工作，保障了直补对象的权益，切实保护了森林资源。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权重（分）</w:t>
            </w:r>
          </w:p>
        </w:tc>
        <w:tc>
          <w:tcPr>
            <w:tcW w:w="119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地方公益林面积</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万亩</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44</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44</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19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全区公益林管护面积</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万亩</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50.96</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50.96</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19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公益林补偿标准</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元/亩</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16</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16</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19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公益林直补覆盖率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19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直补对象满意度</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90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19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公益林管护费标准</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元/亩</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ascii="宋体" w:hAnsi="宋体"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3</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18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19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bl>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_GBK" w:cs="方正仿宋_GBK"/>
          <w:b/>
          <w:bCs w:val="0"/>
          <w:kern w:val="0"/>
          <w:sz w:val="32"/>
          <w:szCs w:val="32"/>
        </w:rPr>
      </w:pPr>
      <w:r>
        <w:rPr>
          <w:rFonts w:hint="eastAsia" w:ascii="Times New Roman" w:hAnsi="Times New Roman" w:eastAsia="方正仿宋_GBK" w:cs="方正仿宋_GBK"/>
          <w:b/>
          <w:bCs w:val="0"/>
          <w:kern w:val="0"/>
          <w:sz w:val="32"/>
          <w:szCs w:val="32"/>
          <w:lang w:val="en-US" w:eastAsia="zh-CN"/>
        </w:rPr>
        <w:t>2.</w:t>
      </w:r>
      <w:r>
        <w:rPr>
          <w:rFonts w:hint="eastAsia" w:ascii="Times New Roman" w:hAnsi="Times New Roman" w:eastAsia="方正仿宋_GBK" w:cs="方正仿宋_GBK"/>
          <w:b/>
          <w:bCs w:val="0"/>
          <w:kern w:val="0"/>
          <w:sz w:val="32"/>
          <w:szCs w:val="32"/>
        </w:rPr>
        <w:t>绩效自评报告或案例</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val="en-US" w:eastAsia="zh-CN"/>
        </w:rPr>
        <w:t>本单位无此事项。</w:t>
      </w: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lang w:val="en-US" w:eastAsia="zh-CN"/>
        </w:rPr>
        <w:t>3.</w:t>
      </w:r>
      <w:r>
        <w:rPr>
          <w:rFonts w:hint="eastAsia" w:ascii="Times New Roman" w:hAnsi="Times New Roman" w:eastAsia="方正仿宋_GBK" w:cs="方正仿宋_GBK"/>
          <w:b/>
          <w:bCs/>
          <w:color w:val="000000"/>
          <w:kern w:val="0"/>
          <w:sz w:val="32"/>
          <w:szCs w:val="32"/>
        </w:rPr>
        <w:t>关于绩效自评结果的说明</w:t>
      </w: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64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val="en-US" w:eastAsia="zh-CN"/>
        </w:rPr>
        <w:t>本单位2024</w:t>
      </w:r>
      <w:r>
        <w:rPr>
          <w:rFonts w:hint="eastAsia" w:ascii="Times New Roman" w:hAnsi="Times New Roman" w:eastAsia="方正仿宋_GBK" w:cs="方正仿宋_GBK"/>
          <w:kern w:val="0"/>
          <w:sz w:val="32"/>
          <w:szCs w:val="32"/>
        </w:rPr>
        <w:t>年度绩效目标</w:t>
      </w:r>
      <w:r>
        <w:rPr>
          <w:rFonts w:hint="eastAsia" w:ascii="Times New Roman" w:hAnsi="Times New Roman" w:eastAsia="方正仿宋_GBK" w:cs="方正仿宋_GBK"/>
          <w:kern w:val="0"/>
          <w:sz w:val="32"/>
          <w:szCs w:val="32"/>
          <w:lang w:eastAsia="zh-CN"/>
        </w:rPr>
        <w:t>已完成</w:t>
      </w:r>
      <w:r>
        <w:rPr>
          <w:rFonts w:hint="eastAsia" w:ascii="Times New Roman" w:hAnsi="Times New Roman" w:eastAsia="方正仿宋_GBK" w:cs="方正仿宋_GBK"/>
          <w:kern w:val="0"/>
          <w:sz w:val="32"/>
          <w:szCs w:val="32"/>
        </w:rPr>
        <w:t>。</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Times New Roman" w:hAnsi="Times New Roman" w:eastAsia="方正楷体_GBK" w:cs="方正楷体_GBK"/>
          <w:color w:val="333333"/>
          <w:sz w:val="32"/>
          <w:szCs w:val="32"/>
        </w:rPr>
      </w:pPr>
      <w:r>
        <w:rPr>
          <w:rFonts w:hint="eastAsia" w:ascii="Times New Roman" w:hAnsi="Times New Roman" w:eastAsia="方正楷体_GBK" w:cs="方正楷体_GBK"/>
          <w:color w:val="333333"/>
          <w:sz w:val="32"/>
          <w:szCs w:val="32"/>
        </w:rPr>
        <w:t>（三）重点绩效评价结果</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val="en-US" w:eastAsia="zh-CN"/>
        </w:rPr>
        <w:t>本单位无此事项。</w:t>
      </w: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firstLine="640" w:firstLineChars="200"/>
        <w:textAlignment w:val="auto"/>
        <w:outlineLvl w:val="0"/>
        <w:rPr>
          <w:rFonts w:hint="eastAsia" w:ascii="Times New Roman" w:hAnsi="Times New Roman" w:eastAsia="方正黑体_GBK" w:cs="方正黑体_GBK"/>
          <w:sz w:val="32"/>
          <w:szCs w:val="32"/>
        </w:rPr>
      </w:pPr>
      <w:r>
        <w:rPr>
          <w:rFonts w:hint="eastAsia" w:eastAsia="方正黑体_GBK" w:cs="方正黑体_GBK"/>
          <w:sz w:val="32"/>
          <w:szCs w:val="32"/>
          <w:lang w:eastAsia="zh-CN"/>
        </w:rPr>
        <w:t>六、</w:t>
      </w:r>
      <w:r>
        <w:rPr>
          <w:rFonts w:hint="eastAsia" w:ascii="Times New Roman" w:hAnsi="Times New Roman" w:eastAsia="方正黑体_GBK" w:cs="方正黑体_GBK"/>
          <w:sz w:val="32"/>
          <w:szCs w:val="32"/>
        </w:rPr>
        <w:t>专业名词解释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五</w:t>
      </w:r>
      <w:r>
        <w:rPr>
          <w:rFonts w:hint="eastAsia" w:ascii="Times New Roman" w:hAnsi="Times New Roman" w:eastAsia="方正仿宋_GBK" w:cs="方正仿宋_GBK"/>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六</w:t>
      </w:r>
      <w:r>
        <w:rPr>
          <w:rFonts w:hint="eastAsia" w:ascii="Times New Roman" w:hAnsi="Times New Roman" w:eastAsia="方正仿宋_GBK" w:cs="方正仿宋_GBK"/>
          <w:sz w:val="32"/>
          <w:szCs w:val="32"/>
        </w:rPr>
        <w:t>）结余分配：指单位按照国家有关规定，缴纳所得税、提取专用基金、转入非财政拨款结余等当年结余的分配情况。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七</w:t>
      </w:r>
      <w:r>
        <w:rPr>
          <w:rFonts w:hint="eastAsia" w:ascii="Times New Roman" w:hAnsi="Times New Roman" w:eastAsia="方正仿宋_GBK" w:cs="方正仿宋_GBK"/>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八</w:t>
      </w:r>
      <w:r>
        <w:rPr>
          <w:rFonts w:hint="eastAsia" w:ascii="Times New Roman" w:hAnsi="Times New Roman"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九</w:t>
      </w:r>
      <w:r>
        <w:rPr>
          <w:rFonts w:hint="eastAsia" w:ascii="Times New Roman" w:hAnsi="Times New Roman" w:eastAsia="方正仿宋_GBK" w:cs="方正仿宋_GBK"/>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rPr>
        <w:t>）工资福利支出（支出经济分类科目类级）：反映单位开支的在职职工和编制外长期聘用人员的各类劳动报酬，以及为上述人员缴纳的各项社会保险费等。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rPr>
        <w:t>）对个人和家庭的补助（支出经济分类科目类级）：反映用于对个人和家庭的补助支出。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五</w:t>
      </w:r>
      <w:r>
        <w:rPr>
          <w:rFonts w:hint="eastAsia" w:ascii="Times New Roman" w:hAnsi="Times New Roman"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七、决算公开联系方式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本单位决算公开信息反馈和联系方式：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lang w:val="en-US" w:eastAsia="zh-CN"/>
        </w:rPr>
        <w:t>联系人：唐小波</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联系电话：023-47528265</w:t>
      </w:r>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3EE"/>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17A4A"/>
    <w:rsid w:val="03B74B35"/>
    <w:rsid w:val="03D862B6"/>
    <w:rsid w:val="03FB4D0B"/>
    <w:rsid w:val="045B484E"/>
    <w:rsid w:val="047841EE"/>
    <w:rsid w:val="04A56073"/>
    <w:rsid w:val="04AD2B7D"/>
    <w:rsid w:val="04E841EF"/>
    <w:rsid w:val="05081AD1"/>
    <w:rsid w:val="052E6699"/>
    <w:rsid w:val="056E28D8"/>
    <w:rsid w:val="057728DC"/>
    <w:rsid w:val="05912D04"/>
    <w:rsid w:val="05C1448E"/>
    <w:rsid w:val="05C1761D"/>
    <w:rsid w:val="05D90398"/>
    <w:rsid w:val="05E52FAD"/>
    <w:rsid w:val="060A24AD"/>
    <w:rsid w:val="06327617"/>
    <w:rsid w:val="07640956"/>
    <w:rsid w:val="07A34544"/>
    <w:rsid w:val="08190B33"/>
    <w:rsid w:val="08C10882"/>
    <w:rsid w:val="08C7668D"/>
    <w:rsid w:val="08CC205B"/>
    <w:rsid w:val="08DB1609"/>
    <w:rsid w:val="09327D67"/>
    <w:rsid w:val="097859D4"/>
    <w:rsid w:val="09823D8A"/>
    <w:rsid w:val="09B96A55"/>
    <w:rsid w:val="09C9617E"/>
    <w:rsid w:val="0A256F8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CDE54E5"/>
    <w:rsid w:val="0D4A231C"/>
    <w:rsid w:val="0DBA0DC1"/>
    <w:rsid w:val="0DCE605A"/>
    <w:rsid w:val="0E5158C5"/>
    <w:rsid w:val="0EA66A76"/>
    <w:rsid w:val="0EAD6E68"/>
    <w:rsid w:val="0EB15612"/>
    <w:rsid w:val="0EC05658"/>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6C7EE2"/>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7C36800"/>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E53145"/>
    <w:rsid w:val="1BFD1CC9"/>
    <w:rsid w:val="1C96385A"/>
    <w:rsid w:val="1CC40A0C"/>
    <w:rsid w:val="1CE92F5C"/>
    <w:rsid w:val="1D437979"/>
    <w:rsid w:val="1D4708B1"/>
    <w:rsid w:val="1D656164"/>
    <w:rsid w:val="1E8900BD"/>
    <w:rsid w:val="1ECB269E"/>
    <w:rsid w:val="1EE66C3C"/>
    <w:rsid w:val="1EF96BEA"/>
    <w:rsid w:val="1F116510"/>
    <w:rsid w:val="1F1C3B7B"/>
    <w:rsid w:val="1FFD4283"/>
    <w:rsid w:val="200551AB"/>
    <w:rsid w:val="200C1C23"/>
    <w:rsid w:val="205932DE"/>
    <w:rsid w:val="20A03801"/>
    <w:rsid w:val="20BC5FF2"/>
    <w:rsid w:val="219D4F8D"/>
    <w:rsid w:val="222807B1"/>
    <w:rsid w:val="22435D4E"/>
    <w:rsid w:val="2245419D"/>
    <w:rsid w:val="22DA4A11"/>
    <w:rsid w:val="22FE317D"/>
    <w:rsid w:val="237704D4"/>
    <w:rsid w:val="23891077"/>
    <w:rsid w:val="23A1558C"/>
    <w:rsid w:val="23BE50B1"/>
    <w:rsid w:val="23FB55E7"/>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27E3C"/>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AB3CD1"/>
    <w:rsid w:val="2AE168E0"/>
    <w:rsid w:val="2B2F33CE"/>
    <w:rsid w:val="2B5B07C3"/>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15AFC"/>
    <w:rsid w:val="2F2C0A85"/>
    <w:rsid w:val="2F3D1F6D"/>
    <w:rsid w:val="2F414FFF"/>
    <w:rsid w:val="2F8D5831"/>
    <w:rsid w:val="2FA6445E"/>
    <w:rsid w:val="2FAC25DB"/>
    <w:rsid w:val="2FAF3097"/>
    <w:rsid w:val="2FB617C0"/>
    <w:rsid w:val="300C6664"/>
    <w:rsid w:val="30450B4E"/>
    <w:rsid w:val="30465275"/>
    <w:rsid w:val="31061102"/>
    <w:rsid w:val="318C461F"/>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984C6A"/>
    <w:rsid w:val="37C77C1E"/>
    <w:rsid w:val="388010B8"/>
    <w:rsid w:val="38FA6DBA"/>
    <w:rsid w:val="390E5CB1"/>
    <w:rsid w:val="39474657"/>
    <w:rsid w:val="394E2214"/>
    <w:rsid w:val="399A1E48"/>
    <w:rsid w:val="39A10C32"/>
    <w:rsid w:val="39CC7911"/>
    <w:rsid w:val="39E44839"/>
    <w:rsid w:val="3A457B72"/>
    <w:rsid w:val="3A4A2286"/>
    <w:rsid w:val="3A7566C5"/>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3F7D1B"/>
    <w:rsid w:val="40552C1F"/>
    <w:rsid w:val="4057229F"/>
    <w:rsid w:val="405F7DEE"/>
    <w:rsid w:val="40992FB0"/>
    <w:rsid w:val="40DB7824"/>
    <w:rsid w:val="410115DD"/>
    <w:rsid w:val="418A21AD"/>
    <w:rsid w:val="419110A3"/>
    <w:rsid w:val="41A212A1"/>
    <w:rsid w:val="41EC42BB"/>
    <w:rsid w:val="4239228E"/>
    <w:rsid w:val="427D5341"/>
    <w:rsid w:val="428A1304"/>
    <w:rsid w:val="42E44C98"/>
    <w:rsid w:val="431B6113"/>
    <w:rsid w:val="438834DF"/>
    <w:rsid w:val="43A20A3C"/>
    <w:rsid w:val="440B4462"/>
    <w:rsid w:val="44445B80"/>
    <w:rsid w:val="444C66C3"/>
    <w:rsid w:val="44630F9F"/>
    <w:rsid w:val="446A3603"/>
    <w:rsid w:val="45655EB4"/>
    <w:rsid w:val="458B573C"/>
    <w:rsid w:val="45A06A01"/>
    <w:rsid w:val="45CE60A3"/>
    <w:rsid w:val="461C57E1"/>
    <w:rsid w:val="464D2106"/>
    <w:rsid w:val="46572A53"/>
    <w:rsid w:val="465B2718"/>
    <w:rsid w:val="46651F6D"/>
    <w:rsid w:val="467A5D86"/>
    <w:rsid w:val="46BE763A"/>
    <w:rsid w:val="46C178CC"/>
    <w:rsid w:val="46F31024"/>
    <w:rsid w:val="46FD3AFE"/>
    <w:rsid w:val="471E0A34"/>
    <w:rsid w:val="4723739A"/>
    <w:rsid w:val="47250EF5"/>
    <w:rsid w:val="47781CF8"/>
    <w:rsid w:val="47C21415"/>
    <w:rsid w:val="48206AB3"/>
    <w:rsid w:val="4849652E"/>
    <w:rsid w:val="48697A3C"/>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A458E4"/>
    <w:rsid w:val="4EF42EFE"/>
    <w:rsid w:val="4F870D42"/>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3C2FF3"/>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07A1C"/>
    <w:rsid w:val="5DF574B1"/>
    <w:rsid w:val="5E01598A"/>
    <w:rsid w:val="5E0518AE"/>
    <w:rsid w:val="5E7319C7"/>
    <w:rsid w:val="5F3F14B1"/>
    <w:rsid w:val="5F4A1944"/>
    <w:rsid w:val="5F736A1C"/>
    <w:rsid w:val="5F7C1524"/>
    <w:rsid w:val="61431576"/>
    <w:rsid w:val="61582E8E"/>
    <w:rsid w:val="61B07674"/>
    <w:rsid w:val="61D16983"/>
    <w:rsid w:val="62422D6E"/>
    <w:rsid w:val="63B16DA6"/>
    <w:rsid w:val="64325BAA"/>
    <w:rsid w:val="6474563E"/>
    <w:rsid w:val="64DD2E2F"/>
    <w:rsid w:val="650C79CC"/>
    <w:rsid w:val="651F0B40"/>
    <w:rsid w:val="654A3BA1"/>
    <w:rsid w:val="65720792"/>
    <w:rsid w:val="65727ED4"/>
    <w:rsid w:val="658D11B9"/>
    <w:rsid w:val="65A15618"/>
    <w:rsid w:val="65CF07A3"/>
    <w:rsid w:val="660467A7"/>
    <w:rsid w:val="66471D7C"/>
    <w:rsid w:val="667D6EFB"/>
    <w:rsid w:val="66FD7813"/>
    <w:rsid w:val="67825ED9"/>
    <w:rsid w:val="67A0385B"/>
    <w:rsid w:val="67B37940"/>
    <w:rsid w:val="686C2A53"/>
    <w:rsid w:val="689C4BB9"/>
    <w:rsid w:val="68A245E2"/>
    <w:rsid w:val="68B0544A"/>
    <w:rsid w:val="690F3CAF"/>
    <w:rsid w:val="6A0C28CE"/>
    <w:rsid w:val="6A650A4D"/>
    <w:rsid w:val="6B1A2C39"/>
    <w:rsid w:val="6B7060C6"/>
    <w:rsid w:val="6C60029B"/>
    <w:rsid w:val="6C927168"/>
    <w:rsid w:val="6D502409"/>
    <w:rsid w:val="6D8C5247"/>
    <w:rsid w:val="6E4B451B"/>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43463B"/>
    <w:rsid w:val="74557B08"/>
    <w:rsid w:val="745909D3"/>
    <w:rsid w:val="74757604"/>
    <w:rsid w:val="750B3FEC"/>
    <w:rsid w:val="756026FD"/>
    <w:rsid w:val="757027FD"/>
    <w:rsid w:val="764C7835"/>
    <w:rsid w:val="76606237"/>
    <w:rsid w:val="76BC0040"/>
    <w:rsid w:val="76E97240"/>
    <w:rsid w:val="77547F95"/>
    <w:rsid w:val="77581BDC"/>
    <w:rsid w:val="77DF77F2"/>
    <w:rsid w:val="77E968BE"/>
    <w:rsid w:val="77F53FBA"/>
    <w:rsid w:val="77FE3901"/>
    <w:rsid w:val="78A056D5"/>
    <w:rsid w:val="78B612F9"/>
    <w:rsid w:val="78B86F01"/>
    <w:rsid w:val="78BD180A"/>
    <w:rsid w:val="78BD2213"/>
    <w:rsid w:val="78CA62AD"/>
    <w:rsid w:val="792A02A6"/>
    <w:rsid w:val="79383F91"/>
    <w:rsid w:val="796C56F2"/>
    <w:rsid w:val="79DA4CD9"/>
    <w:rsid w:val="79DC3C10"/>
    <w:rsid w:val="79F32D29"/>
    <w:rsid w:val="7A3031E0"/>
    <w:rsid w:val="7A5F3AF6"/>
    <w:rsid w:val="7A640644"/>
    <w:rsid w:val="7A66765A"/>
    <w:rsid w:val="7AB07AB2"/>
    <w:rsid w:val="7B7C3CE3"/>
    <w:rsid w:val="7B84301F"/>
    <w:rsid w:val="7B937DA9"/>
    <w:rsid w:val="7BB813CF"/>
    <w:rsid w:val="7BCE02EA"/>
    <w:rsid w:val="7BEC2378"/>
    <w:rsid w:val="7BFB159A"/>
    <w:rsid w:val="7C240326"/>
    <w:rsid w:val="7C4C64F5"/>
    <w:rsid w:val="7C5365EF"/>
    <w:rsid w:val="7C5F4A2B"/>
    <w:rsid w:val="7C6E6F9B"/>
    <w:rsid w:val="7C724B1A"/>
    <w:rsid w:val="7D7B5AEE"/>
    <w:rsid w:val="7DDB79A8"/>
    <w:rsid w:val="7DE6477E"/>
    <w:rsid w:val="7E17286F"/>
    <w:rsid w:val="7E265B35"/>
    <w:rsid w:val="7E395726"/>
    <w:rsid w:val="7E54076D"/>
    <w:rsid w:val="7E836D97"/>
    <w:rsid w:val="7E8E73EF"/>
    <w:rsid w:val="7EDB2297"/>
    <w:rsid w:val="7EF23A73"/>
    <w:rsid w:val="7F523D4E"/>
    <w:rsid w:val="7F7D4793"/>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1882</Words>
  <Characters>1942</Characters>
  <Lines>16</Lines>
  <Paragraphs>4</Paragraphs>
  <TotalTime>6</TotalTime>
  <ScaleCrop>false</ScaleCrop>
  <LinksUpToDate>false</LinksUpToDate>
  <CharactersWithSpaces>1947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2021-07-06T22:32:00Z</dcterms:created>
  <dc:creator>微软用户</dc:creator>
  <cp:lastModifiedBy>uos</cp:lastModifiedBy>
  <cp:lastPrinted>2023-08-10T17:16:00Z</cp:lastPrinted>
  <dcterms:modified xsi:type="dcterms:W3CDTF">2025-08-21T14:27:11Z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C5C051BE58ED47B681D748640379E264</vt:lpwstr>
  </property>
</Properties>
</file>