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仿宋_GB2312" w:eastAsia="仿宋_GB2312"/>
          <w:b/>
          <w:sz w:val="32"/>
          <w:szCs w:val="32"/>
        </w:rPr>
      </w:pPr>
      <w:r>
        <w:rPr>
          <w:rFonts w:hint="eastAsia" w:ascii="仿宋_GB2312" w:eastAsia="仿宋_GB2312"/>
          <w:b/>
          <w:sz w:val="32"/>
          <w:szCs w:val="32"/>
        </w:rPr>
        <w:t>重庆市江津区科学技术局</w:t>
      </w:r>
    </w:p>
    <w:p>
      <w:pPr>
        <w:autoSpaceDE w:val="0"/>
        <w:autoSpaceDN w:val="0"/>
        <w:adjustRightInd w:val="0"/>
        <w:spacing w:line="360" w:lineRule="auto"/>
        <w:jc w:val="center"/>
        <w:rPr>
          <w:rFonts w:ascii="仿宋_GB2312" w:eastAsia="仿宋_GB2312"/>
          <w:b/>
          <w:sz w:val="32"/>
          <w:szCs w:val="32"/>
        </w:rPr>
      </w:pPr>
      <w:r>
        <w:rPr>
          <w:rFonts w:hint="eastAsia" w:ascii="仿宋_GB2312" w:eastAsia="仿宋_GB2312"/>
          <w:b/>
          <w:sz w:val="32"/>
          <w:szCs w:val="32"/>
        </w:rPr>
        <w:t>2</w:t>
      </w:r>
      <w:r>
        <w:rPr>
          <w:rFonts w:ascii="仿宋_GB2312" w:eastAsia="仿宋_GB2312"/>
          <w:b/>
          <w:sz w:val="32"/>
          <w:szCs w:val="32"/>
        </w:rPr>
        <w:t>020</w:t>
      </w:r>
      <w:r>
        <w:rPr>
          <w:rFonts w:hint="eastAsia" w:ascii="仿宋_GB2312" w:eastAsia="仿宋_GB2312"/>
          <w:b/>
          <w:sz w:val="32"/>
          <w:szCs w:val="32"/>
        </w:rPr>
        <w:t>年科技创新高质量发展项目</w:t>
      </w:r>
    </w:p>
    <w:p>
      <w:pPr>
        <w:autoSpaceDE w:val="0"/>
        <w:autoSpaceDN w:val="0"/>
        <w:adjustRightInd w:val="0"/>
        <w:spacing w:line="360" w:lineRule="auto"/>
        <w:jc w:val="center"/>
        <w:rPr>
          <w:rFonts w:ascii="仿宋_GB2312" w:eastAsia="仿宋_GB2312"/>
          <w:b/>
          <w:sz w:val="32"/>
          <w:szCs w:val="32"/>
        </w:rPr>
      </w:pPr>
      <w:r>
        <w:rPr>
          <w:rFonts w:hint="eastAsia" w:ascii="仿宋_GB2312" w:eastAsia="仿宋_GB2312"/>
          <w:b/>
          <w:sz w:val="32"/>
          <w:szCs w:val="32"/>
        </w:rPr>
        <w:t>绩效评价报告</w:t>
      </w:r>
    </w:p>
    <w:p>
      <w:pPr>
        <w:autoSpaceDE w:val="0"/>
        <w:autoSpaceDN w:val="0"/>
        <w:adjustRightInd w:val="0"/>
        <w:spacing w:line="360" w:lineRule="auto"/>
        <w:jc w:val="right"/>
        <w:rPr>
          <w:rFonts w:eastAsia="仿宋_GB2312"/>
          <w:b/>
          <w:sz w:val="24"/>
        </w:rPr>
      </w:pPr>
      <w:r>
        <w:rPr>
          <w:rFonts w:hint="eastAsia" w:eastAsia="仿宋_GB2312"/>
          <w:b/>
          <w:sz w:val="24"/>
        </w:rPr>
        <w:t>渝同辉咨字（2023）号</w:t>
      </w:r>
    </w:p>
    <w:p>
      <w:pPr>
        <w:autoSpaceDE w:val="0"/>
        <w:autoSpaceDN w:val="0"/>
        <w:adjustRightInd w:val="0"/>
        <w:spacing w:line="360" w:lineRule="auto"/>
        <w:jc w:val="right"/>
        <w:rPr>
          <w:rFonts w:eastAsia="仿宋_GB2312"/>
          <w:b/>
          <w:sz w:val="24"/>
        </w:rPr>
      </w:pPr>
    </w:p>
    <w:p>
      <w:pPr>
        <w:tabs>
          <w:tab w:val="left" w:pos="720"/>
          <w:tab w:val="left" w:pos="1440"/>
          <w:tab w:val="left" w:pos="2160"/>
          <w:tab w:val="left" w:pos="2880"/>
          <w:tab w:val="left" w:pos="3600"/>
          <w:tab w:val="left" w:pos="4321"/>
          <w:tab w:val="left" w:pos="5041"/>
          <w:tab w:val="left" w:pos="5761"/>
          <w:tab w:val="left" w:pos="6481"/>
          <w:tab w:val="left" w:pos="7201"/>
          <w:tab w:val="left" w:pos="7921"/>
        </w:tabs>
        <w:spacing w:line="360" w:lineRule="auto"/>
        <w:jc w:val="center"/>
        <w:rPr>
          <w:rFonts w:eastAsia="仿宋_GB2312"/>
          <w:b/>
          <w:bCs/>
          <w:sz w:val="24"/>
        </w:rPr>
      </w:pPr>
      <w:bookmarkStart w:id="0" w:name="_Toc313438260"/>
      <w:r>
        <w:rPr>
          <w:rFonts w:eastAsia="仿宋_GB2312"/>
          <w:b/>
          <w:bCs/>
          <w:sz w:val="32"/>
          <w:szCs w:val="32"/>
        </w:rPr>
        <w:t>第一部分：评价报告概述</w:t>
      </w:r>
    </w:p>
    <w:p>
      <w:pPr>
        <w:spacing w:line="360" w:lineRule="auto"/>
        <w:outlineLvl w:val="1"/>
        <w:rPr>
          <w:rFonts w:ascii="仿宋_GB2312" w:hAnsi="仿宋_GB2312" w:eastAsia="仿宋_GB2312" w:cs="仿宋_GB2312"/>
          <w:b/>
          <w:bCs/>
          <w:sz w:val="28"/>
          <w:szCs w:val="28"/>
        </w:rPr>
      </w:pPr>
    </w:p>
    <w:p>
      <w:pPr>
        <w:widowControl/>
        <w:spacing w:line="360" w:lineRule="auto"/>
        <w:ind w:firstLine="482" w:firstLineChars="200"/>
        <w:jc w:val="left"/>
        <w:rPr>
          <w:rFonts w:ascii="仿宋_GB2312" w:hAnsi="宋体" w:eastAsia="仿宋_GB2312" w:cs="宋体"/>
          <w:b/>
          <w:kern w:val="0"/>
          <w:sz w:val="24"/>
        </w:rPr>
      </w:pPr>
      <w:r>
        <w:rPr>
          <w:rFonts w:hint="eastAsia" w:ascii="仿宋_GB2312" w:hAnsi="宋体" w:eastAsia="仿宋_GB2312" w:cs="宋体"/>
          <w:b/>
          <w:kern w:val="0"/>
          <w:sz w:val="24"/>
        </w:rPr>
        <w:t>一、项目基本情况</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（一）项目依据与项目内容</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1.项目依据</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为全面落实习近平总书记关于推动高质量发展的重要论述，紧紧围绕“两点”定位、“两地”“两高”目标、发挥“三个作用”和营造良好政治生态的重要指示要求，进一步加大江津区研发经费投入和科技成果转化力度</w:t>
      </w:r>
      <w:bookmarkStart w:id="3" w:name="_GoBack"/>
      <w:bookmarkEnd w:id="3"/>
      <w:r>
        <w:rPr>
          <w:rFonts w:hint="eastAsia" w:ascii="仿宋_GB2312" w:hAnsi="宋体" w:eastAsia="仿宋_GB2312" w:cs="宋体"/>
          <w:kern w:val="0"/>
          <w:sz w:val="24"/>
        </w:rPr>
        <w:t>，以激发全社会创新活力和动力，推动江津区经济社会高质量发展，重庆市江津区人民政府发布了《关于印发江津区高质量发展激励政策的通知》（江津府发〔2019〕18号）与《</w:t>
      </w:r>
      <w:r>
        <w:rPr>
          <w:rFonts w:ascii="仿宋_GB2312" w:hAnsi="宋体" w:eastAsia="仿宋_GB2312" w:cs="宋体"/>
          <w:kern w:val="0"/>
          <w:sz w:val="24"/>
        </w:rPr>
        <w:t>关于印发江津区支持消费品工业高质量发展政策的通知</w:t>
      </w:r>
      <w:r>
        <w:rPr>
          <w:rFonts w:hint="eastAsia" w:ascii="仿宋_GB2312" w:hAnsi="宋体" w:eastAsia="仿宋_GB2312" w:cs="宋体"/>
          <w:kern w:val="0"/>
          <w:sz w:val="24"/>
        </w:rPr>
        <w:t>》（江津府办发〔</w:t>
      </w:r>
      <w:r>
        <w:rPr>
          <w:rFonts w:ascii="仿宋_GB2312" w:hAnsi="宋体" w:eastAsia="仿宋_GB2312" w:cs="宋体"/>
          <w:kern w:val="0"/>
          <w:sz w:val="24"/>
        </w:rPr>
        <w:t>2020</w:t>
      </w:r>
      <w:r>
        <w:rPr>
          <w:rFonts w:hint="eastAsia" w:ascii="仿宋_GB2312" w:hAnsi="宋体" w:eastAsia="仿宋_GB2312" w:cs="宋体"/>
          <w:kern w:val="0"/>
          <w:sz w:val="24"/>
        </w:rPr>
        <w:t>〕</w:t>
      </w:r>
      <w:r>
        <w:rPr>
          <w:rFonts w:ascii="仿宋_GB2312" w:hAnsi="宋体" w:eastAsia="仿宋_GB2312" w:cs="宋体"/>
          <w:kern w:val="0"/>
          <w:sz w:val="24"/>
        </w:rPr>
        <w:t>172</w:t>
      </w:r>
      <w:r>
        <w:rPr>
          <w:rFonts w:hint="eastAsia" w:ascii="仿宋_GB2312" w:hAnsi="宋体" w:eastAsia="仿宋_GB2312" w:cs="宋体"/>
          <w:kern w:val="0"/>
          <w:sz w:val="24"/>
        </w:rPr>
        <w:t>号）政策从鼓励加大研发投入、鼓励独立法人研发机构建设、鼓励研发平台建设、着力引进院士专家团队、大力发展高新技术企业、大力培育科技型企业、大力培育高成长性企业、加快促进科技成果转化、强化科技金融支撑、强化专利运营保障等多个方面对符合国家产业导向和江津区产业规划，且在江津区注册的组织（企业、高校、科研院所、党团组织等）和个人给予激励。</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2.项目主要内容</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根据重庆市江津区人民政府《</w:t>
      </w:r>
      <w:r>
        <w:rPr>
          <w:rFonts w:ascii="仿宋_GB2312" w:hAnsi="宋体" w:eastAsia="仿宋_GB2312" w:cs="宋体"/>
          <w:kern w:val="0"/>
          <w:sz w:val="24"/>
        </w:rPr>
        <w:t>关于印发江津区高质量发展激励政策的通知</w:t>
      </w:r>
      <w:r>
        <w:rPr>
          <w:rFonts w:hint="eastAsia" w:ascii="仿宋_GB2312" w:hAnsi="宋体" w:eastAsia="仿宋_GB2312" w:cs="宋体"/>
          <w:kern w:val="0"/>
          <w:sz w:val="24"/>
        </w:rPr>
        <w:t>》</w:t>
      </w:r>
      <w:r>
        <w:rPr>
          <w:rFonts w:ascii="仿宋_GB2312" w:hAnsi="宋体" w:eastAsia="仿宋_GB2312" w:cs="宋体"/>
          <w:kern w:val="0"/>
          <w:sz w:val="24"/>
        </w:rPr>
        <w:t>（</w:t>
      </w:r>
      <w:r>
        <w:rPr>
          <w:rFonts w:hint="eastAsia" w:ascii="仿宋_GB2312" w:hAnsi="宋体" w:eastAsia="仿宋_GB2312" w:cs="宋体"/>
          <w:kern w:val="0"/>
          <w:sz w:val="24"/>
        </w:rPr>
        <w:t>江津府发〔2019〕</w:t>
      </w:r>
      <w:r>
        <w:rPr>
          <w:rFonts w:ascii="仿宋_GB2312" w:hAnsi="宋体" w:eastAsia="仿宋_GB2312" w:cs="宋体"/>
          <w:kern w:val="0"/>
          <w:sz w:val="24"/>
        </w:rPr>
        <w:t>18</w:t>
      </w:r>
      <w:r>
        <w:rPr>
          <w:rFonts w:hint="eastAsia" w:ascii="仿宋_GB2312" w:hAnsi="宋体" w:eastAsia="仿宋_GB2312" w:cs="宋体"/>
          <w:kern w:val="0"/>
          <w:sz w:val="24"/>
        </w:rPr>
        <w:t>号</w:t>
      </w:r>
      <w:r>
        <w:rPr>
          <w:rFonts w:ascii="仿宋_GB2312" w:hAnsi="宋体" w:eastAsia="仿宋_GB2312" w:cs="宋体"/>
          <w:kern w:val="0"/>
          <w:sz w:val="24"/>
        </w:rPr>
        <w:t>）与</w:t>
      </w:r>
      <w:r>
        <w:rPr>
          <w:rFonts w:hint="eastAsia" w:ascii="仿宋_GB2312" w:hAnsi="宋体" w:eastAsia="仿宋_GB2312" w:cs="宋体"/>
          <w:kern w:val="0"/>
          <w:sz w:val="24"/>
        </w:rPr>
        <w:t>《</w:t>
      </w:r>
      <w:r>
        <w:rPr>
          <w:rFonts w:ascii="仿宋_GB2312" w:hAnsi="宋体" w:eastAsia="仿宋_GB2312" w:cs="宋体"/>
          <w:kern w:val="0"/>
          <w:sz w:val="24"/>
        </w:rPr>
        <w:t>关于印发江津区支持消费品工业高质量发展政策的通知</w:t>
      </w:r>
      <w:r>
        <w:rPr>
          <w:rFonts w:hint="eastAsia" w:ascii="仿宋_GB2312" w:hAnsi="宋体" w:eastAsia="仿宋_GB2312" w:cs="宋体"/>
          <w:kern w:val="0"/>
          <w:sz w:val="24"/>
        </w:rPr>
        <w:t>》（江津府办发〔</w:t>
      </w:r>
      <w:r>
        <w:rPr>
          <w:rFonts w:ascii="仿宋_GB2312" w:hAnsi="宋体" w:eastAsia="仿宋_GB2312" w:cs="宋体"/>
          <w:kern w:val="0"/>
          <w:sz w:val="24"/>
        </w:rPr>
        <w:t>2020</w:t>
      </w:r>
      <w:r>
        <w:rPr>
          <w:rFonts w:hint="eastAsia" w:ascii="仿宋_GB2312" w:hAnsi="宋体" w:eastAsia="仿宋_GB2312" w:cs="宋体"/>
          <w:kern w:val="0"/>
          <w:sz w:val="24"/>
        </w:rPr>
        <w:t>〕</w:t>
      </w:r>
      <w:r>
        <w:rPr>
          <w:rFonts w:ascii="仿宋_GB2312" w:hAnsi="宋体" w:eastAsia="仿宋_GB2312" w:cs="宋体"/>
          <w:kern w:val="0"/>
          <w:sz w:val="24"/>
        </w:rPr>
        <w:t>172</w:t>
      </w:r>
      <w:r>
        <w:rPr>
          <w:rFonts w:hint="eastAsia" w:ascii="仿宋_GB2312" w:hAnsi="宋体" w:eastAsia="仿宋_GB2312" w:cs="宋体"/>
          <w:kern w:val="0"/>
          <w:sz w:val="24"/>
        </w:rPr>
        <w:t>号）文件的要求项目主要为注册地在江津区内的企业与学校进行补助，该项目共计奖补企业及院校350家，补助类型9项，补助次数累计619次，补助资金共计4,019.57万元，主要奖补内容详见下表。</w:t>
      </w:r>
    </w:p>
    <w:p>
      <w:pPr>
        <w:widowControl/>
        <w:spacing w:line="360" w:lineRule="auto"/>
        <w:ind w:firstLine="480" w:firstLineChars="200"/>
        <w:jc w:val="center"/>
        <w:rPr>
          <w:rFonts w:ascii="仿宋_GB2312" w:hAnsi="宋体" w:eastAsia="仿宋_GB2312" w:cs="宋体"/>
          <w:kern w:val="0"/>
          <w:sz w:val="24"/>
        </w:rPr>
      </w:pPr>
      <w:r>
        <w:rPr>
          <w:rFonts w:hint="eastAsia" w:ascii="仿宋_GB2312" w:hAnsi="宋体" w:eastAsia="仿宋_GB2312" w:cs="宋体"/>
          <w:kern w:val="0"/>
          <w:sz w:val="24"/>
        </w:rPr>
        <w:t>补助企业明细表</w:t>
      </w:r>
    </w:p>
    <w:tbl>
      <w:tblPr>
        <w:tblStyle w:val="21"/>
        <w:tblW w:w="0" w:type="auto"/>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3243"/>
        <w:gridCol w:w="2268"/>
        <w:gridCol w:w="2552"/>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tcPr>
          <w:p>
            <w:pPr>
              <w:widowControl/>
              <w:spacing w:line="360" w:lineRule="auto"/>
              <w:jc w:val="center"/>
              <w:rPr>
                <w:rFonts w:ascii="仿宋_GB2312" w:hAnsi="宋体" w:eastAsia="仿宋_GB2312" w:cs="宋体"/>
                <w:b/>
                <w:kern w:val="0"/>
                <w:szCs w:val="21"/>
              </w:rPr>
            </w:pPr>
            <w:r>
              <w:rPr>
                <w:rFonts w:hint="eastAsia" w:ascii="仿宋_GB2312" w:hAnsi="宋体" w:eastAsia="仿宋_GB2312" w:cs="宋体"/>
                <w:b/>
                <w:kern w:val="0"/>
                <w:szCs w:val="21"/>
              </w:rPr>
              <w:t>序号</w:t>
            </w:r>
          </w:p>
        </w:tc>
        <w:tc>
          <w:tcPr>
            <w:tcW w:w="3243" w:type="dxa"/>
          </w:tcPr>
          <w:p>
            <w:pPr>
              <w:widowControl/>
              <w:spacing w:line="360" w:lineRule="auto"/>
              <w:jc w:val="center"/>
              <w:rPr>
                <w:rFonts w:ascii="仿宋_GB2312" w:hAnsi="宋体" w:eastAsia="仿宋_GB2312" w:cs="宋体"/>
                <w:b/>
                <w:kern w:val="0"/>
                <w:szCs w:val="21"/>
              </w:rPr>
            </w:pPr>
            <w:r>
              <w:rPr>
                <w:rFonts w:hint="eastAsia" w:ascii="仿宋_GB2312" w:hAnsi="宋体" w:eastAsia="仿宋_GB2312" w:cs="宋体"/>
                <w:b/>
                <w:kern w:val="0"/>
                <w:szCs w:val="21"/>
              </w:rPr>
              <w:t>企业所在镇街（园区）</w:t>
            </w:r>
          </w:p>
        </w:tc>
        <w:tc>
          <w:tcPr>
            <w:tcW w:w="2268" w:type="dxa"/>
          </w:tcPr>
          <w:p>
            <w:pPr>
              <w:widowControl/>
              <w:spacing w:line="360" w:lineRule="auto"/>
              <w:jc w:val="center"/>
              <w:rPr>
                <w:rFonts w:ascii="仿宋_GB2312" w:hAnsi="宋体" w:eastAsia="仿宋_GB2312" w:cs="宋体"/>
                <w:b/>
                <w:kern w:val="0"/>
                <w:szCs w:val="21"/>
              </w:rPr>
            </w:pPr>
            <w:r>
              <w:rPr>
                <w:rFonts w:hint="eastAsia" w:ascii="仿宋_GB2312" w:hAnsi="宋体" w:eastAsia="仿宋_GB2312" w:cs="宋体"/>
                <w:b/>
                <w:kern w:val="0"/>
                <w:szCs w:val="21"/>
              </w:rPr>
              <w:t>企业数量</w:t>
            </w:r>
          </w:p>
        </w:tc>
        <w:tc>
          <w:tcPr>
            <w:tcW w:w="2552" w:type="dxa"/>
          </w:tcPr>
          <w:p>
            <w:pPr>
              <w:widowControl/>
              <w:spacing w:line="360" w:lineRule="auto"/>
              <w:jc w:val="center"/>
              <w:rPr>
                <w:rFonts w:ascii="仿宋_GB2312" w:hAnsi="宋体" w:eastAsia="仿宋_GB2312" w:cs="宋体"/>
                <w:b/>
                <w:kern w:val="0"/>
                <w:szCs w:val="21"/>
              </w:rPr>
            </w:pPr>
            <w:r>
              <w:rPr>
                <w:rFonts w:hint="eastAsia" w:ascii="仿宋_GB2312" w:hAnsi="宋体" w:eastAsia="仿宋_GB2312" w:cs="宋体"/>
                <w:b/>
                <w:kern w:val="0"/>
                <w:szCs w:val="21"/>
              </w:rPr>
              <w:t>补助金额（万元）</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kern w:val="0"/>
                <w:szCs w:val="21"/>
              </w:rPr>
              <w:t>1</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白沙工业园</w:t>
            </w:r>
          </w:p>
        </w:tc>
        <w:tc>
          <w:tcPr>
            <w:tcW w:w="2268"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2552"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 xml:space="preserve"> 278.72</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kern w:val="0"/>
                <w:szCs w:val="21"/>
              </w:rPr>
              <w:t>2</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柏林镇</w:t>
            </w:r>
          </w:p>
        </w:tc>
        <w:tc>
          <w:tcPr>
            <w:tcW w:w="2268"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2552"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2.40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kern w:val="0"/>
                <w:szCs w:val="21"/>
              </w:rPr>
              <w:t>3</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蔡家镇</w:t>
            </w:r>
          </w:p>
        </w:tc>
        <w:tc>
          <w:tcPr>
            <w:tcW w:w="2268"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2552" w:type="dxa"/>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 xml:space="preserve"> 0.50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kern w:val="0"/>
                <w:szCs w:val="21"/>
              </w:rPr>
              <w:t>4</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德感工业园</w:t>
            </w:r>
          </w:p>
        </w:tc>
        <w:tc>
          <w:tcPr>
            <w:tcW w:w="2268"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59</w:t>
            </w:r>
          </w:p>
        </w:tc>
        <w:tc>
          <w:tcPr>
            <w:tcW w:w="2552"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 xml:space="preserve">  978.74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kern w:val="0"/>
                <w:szCs w:val="21"/>
              </w:rPr>
              <w:t>5</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鼎山街道</w:t>
            </w:r>
          </w:p>
        </w:tc>
        <w:tc>
          <w:tcPr>
            <w:tcW w:w="2268"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8</w:t>
            </w:r>
          </w:p>
        </w:tc>
        <w:tc>
          <w:tcPr>
            <w:tcW w:w="2552"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 xml:space="preserve"> 54.78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kern w:val="0"/>
                <w:szCs w:val="21"/>
              </w:rPr>
              <w:t>6</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广兴镇</w:t>
            </w:r>
          </w:p>
        </w:tc>
        <w:tc>
          <w:tcPr>
            <w:tcW w:w="2268"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2552"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 xml:space="preserve">    25.93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kern w:val="0"/>
                <w:szCs w:val="21"/>
              </w:rPr>
              <w:t>7</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几江街道</w:t>
            </w:r>
          </w:p>
        </w:tc>
        <w:tc>
          <w:tcPr>
            <w:tcW w:w="2268"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11</w:t>
            </w:r>
          </w:p>
        </w:tc>
        <w:tc>
          <w:tcPr>
            <w:tcW w:w="2552"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 xml:space="preserve">  22.40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kern w:val="0"/>
                <w:szCs w:val="21"/>
              </w:rPr>
              <w:t>8</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李市镇</w:t>
            </w:r>
          </w:p>
        </w:tc>
        <w:tc>
          <w:tcPr>
            <w:tcW w:w="2268"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2552"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 xml:space="preserve">  18.90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kern w:val="0"/>
                <w:szCs w:val="21"/>
              </w:rPr>
              <w:t>9</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珞璜工业园</w:t>
            </w:r>
          </w:p>
        </w:tc>
        <w:tc>
          <w:tcPr>
            <w:tcW w:w="2268"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68</w:t>
            </w:r>
          </w:p>
        </w:tc>
        <w:tc>
          <w:tcPr>
            <w:tcW w:w="2552"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 xml:space="preserve"> 799.90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hint="eastAsia" w:ascii="Times New Roman" w:hAnsi="Times New Roman" w:eastAsia="仿宋_GB2312"/>
                <w:kern w:val="0"/>
                <w:szCs w:val="21"/>
              </w:rPr>
              <w:t>10</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圣泉街道</w:t>
            </w:r>
          </w:p>
        </w:tc>
        <w:tc>
          <w:tcPr>
            <w:tcW w:w="2268"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2552"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 xml:space="preserve"> 244.14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hint="eastAsia" w:ascii="Times New Roman" w:hAnsi="Times New Roman" w:eastAsia="仿宋_GB2312"/>
                <w:kern w:val="0"/>
                <w:szCs w:val="21"/>
              </w:rPr>
              <w:t>11</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石门镇</w:t>
            </w:r>
          </w:p>
        </w:tc>
        <w:tc>
          <w:tcPr>
            <w:tcW w:w="2268"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2552"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 xml:space="preserve"> 3.28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hint="eastAsia" w:ascii="Times New Roman" w:hAnsi="Times New Roman" w:eastAsia="仿宋_GB2312"/>
                <w:kern w:val="0"/>
                <w:szCs w:val="21"/>
              </w:rPr>
              <w:t>12</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双福工业园</w:t>
            </w:r>
          </w:p>
        </w:tc>
        <w:tc>
          <w:tcPr>
            <w:tcW w:w="2268"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138</w:t>
            </w:r>
          </w:p>
        </w:tc>
        <w:tc>
          <w:tcPr>
            <w:tcW w:w="2552"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 xml:space="preserve">  1,432.78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hint="eastAsia" w:ascii="Times New Roman" w:hAnsi="Times New Roman" w:eastAsia="仿宋_GB2312"/>
                <w:kern w:val="0"/>
                <w:szCs w:val="21"/>
              </w:rPr>
              <w:t>13</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四面山镇</w:t>
            </w:r>
          </w:p>
        </w:tc>
        <w:tc>
          <w:tcPr>
            <w:tcW w:w="2268"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2552"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 xml:space="preserve">   1.78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hint="eastAsia" w:ascii="Times New Roman" w:hAnsi="Times New Roman" w:eastAsia="仿宋_GB2312"/>
                <w:kern w:val="0"/>
                <w:szCs w:val="21"/>
              </w:rPr>
              <w:t>14</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吴滩镇</w:t>
            </w:r>
          </w:p>
        </w:tc>
        <w:tc>
          <w:tcPr>
            <w:tcW w:w="2268"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2552"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 xml:space="preserve">  3.30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hint="eastAsia" w:ascii="Times New Roman" w:hAnsi="Times New Roman" w:eastAsia="仿宋_GB2312"/>
                <w:kern w:val="0"/>
                <w:szCs w:val="21"/>
              </w:rPr>
              <w:t>15</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西湖镇</w:t>
            </w:r>
          </w:p>
        </w:tc>
        <w:tc>
          <w:tcPr>
            <w:tcW w:w="2268"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2552"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 xml:space="preserve">  16.00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hint="eastAsia" w:ascii="Times New Roman" w:hAnsi="Times New Roman" w:eastAsia="仿宋_GB2312"/>
                <w:kern w:val="0"/>
                <w:szCs w:val="21"/>
              </w:rPr>
              <w:t>16</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夏坝镇</w:t>
            </w:r>
          </w:p>
        </w:tc>
        <w:tc>
          <w:tcPr>
            <w:tcW w:w="2268"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2552"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 xml:space="preserve"> 4.40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hint="eastAsia" w:ascii="Times New Roman" w:hAnsi="Times New Roman" w:eastAsia="仿宋_GB2312"/>
                <w:kern w:val="0"/>
                <w:szCs w:val="21"/>
              </w:rPr>
              <w:t>17</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先锋镇</w:t>
            </w:r>
          </w:p>
        </w:tc>
        <w:tc>
          <w:tcPr>
            <w:tcW w:w="2268"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2552"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 xml:space="preserve">   4.47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hint="eastAsia" w:ascii="Times New Roman" w:hAnsi="Times New Roman" w:eastAsia="仿宋_GB2312"/>
                <w:kern w:val="0"/>
                <w:szCs w:val="21"/>
              </w:rPr>
              <w:t>18</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现代农业园区</w:t>
            </w:r>
          </w:p>
        </w:tc>
        <w:tc>
          <w:tcPr>
            <w:tcW w:w="2268"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2552"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 xml:space="preserve"> 18.10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hint="eastAsia" w:ascii="Times New Roman" w:hAnsi="Times New Roman" w:eastAsia="仿宋_GB2312"/>
                <w:kern w:val="0"/>
                <w:szCs w:val="21"/>
              </w:rPr>
              <w:t>19</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油溪镇</w:t>
            </w:r>
          </w:p>
        </w:tc>
        <w:tc>
          <w:tcPr>
            <w:tcW w:w="2268"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2552"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 xml:space="preserve">  68.08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hint="eastAsia" w:ascii="Times New Roman" w:hAnsi="Times New Roman" w:eastAsia="仿宋_GB2312"/>
                <w:kern w:val="0"/>
                <w:szCs w:val="21"/>
              </w:rPr>
              <w:t>20</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支坪镇</w:t>
            </w:r>
          </w:p>
        </w:tc>
        <w:tc>
          <w:tcPr>
            <w:tcW w:w="2268"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2552"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 xml:space="preserve">   0.50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hint="eastAsia" w:ascii="Times New Roman" w:hAnsi="Times New Roman" w:eastAsia="仿宋_GB2312"/>
                <w:kern w:val="0"/>
                <w:szCs w:val="21"/>
              </w:rPr>
              <w:t>21</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朱杨镇</w:t>
            </w:r>
          </w:p>
        </w:tc>
        <w:tc>
          <w:tcPr>
            <w:tcW w:w="2268"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2552"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 xml:space="preserve">   15.00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hint="eastAsia" w:ascii="Times New Roman" w:hAnsi="Times New Roman" w:eastAsia="仿宋_GB2312"/>
                <w:kern w:val="0"/>
                <w:szCs w:val="21"/>
              </w:rPr>
              <w:t>22</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综合保税区</w:t>
            </w:r>
          </w:p>
        </w:tc>
        <w:tc>
          <w:tcPr>
            <w:tcW w:w="2268"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2552"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 xml:space="preserve">    25.46</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77" w:type="dxa"/>
            <w:gridSpan w:val="2"/>
            <w:vAlign w:val="center"/>
          </w:tcPr>
          <w:p>
            <w:pPr>
              <w:widowControl/>
              <w:spacing w:line="360" w:lineRule="auto"/>
              <w:jc w:val="center"/>
              <w:rPr>
                <w:rFonts w:ascii="Times New Roman" w:hAnsi="Times New Roman" w:eastAsia="仿宋_GB2312"/>
                <w:b/>
                <w:color w:val="000000"/>
                <w:szCs w:val="21"/>
              </w:rPr>
            </w:pPr>
            <w:r>
              <w:rPr>
                <w:rFonts w:hint="eastAsia" w:ascii="Times New Roman" w:hAnsi="Times New Roman" w:eastAsia="仿宋_GB2312"/>
                <w:b/>
                <w:color w:val="000000"/>
                <w:szCs w:val="21"/>
              </w:rPr>
              <w:t>合计</w:t>
            </w:r>
          </w:p>
        </w:tc>
        <w:tc>
          <w:tcPr>
            <w:tcW w:w="2268" w:type="dxa"/>
            <w:vAlign w:val="center"/>
          </w:tcPr>
          <w:p>
            <w:pPr>
              <w:widowControl/>
              <w:spacing w:line="360" w:lineRule="auto"/>
              <w:jc w:val="center"/>
              <w:rPr>
                <w:rFonts w:ascii="Times New Roman" w:hAnsi="Times New Roman" w:eastAsia="仿宋_GB2312"/>
                <w:b/>
                <w:color w:val="000000"/>
                <w:szCs w:val="21"/>
              </w:rPr>
            </w:pPr>
            <w:r>
              <w:rPr>
                <w:rFonts w:hint="eastAsia" w:ascii="Times New Roman" w:hAnsi="Times New Roman" w:eastAsia="仿宋_GB2312"/>
                <w:b/>
                <w:color w:val="000000"/>
                <w:szCs w:val="21"/>
              </w:rPr>
              <w:t>350</w:t>
            </w:r>
          </w:p>
        </w:tc>
        <w:tc>
          <w:tcPr>
            <w:tcW w:w="2552" w:type="dxa"/>
            <w:vAlign w:val="center"/>
          </w:tcPr>
          <w:p>
            <w:pPr>
              <w:widowControl/>
              <w:spacing w:line="360" w:lineRule="auto"/>
              <w:jc w:val="right"/>
              <w:rPr>
                <w:rFonts w:ascii="Times New Roman" w:hAnsi="Times New Roman" w:eastAsia="仿宋_GB2312"/>
                <w:b/>
                <w:color w:val="000000"/>
                <w:szCs w:val="21"/>
              </w:rPr>
            </w:pPr>
            <w:r>
              <w:rPr>
                <w:rFonts w:hint="eastAsia" w:ascii="Times New Roman" w:hAnsi="Times New Roman" w:eastAsia="仿宋_GB2312"/>
                <w:b/>
                <w:color w:val="000000"/>
                <w:szCs w:val="21"/>
              </w:rPr>
              <w:t xml:space="preserve"> 4,019.57 </w:t>
            </w:r>
          </w:p>
        </w:tc>
      </w:tr>
    </w:tbl>
    <w:p>
      <w:pPr>
        <w:widowControl/>
        <w:spacing w:line="360" w:lineRule="auto"/>
        <w:ind w:firstLine="480" w:firstLineChars="200"/>
        <w:jc w:val="center"/>
        <w:rPr>
          <w:rFonts w:ascii="仿宋_GB2312" w:hAnsi="宋体" w:eastAsia="仿宋_GB2312" w:cs="宋体"/>
          <w:kern w:val="0"/>
          <w:sz w:val="24"/>
        </w:rPr>
      </w:pPr>
    </w:p>
    <w:p>
      <w:pPr>
        <w:widowControl/>
        <w:spacing w:line="360" w:lineRule="auto"/>
        <w:ind w:firstLine="480" w:firstLineChars="200"/>
        <w:jc w:val="center"/>
        <w:rPr>
          <w:rFonts w:ascii="仿宋_GB2312" w:hAnsi="宋体" w:eastAsia="仿宋_GB2312" w:cs="宋体"/>
          <w:kern w:val="0"/>
          <w:sz w:val="24"/>
        </w:rPr>
      </w:pPr>
      <w:r>
        <w:rPr>
          <w:rFonts w:hint="eastAsia" w:ascii="仿宋_GB2312" w:hAnsi="宋体" w:eastAsia="仿宋_GB2312" w:cs="宋体"/>
          <w:kern w:val="0"/>
          <w:sz w:val="24"/>
        </w:rPr>
        <w:t>补助项目明细表</w:t>
      </w:r>
    </w:p>
    <w:tbl>
      <w:tblPr>
        <w:tblStyle w:val="21"/>
        <w:tblW w:w="0" w:type="auto"/>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3243"/>
        <w:gridCol w:w="2268"/>
        <w:gridCol w:w="2552"/>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tcPr>
          <w:p>
            <w:pPr>
              <w:widowControl/>
              <w:spacing w:line="360" w:lineRule="auto"/>
              <w:jc w:val="center"/>
              <w:rPr>
                <w:rFonts w:ascii="仿宋_GB2312" w:hAnsi="宋体" w:eastAsia="仿宋_GB2312" w:cs="宋体"/>
                <w:b/>
                <w:kern w:val="0"/>
                <w:szCs w:val="21"/>
              </w:rPr>
            </w:pPr>
            <w:r>
              <w:rPr>
                <w:rFonts w:hint="eastAsia" w:ascii="仿宋_GB2312" w:hAnsi="宋体" w:eastAsia="仿宋_GB2312" w:cs="宋体"/>
                <w:b/>
                <w:kern w:val="0"/>
                <w:szCs w:val="21"/>
              </w:rPr>
              <w:t>序号</w:t>
            </w:r>
          </w:p>
        </w:tc>
        <w:tc>
          <w:tcPr>
            <w:tcW w:w="3243" w:type="dxa"/>
          </w:tcPr>
          <w:p>
            <w:pPr>
              <w:widowControl/>
              <w:spacing w:line="360" w:lineRule="auto"/>
              <w:jc w:val="center"/>
              <w:rPr>
                <w:rFonts w:ascii="仿宋_GB2312" w:hAnsi="宋体" w:eastAsia="仿宋_GB2312" w:cs="宋体"/>
                <w:b/>
                <w:kern w:val="0"/>
                <w:szCs w:val="21"/>
              </w:rPr>
            </w:pPr>
            <w:r>
              <w:rPr>
                <w:rFonts w:hint="eastAsia" w:ascii="仿宋_GB2312" w:hAnsi="宋体" w:eastAsia="仿宋_GB2312" w:cs="宋体"/>
                <w:b/>
                <w:kern w:val="0"/>
                <w:szCs w:val="21"/>
              </w:rPr>
              <w:t>奖补类型</w:t>
            </w:r>
          </w:p>
        </w:tc>
        <w:tc>
          <w:tcPr>
            <w:tcW w:w="2268" w:type="dxa"/>
          </w:tcPr>
          <w:p>
            <w:pPr>
              <w:widowControl/>
              <w:spacing w:line="360" w:lineRule="auto"/>
              <w:jc w:val="center"/>
              <w:rPr>
                <w:rFonts w:ascii="仿宋_GB2312" w:hAnsi="宋体" w:eastAsia="仿宋_GB2312" w:cs="宋体"/>
                <w:b/>
                <w:kern w:val="0"/>
                <w:szCs w:val="21"/>
              </w:rPr>
            </w:pPr>
            <w:r>
              <w:rPr>
                <w:rFonts w:hint="eastAsia" w:ascii="仿宋_GB2312" w:hAnsi="宋体" w:eastAsia="仿宋_GB2312" w:cs="宋体"/>
                <w:b/>
                <w:kern w:val="0"/>
                <w:szCs w:val="21"/>
              </w:rPr>
              <w:t>补助项目数量</w:t>
            </w:r>
          </w:p>
        </w:tc>
        <w:tc>
          <w:tcPr>
            <w:tcW w:w="2552" w:type="dxa"/>
          </w:tcPr>
          <w:p>
            <w:pPr>
              <w:widowControl/>
              <w:spacing w:line="360" w:lineRule="auto"/>
              <w:jc w:val="center"/>
              <w:rPr>
                <w:rFonts w:ascii="仿宋_GB2312" w:hAnsi="宋体" w:eastAsia="仿宋_GB2312" w:cs="宋体"/>
                <w:b/>
                <w:kern w:val="0"/>
                <w:szCs w:val="21"/>
              </w:rPr>
            </w:pPr>
            <w:r>
              <w:rPr>
                <w:rFonts w:hint="eastAsia" w:ascii="仿宋_GB2312" w:hAnsi="宋体" w:eastAsia="仿宋_GB2312" w:cs="宋体"/>
                <w:b/>
                <w:kern w:val="0"/>
                <w:szCs w:val="21"/>
              </w:rPr>
              <w:t>补助金额（万元）</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kern w:val="0"/>
                <w:szCs w:val="21"/>
              </w:rPr>
              <w:t>1</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科技型企业研发投入项目</w:t>
            </w:r>
          </w:p>
        </w:tc>
        <w:tc>
          <w:tcPr>
            <w:tcW w:w="2268"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color w:val="000000"/>
                <w:szCs w:val="21"/>
              </w:rPr>
              <w:t>13</w:t>
            </w:r>
          </w:p>
        </w:tc>
        <w:tc>
          <w:tcPr>
            <w:tcW w:w="2552" w:type="dxa"/>
            <w:vAlign w:val="center"/>
          </w:tcPr>
          <w:p>
            <w:pPr>
              <w:widowControl/>
              <w:spacing w:line="360" w:lineRule="auto"/>
              <w:jc w:val="right"/>
              <w:rPr>
                <w:rFonts w:ascii="Times New Roman" w:hAnsi="Times New Roman" w:eastAsia="仿宋_GB2312"/>
                <w:kern w:val="0"/>
                <w:szCs w:val="21"/>
              </w:rPr>
            </w:pPr>
            <w:r>
              <w:rPr>
                <w:rFonts w:ascii="Times New Roman" w:hAnsi="Times New Roman" w:eastAsia="仿宋_GB2312"/>
                <w:color w:val="000000"/>
                <w:szCs w:val="21"/>
              </w:rPr>
              <w:t>64.86</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kern w:val="0"/>
                <w:szCs w:val="21"/>
              </w:rPr>
              <w:t>2</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eastAsia="仿宋_GB2312"/>
                <w:szCs w:val="21"/>
              </w:rPr>
              <w:t>高新技术企业研发投入项目</w:t>
            </w:r>
          </w:p>
        </w:tc>
        <w:tc>
          <w:tcPr>
            <w:tcW w:w="2268"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color w:val="000000"/>
                <w:szCs w:val="21"/>
              </w:rPr>
              <w:t>75</w:t>
            </w:r>
          </w:p>
        </w:tc>
        <w:tc>
          <w:tcPr>
            <w:tcW w:w="2552" w:type="dxa"/>
            <w:vAlign w:val="center"/>
          </w:tcPr>
          <w:p>
            <w:pPr>
              <w:widowControl/>
              <w:spacing w:line="360" w:lineRule="auto"/>
              <w:jc w:val="right"/>
              <w:rPr>
                <w:rFonts w:ascii="Times New Roman" w:hAnsi="Times New Roman" w:eastAsia="仿宋_GB2312"/>
                <w:kern w:val="0"/>
                <w:szCs w:val="21"/>
              </w:rPr>
            </w:pPr>
            <w:r>
              <w:rPr>
                <w:rFonts w:ascii="Times New Roman" w:hAnsi="Times New Roman" w:eastAsia="仿宋_GB2312"/>
                <w:color w:val="000000"/>
                <w:szCs w:val="21"/>
              </w:rPr>
              <w:t>1,370.47</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kern w:val="0"/>
                <w:szCs w:val="21"/>
              </w:rPr>
              <w:t>3</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eastAsia="仿宋_GB2312"/>
                <w:szCs w:val="21"/>
              </w:rPr>
              <w:t>高校研发投入项目</w:t>
            </w:r>
          </w:p>
        </w:tc>
        <w:tc>
          <w:tcPr>
            <w:tcW w:w="2268"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color w:val="000000"/>
                <w:szCs w:val="21"/>
              </w:rPr>
              <w:t>6</w:t>
            </w:r>
          </w:p>
        </w:tc>
        <w:tc>
          <w:tcPr>
            <w:tcW w:w="2552" w:type="dxa"/>
            <w:vAlign w:val="center"/>
          </w:tcPr>
          <w:p>
            <w:pPr>
              <w:jc w:val="right"/>
              <w:rPr>
                <w:rFonts w:ascii="Times New Roman" w:hAnsi="Times New Roman" w:eastAsia="仿宋_GB2312"/>
                <w:kern w:val="0"/>
                <w:szCs w:val="21"/>
              </w:rPr>
            </w:pPr>
            <w:r>
              <w:rPr>
                <w:rFonts w:ascii="Times New Roman" w:hAnsi="Times New Roman" w:eastAsia="仿宋_GB2312"/>
                <w:color w:val="000000"/>
                <w:szCs w:val="21"/>
              </w:rPr>
              <w:t>92.72</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kern w:val="0"/>
                <w:szCs w:val="21"/>
              </w:rPr>
              <w:t>4</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eastAsia="仿宋_GB2312"/>
                <w:szCs w:val="21"/>
              </w:rPr>
              <w:t>研发平台建设项目</w:t>
            </w:r>
          </w:p>
        </w:tc>
        <w:tc>
          <w:tcPr>
            <w:tcW w:w="2268"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color w:val="000000"/>
                <w:szCs w:val="21"/>
              </w:rPr>
              <w:t>15</w:t>
            </w:r>
          </w:p>
        </w:tc>
        <w:tc>
          <w:tcPr>
            <w:tcW w:w="2552" w:type="dxa"/>
            <w:vAlign w:val="center"/>
          </w:tcPr>
          <w:p>
            <w:pPr>
              <w:widowControl/>
              <w:spacing w:line="360" w:lineRule="auto"/>
              <w:jc w:val="right"/>
              <w:rPr>
                <w:rFonts w:ascii="Times New Roman" w:hAnsi="Times New Roman" w:eastAsia="仿宋_GB2312"/>
                <w:kern w:val="0"/>
                <w:szCs w:val="21"/>
              </w:rPr>
            </w:pPr>
            <w:r>
              <w:rPr>
                <w:rFonts w:ascii="Times New Roman" w:hAnsi="Times New Roman" w:eastAsia="仿宋_GB2312"/>
                <w:color w:val="000000"/>
                <w:szCs w:val="21"/>
              </w:rPr>
              <w:t>195.00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kern w:val="0"/>
                <w:szCs w:val="21"/>
              </w:rPr>
              <w:t>5</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eastAsia="仿宋_GB2312"/>
                <w:szCs w:val="21"/>
              </w:rPr>
              <w:t>高新技术企业认定项目</w:t>
            </w:r>
          </w:p>
        </w:tc>
        <w:tc>
          <w:tcPr>
            <w:tcW w:w="2268"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color w:val="000000"/>
                <w:szCs w:val="21"/>
              </w:rPr>
              <w:t>101</w:t>
            </w:r>
          </w:p>
        </w:tc>
        <w:tc>
          <w:tcPr>
            <w:tcW w:w="2552" w:type="dxa"/>
            <w:vAlign w:val="center"/>
          </w:tcPr>
          <w:p>
            <w:pPr>
              <w:widowControl/>
              <w:spacing w:line="360" w:lineRule="auto"/>
              <w:jc w:val="right"/>
              <w:rPr>
                <w:rFonts w:ascii="Times New Roman" w:hAnsi="Times New Roman" w:eastAsia="仿宋_GB2312"/>
                <w:kern w:val="0"/>
                <w:szCs w:val="21"/>
              </w:rPr>
            </w:pPr>
            <w:r>
              <w:rPr>
                <w:rFonts w:ascii="Times New Roman" w:hAnsi="Times New Roman" w:eastAsia="仿宋_GB2312"/>
                <w:color w:val="000000"/>
                <w:szCs w:val="21"/>
              </w:rPr>
              <w:t>1,585.00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kern w:val="0"/>
                <w:szCs w:val="21"/>
              </w:rPr>
              <w:t>6</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eastAsia="仿宋_GB2312"/>
                <w:szCs w:val="21"/>
              </w:rPr>
              <w:t>科技型企业认定项目</w:t>
            </w:r>
          </w:p>
        </w:tc>
        <w:tc>
          <w:tcPr>
            <w:tcW w:w="2268"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color w:val="000000"/>
                <w:szCs w:val="21"/>
              </w:rPr>
              <w:t>265</w:t>
            </w:r>
          </w:p>
        </w:tc>
        <w:tc>
          <w:tcPr>
            <w:tcW w:w="2552" w:type="dxa"/>
            <w:vAlign w:val="center"/>
          </w:tcPr>
          <w:p>
            <w:pPr>
              <w:widowControl/>
              <w:spacing w:line="360" w:lineRule="auto"/>
              <w:jc w:val="right"/>
              <w:rPr>
                <w:rFonts w:ascii="Times New Roman" w:hAnsi="Times New Roman" w:eastAsia="仿宋_GB2312"/>
                <w:kern w:val="0"/>
                <w:szCs w:val="21"/>
              </w:rPr>
            </w:pPr>
            <w:r>
              <w:rPr>
                <w:rFonts w:ascii="Times New Roman" w:hAnsi="Times New Roman" w:eastAsia="仿宋_GB2312"/>
                <w:color w:val="000000"/>
                <w:szCs w:val="21"/>
              </w:rPr>
              <w:t>146.00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kern w:val="0"/>
                <w:szCs w:val="21"/>
              </w:rPr>
              <w:t>7</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eastAsia="仿宋_GB2312"/>
                <w:szCs w:val="21"/>
              </w:rPr>
              <w:t>科技成果转化项目</w:t>
            </w:r>
          </w:p>
        </w:tc>
        <w:tc>
          <w:tcPr>
            <w:tcW w:w="2268"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color w:val="000000"/>
                <w:szCs w:val="21"/>
              </w:rPr>
              <w:t>2</w:t>
            </w:r>
          </w:p>
        </w:tc>
        <w:tc>
          <w:tcPr>
            <w:tcW w:w="2552" w:type="dxa"/>
            <w:vAlign w:val="center"/>
          </w:tcPr>
          <w:p>
            <w:pPr>
              <w:widowControl/>
              <w:spacing w:line="360" w:lineRule="auto"/>
              <w:jc w:val="right"/>
              <w:rPr>
                <w:rFonts w:ascii="Times New Roman" w:hAnsi="Times New Roman" w:eastAsia="仿宋_GB2312"/>
                <w:kern w:val="0"/>
                <w:szCs w:val="21"/>
              </w:rPr>
            </w:pPr>
            <w:r>
              <w:rPr>
                <w:rFonts w:ascii="Times New Roman" w:hAnsi="Times New Roman" w:eastAsia="仿宋_GB2312"/>
                <w:color w:val="000000"/>
                <w:szCs w:val="21"/>
              </w:rPr>
              <w:t>40.00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kern w:val="0"/>
                <w:szCs w:val="21"/>
              </w:rPr>
              <w:t>8</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eastAsia="仿宋_GB2312"/>
                <w:szCs w:val="21"/>
              </w:rPr>
              <w:t>科技金融项目</w:t>
            </w:r>
          </w:p>
        </w:tc>
        <w:tc>
          <w:tcPr>
            <w:tcW w:w="2268"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color w:val="000000"/>
                <w:szCs w:val="21"/>
              </w:rPr>
              <w:t>72</w:t>
            </w:r>
          </w:p>
        </w:tc>
        <w:tc>
          <w:tcPr>
            <w:tcW w:w="2552" w:type="dxa"/>
            <w:vAlign w:val="center"/>
          </w:tcPr>
          <w:p>
            <w:pPr>
              <w:widowControl/>
              <w:spacing w:line="360" w:lineRule="auto"/>
              <w:jc w:val="right"/>
              <w:rPr>
                <w:rFonts w:ascii="Times New Roman" w:hAnsi="Times New Roman" w:eastAsia="仿宋_GB2312"/>
                <w:kern w:val="0"/>
                <w:szCs w:val="21"/>
              </w:rPr>
            </w:pPr>
            <w:r>
              <w:rPr>
                <w:rFonts w:ascii="Times New Roman" w:hAnsi="Times New Roman" w:eastAsia="仿宋_GB2312"/>
                <w:color w:val="000000"/>
                <w:szCs w:val="21"/>
              </w:rPr>
              <w:t>158.52</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kern w:val="0"/>
                <w:szCs w:val="21"/>
              </w:rPr>
              <w:t>9</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eastAsia="仿宋_GB2312"/>
                <w:szCs w:val="21"/>
              </w:rPr>
              <w:t>授权发明专利项目</w:t>
            </w:r>
          </w:p>
        </w:tc>
        <w:tc>
          <w:tcPr>
            <w:tcW w:w="2268"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color w:val="000000"/>
                <w:szCs w:val="21"/>
              </w:rPr>
              <w:t>70</w:t>
            </w:r>
          </w:p>
        </w:tc>
        <w:tc>
          <w:tcPr>
            <w:tcW w:w="2552" w:type="dxa"/>
            <w:vAlign w:val="center"/>
          </w:tcPr>
          <w:p>
            <w:pPr>
              <w:widowControl/>
              <w:spacing w:line="360" w:lineRule="auto"/>
              <w:jc w:val="right"/>
              <w:rPr>
                <w:rFonts w:ascii="Times New Roman" w:hAnsi="Times New Roman" w:eastAsia="仿宋_GB2312"/>
                <w:kern w:val="0"/>
                <w:szCs w:val="21"/>
              </w:rPr>
            </w:pPr>
            <w:r>
              <w:rPr>
                <w:rFonts w:ascii="Times New Roman" w:hAnsi="Times New Roman" w:eastAsia="仿宋_GB2312"/>
                <w:color w:val="000000"/>
                <w:szCs w:val="21"/>
              </w:rPr>
              <w:t>367.00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77" w:type="dxa"/>
            <w:gridSpan w:val="2"/>
            <w:vAlign w:val="center"/>
          </w:tcPr>
          <w:p>
            <w:pPr>
              <w:widowControl/>
              <w:spacing w:line="360" w:lineRule="auto"/>
              <w:jc w:val="center"/>
              <w:rPr>
                <w:rFonts w:ascii="仿宋_GB2312" w:eastAsia="仿宋_GB2312"/>
                <w:b/>
                <w:szCs w:val="21"/>
              </w:rPr>
            </w:pPr>
            <w:r>
              <w:rPr>
                <w:rFonts w:hint="eastAsia" w:ascii="仿宋_GB2312" w:eastAsia="仿宋_GB2312"/>
                <w:b/>
                <w:szCs w:val="21"/>
              </w:rPr>
              <w:t>合计</w:t>
            </w:r>
          </w:p>
        </w:tc>
        <w:tc>
          <w:tcPr>
            <w:tcW w:w="2268" w:type="dxa"/>
            <w:vAlign w:val="center"/>
          </w:tcPr>
          <w:p>
            <w:pPr>
              <w:widowControl/>
              <w:spacing w:line="360" w:lineRule="auto"/>
              <w:jc w:val="center"/>
              <w:rPr>
                <w:rFonts w:ascii="Times New Roman" w:hAnsi="Times New Roman" w:eastAsia="仿宋_GB2312"/>
                <w:b/>
                <w:color w:val="000000"/>
                <w:szCs w:val="21"/>
              </w:rPr>
            </w:pPr>
            <w:r>
              <w:rPr>
                <w:rFonts w:ascii="Times New Roman" w:hAnsi="Times New Roman" w:eastAsia="仿宋_GB2312"/>
                <w:b/>
                <w:color w:val="000000"/>
                <w:szCs w:val="21"/>
              </w:rPr>
              <w:t>619</w:t>
            </w:r>
          </w:p>
        </w:tc>
        <w:tc>
          <w:tcPr>
            <w:tcW w:w="2552" w:type="dxa"/>
            <w:vAlign w:val="center"/>
          </w:tcPr>
          <w:p>
            <w:pPr>
              <w:widowControl/>
              <w:spacing w:line="360" w:lineRule="auto"/>
              <w:jc w:val="right"/>
              <w:rPr>
                <w:rFonts w:ascii="Times New Roman" w:hAnsi="Times New Roman" w:eastAsia="仿宋_GB2312"/>
                <w:b/>
                <w:color w:val="000000"/>
                <w:szCs w:val="21"/>
              </w:rPr>
            </w:pPr>
            <w:r>
              <w:rPr>
                <w:rFonts w:ascii="Times New Roman" w:hAnsi="Times New Roman" w:eastAsia="仿宋_GB2312"/>
                <w:b/>
                <w:color w:val="000000"/>
                <w:szCs w:val="21"/>
              </w:rPr>
              <w:t>4,019.57</w:t>
            </w:r>
          </w:p>
        </w:tc>
      </w:tr>
    </w:tbl>
    <w:p>
      <w:pPr>
        <w:widowControl/>
        <w:spacing w:line="360" w:lineRule="auto"/>
        <w:ind w:firstLine="480" w:firstLineChars="200"/>
        <w:jc w:val="left"/>
        <w:rPr>
          <w:rFonts w:ascii="仿宋_GB2312" w:hAnsi="Times New Roman" w:eastAsia="仿宋_GB2312"/>
          <w:sz w:val="24"/>
        </w:rPr>
      </w:pPr>
      <w:r>
        <w:rPr>
          <w:rFonts w:ascii="仿宋_GB2312" w:hAnsi="宋体" w:eastAsia="仿宋_GB2312" w:cs="宋体"/>
          <w:kern w:val="0"/>
          <w:sz w:val="24"/>
        </w:rPr>
        <w:t>注释</w:t>
      </w:r>
      <w:r>
        <w:rPr>
          <w:rFonts w:hint="eastAsia" w:ascii="仿宋_GB2312" w:hAnsi="宋体" w:eastAsia="仿宋_GB2312" w:cs="宋体"/>
          <w:kern w:val="0"/>
          <w:sz w:val="24"/>
        </w:rPr>
        <w:t>1：</w:t>
      </w:r>
      <w:r>
        <w:rPr>
          <w:rFonts w:hint="eastAsia" w:ascii="仿宋_GB2312" w:hAnsi="Times New Roman" w:eastAsia="仿宋_GB2312"/>
          <w:sz w:val="24"/>
        </w:rPr>
        <w:t>重庆树百获教育信息咨询有限公司于2022年9月进行工商注销，但审核时未发现，故资金申报请示时包含该公司。</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注释2：同时满足“</w:t>
      </w:r>
      <w:r>
        <w:rPr>
          <w:rFonts w:hint="eastAsia" w:ascii="仿宋_GB2312" w:hAnsi="宋体" w:eastAsia="仿宋_GB2312" w:cs="宋体"/>
          <w:kern w:val="0"/>
          <w:sz w:val="24"/>
        </w:rPr>
        <w:t>高质量发展激励政策项目</w:t>
      </w:r>
      <w:r>
        <w:rPr>
          <w:rFonts w:hint="eastAsia" w:ascii="仿宋_GB2312" w:hAnsi="Times New Roman" w:eastAsia="仿宋_GB2312"/>
          <w:sz w:val="24"/>
        </w:rPr>
        <w:t>”与“</w:t>
      </w:r>
      <w:r>
        <w:rPr>
          <w:rFonts w:ascii="仿宋_GB2312" w:hAnsi="宋体" w:eastAsia="仿宋_GB2312" w:cs="宋体"/>
          <w:kern w:val="0"/>
          <w:sz w:val="24"/>
        </w:rPr>
        <w:t>消费品工业高质量发展项目</w:t>
      </w:r>
      <w:r>
        <w:rPr>
          <w:rFonts w:hint="eastAsia" w:ascii="仿宋_GB2312" w:hAnsi="Times New Roman" w:eastAsia="仿宋_GB2312"/>
          <w:sz w:val="24"/>
        </w:rPr>
        <w:t>”补助条件的企业择高补助，不重复补助。</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（二）项目资金到位及使用情况</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项目于2023年1月10日，区科技局上报《关于审定20</w:t>
      </w:r>
      <w:r>
        <w:rPr>
          <w:rFonts w:ascii="仿宋_GB2312" w:hAnsi="宋体" w:eastAsia="仿宋_GB2312" w:cs="宋体"/>
          <w:kern w:val="0"/>
          <w:sz w:val="24"/>
        </w:rPr>
        <w:t>20</w:t>
      </w:r>
      <w:r>
        <w:rPr>
          <w:rFonts w:hint="eastAsia" w:ascii="仿宋_GB2312" w:hAnsi="宋体" w:eastAsia="仿宋_GB2312" w:cs="宋体"/>
          <w:kern w:val="0"/>
          <w:sz w:val="24"/>
        </w:rPr>
        <w:t>年度科技创新促进高质量发展10条激励政策资金项目的请示》（</w:t>
      </w:r>
      <w:r>
        <w:rPr>
          <w:rFonts w:ascii="仿宋_GB2312" w:hAnsi="宋体" w:eastAsia="仿宋_GB2312" w:cs="宋体"/>
          <w:kern w:val="0"/>
          <w:sz w:val="24"/>
        </w:rPr>
        <w:t>津科文</w:t>
      </w:r>
      <w:r>
        <w:rPr>
          <w:rFonts w:hint="eastAsia" w:ascii="仿宋_GB2312" w:hAnsi="宋体" w:eastAsia="仿宋_GB2312" w:cs="宋体"/>
          <w:kern w:val="0"/>
          <w:sz w:val="24"/>
        </w:rPr>
        <w:t>〔2023〕2号）申请补助资金4，020.06万元。</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2023年区科技局收到批复资金为4,019.57万元，共计使用4,019.57万元。</w:t>
      </w:r>
    </w:p>
    <w:p>
      <w:pPr>
        <w:widowControl/>
        <w:spacing w:line="360" w:lineRule="auto"/>
        <w:ind w:firstLine="482" w:firstLineChars="200"/>
        <w:jc w:val="left"/>
        <w:rPr>
          <w:rFonts w:ascii="仿宋_GB2312" w:hAnsi="宋体" w:eastAsia="仿宋_GB2312" w:cs="宋体"/>
          <w:b/>
          <w:kern w:val="0"/>
          <w:sz w:val="24"/>
        </w:rPr>
      </w:pPr>
      <w:r>
        <w:rPr>
          <w:rFonts w:hint="eastAsia" w:ascii="仿宋_GB2312" w:hAnsi="宋体" w:eastAsia="仿宋_GB2312" w:cs="宋体"/>
          <w:b/>
          <w:kern w:val="0"/>
          <w:sz w:val="24"/>
        </w:rPr>
        <w:t>二、绩效评价结果</w:t>
      </w:r>
    </w:p>
    <w:p>
      <w:pPr>
        <w:pStyle w:val="56"/>
        <w:tabs>
          <w:tab w:val="left" w:pos="993"/>
        </w:tabs>
        <w:spacing w:line="360" w:lineRule="auto"/>
        <w:ind w:firstLine="480"/>
        <w:rPr>
          <w:rFonts w:eastAsia="仿宋_GB2312"/>
          <w:sz w:val="24"/>
          <w:szCs w:val="21"/>
        </w:rPr>
      </w:pPr>
      <w:r>
        <w:rPr>
          <w:rFonts w:hint="eastAsia" w:ascii="仿宋_GB2312" w:hAnsi="宋体" w:eastAsia="仿宋_GB2312" w:cs="宋体"/>
          <w:sz w:val="24"/>
        </w:rPr>
        <w:t>根据综合评价，</w:t>
      </w:r>
      <w:bookmarkStart w:id="1" w:name="_Hlk140666840"/>
      <w:r>
        <w:rPr>
          <w:rFonts w:hint="eastAsia" w:ascii="仿宋_GB2312" w:hAnsi="宋体" w:eastAsia="仿宋_GB2312" w:cs="宋体"/>
          <w:sz w:val="24"/>
        </w:rPr>
        <w:t>2</w:t>
      </w:r>
      <w:r>
        <w:rPr>
          <w:rFonts w:ascii="仿宋_GB2312" w:hAnsi="宋体" w:eastAsia="仿宋_GB2312" w:cs="宋体"/>
          <w:sz w:val="24"/>
        </w:rPr>
        <w:t>020</w:t>
      </w:r>
      <w:r>
        <w:rPr>
          <w:rFonts w:hint="eastAsia" w:ascii="仿宋_GB2312" w:hAnsi="宋体" w:eastAsia="仿宋_GB2312" w:cs="宋体"/>
          <w:sz w:val="24"/>
        </w:rPr>
        <w:t>年科技创新高质量发展项目</w:t>
      </w:r>
      <w:bookmarkEnd w:id="1"/>
      <w:r>
        <w:rPr>
          <w:rFonts w:hint="eastAsia" w:ascii="仿宋_GB2312" w:hAnsi="宋体" w:eastAsia="仿宋_GB2312" w:cs="宋体"/>
          <w:sz w:val="24"/>
        </w:rPr>
        <w:t>综合得分8</w:t>
      </w:r>
      <w:r>
        <w:rPr>
          <w:rFonts w:ascii="仿宋_GB2312" w:hAnsi="宋体" w:eastAsia="仿宋_GB2312" w:cs="宋体"/>
          <w:sz w:val="24"/>
        </w:rPr>
        <w:t>3</w:t>
      </w:r>
      <w:r>
        <w:rPr>
          <w:rFonts w:hint="eastAsia" w:ascii="仿宋_GB2312" w:hAnsi="宋体" w:eastAsia="仿宋_GB2312" w:cs="宋体"/>
          <w:sz w:val="24"/>
        </w:rPr>
        <w:t>.00分，评价等级“良”。</w:t>
      </w:r>
      <w:r>
        <w:rPr>
          <w:rFonts w:eastAsia="仿宋_GB2312"/>
          <w:sz w:val="24"/>
          <w:szCs w:val="21"/>
        </w:rPr>
        <w:t>各项指标得分详见下表：</w:t>
      </w:r>
    </w:p>
    <w:tbl>
      <w:tblPr>
        <w:tblStyle w:val="21"/>
        <w:tblW w:w="0" w:type="auto"/>
        <w:tblInd w:w="0" w:type="dxa"/>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2238"/>
        <w:gridCol w:w="2238"/>
        <w:gridCol w:w="2238"/>
        <w:gridCol w:w="2238"/>
      </w:tblGrid>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trPr>
        <w:tc>
          <w:tcPr>
            <w:tcW w:w="2238" w:type="dxa"/>
            <w:vAlign w:val="center"/>
          </w:tcPr>
          <w:p>
            <w:pPr>
              <w:widowControl/>
              <w:tabs>
                <w:tab w:val="left" w:pos="993"/>
              </w:tabs>
              <w:overflowPunct w:val="0"/>
              <w:autoSpaceDE w:val="0"/>
              <w:autoSpaceDN w:val="0"/>
              <w:adjustRightInd w:val="0"/>
              <w:spacing w:line="360" w:lineRule="auto"/>
              <w:jc w:val="center"/>
              <w:rPr>
                <w:rFonts w:eastAsia="仿宋_GB2312"/>
                <w:b/>
                <w:bCs/>
                <w:kern w:val="0"/>
                <w:szCs w:val="21"/>
              </w:rPr>
            </w:pPr>
            <w:r>
              <w:rPr>
                <w:rFonts w:hint="eastAsia" w:eastAsia="仿宋_GB2312"/>
                <w:b/>
                <w:bCs/>
                <w:kern w:val="0"/>
                <w:szCs w:val="21"/>
              </w:rPr>
              <w:t>一级指标</w:t>
            </w:r>
          </w:p>
        </w:tc>
        <w:tc>
          <w:tcPr>
            <w:tcW w:w="2238" w:type="dxa"/>
            <w:vAlign w:val="center"/>
          </w:tcPr>
          <w:p>
            <w:pPr>
              <w:widowControl/>
              <w:tabs>
                <w:tab w:val="left" w:pos="993"/>
              </w:tabs>
              <w:overflowPunct w:val="0"/>
              <w:autoSpaceDE w:val="0"/>
              <w:autoSpaceDN w:val="0"/>
              <w:adjustRightInd w:val="0"/>
              <w:spacing w:line="360" w:lineRule="auto"/>
              <w:jc w:val="center"/>
              <w:rPr>
                <w:rFonts w:eastAsia="仿宋_GB2312"/>
                <w:b/>
                <w:bCs/>
                <w:kern w:val="0"/>
                <w:szCs w:val="21"/>
              </w:rPr>
            </w:pPr>
            <w:r>
              <w:rPr>
                <w:rFonts w:hint="eastAsia" w:eastAsia="仿宋_GB2312"/>
                <w:b/>
                <w:bCs/>
                <w:kern w:val="0"/>
                <w:szCs w:val="21"/>
              </w:rPr>
              <w:t>权重</w:t>
            </w:r>
          </w:p>
        </w:tc>
        <w:tc>
          <w:tcPr>
            <w:tcW w:w="2238" w:type="dxa"/>
            <w:vAlign w:val="center"/>
          </w:tcPr>
          <w:p>
            <w:pPr>
              <w:widowControl/>
              <w:tabs>
                <w:tab w:val="left" w:pos="993"/>
              </w:tabs>
              <w:overflowPunct w:val="0"/>
              <w:autoSpaceDE w:val="0"/>
              <w:autoSpaceDN w:val="0"/>
              <w:adjustRightInd w:val="0"/>
              <w:spacing w:line="360" w:lineRule="auto"/>
              <w:jc w:val="center"/>
              <w:rPr>
                <w:rFonts w:eastAsia="仿宋_GB2312"/>
                <w:b/>
                <w:bCs/>
                <w:kern w:val="0"/>
                <w:szCs w:val="21"/>
              </w:rPr>
            </w:pPr>
            <w:r>
              <w:rPr>
                <w:rFonts w:hint="eastAsia" w:eastAsia="仿宋_GB2312"/>
                <w:b/>
                <w:bCs/>
                <w:kern w:val="0"/>
                <w:szCs w:val="21"/>
              </w:rPr>
              <w:t>综合得分</w:t>
            </w:r>
          </w:p>
        </w:tc>
        <w:tc>
          <w:tcPr>
            <w:tcW w:w="2238" w:type="dxa"/>
            <w:vAlign w:val="center"/>
          </w:tcPr>
          <w:p>
            <w:pPr>
              <w:widowControl/>
              <w:tabs>
                <w:tab w:val="left" w:pos="993"/>
              </w:tabs>
              <w:overflowPunct w:val="0"/>
              <w:autoSpaceDE w:val="0"/>
              <w:autoSpaceDN w:val="0"/>
              <w:adjustRightInd w:val="0"/>
              <w:spacing w:line="360" w:lineRule="auto"/>
              <w:jc w:val="center"/>
              <w:rPr>
                <w:rFonts w:eastAsia="仿宋_GB2312"/>
                <w:b/>
                <w:bCs/>
                <w:kern w:val="0"/>
                <w:szCs w:val="21"/>
              </w:rPr>
            </w:pPr>
            <w:r>
              <w:rPr>
                <w:rFonts w:hint="eastAsia" w:eastAsia="仿宋_GB2312"/>
                <w:b/>
                <w:bCs/>
                <w:kern w:val="0"/>
                <w:szCs w:val="21"/>
              </w:rPr>
              <w:t>得分率（</w:t>
            </w:r>
            <w:r>
              <w:rPr>
                <w:rFonts w:eastAsia="仿宋_GB2312"/>
                <w:b/>
                <w:bCs/>
                <w:kern w:val="0"/>
                <w:szCs w:val="21"/>
              </w:rPr>
              <w:t>%</w:t>
            </w:r>
            <w:r>
              <w:rPr>
                <w:rFonts w:hint="eastAsia" w:eastAsia="仿宋_GB2312"/>
                <w:b/>
                <w:bCs/>
                <w:kern w:val="0"/>
                <w:szCs w:val="21"/>
              </w:rPr>
              <w:t>）</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238" w:type="dxa"/>
            <w:vAlign w:val="center"/>
          </w:tcPr>
          <w:p>
            <w:pPr>
              <w:widowControl/>
              <w:tabs>
                <w:tab w:val="left" w:pos="993"/>
              </w:tabs>
              <w:overflowPunct w:val="0"/>
              <w:autoSpaceDE w:val="0"/>
              <w:autoSpaceDN w:val="0"/>
              <w:adjustRightInd w:val="0"/>
              <w:spacing w:line="360" w:lineRule="auto"/>
              <w:jc w:val="center"/>
              <w:rPr>
                <w:rFonts w:eastAsia="仿宋_GB2312"/>
                <w:kern w:val="0"/>
                <w:szCs w:val="21"/>
              </w:rPr>
            </w:pPr>
            <w:r>
              <w:rPr>
                <w:rFonts w:hint="eastAsia" w:eastAsia="仿宋_GB2312"/>
                <w:kern w:val="0"/>
                <w:szCs w:val="21"/>
              </w:rPr>
              <w:t>投入</w:t>
            </w:r>
          </w:p>
        </w:tc>
        <w:tc>
          <w:tcPr>
            <w:tcW w:w="2238" w:type="dxa"/>
            <w:vAlign w:val="center"/>
          </w:tcPr>
          <w:p>
            <w:pPr>
              <w:widowControl/>
              <w:jc w:val="center"/>
              <w:textAlignment w:val="center"/>
              <w:rPr>
                <w:rFonts w:ascii="Times New Roman" w:hAnsi="Times New Roman" w:eastAsia="仿宋_GB2312"/>
                <w:szCs w:val="21"/>
              </w:rPr>
            </w:pPr>
            <w:r>
              <w:rPr>
                <w:rFonts w:ascii="Times New Roman" w:hAnsi="Times New Roman" w:eastAsia="仿宋_GB2312"/>
                <w:szCs w:val="21"/>
              </w:rPr>
              <w:t>10.00</w:t>
            </w:r>
          </w:p>
        </w:tc>
        <w:tc>
          <w:tcPr>
            <w:tcW w:w="2238" w:type="dxa"/>
            <w:vAlign w:val="center"/>
          </w:tcPr>
          <w:p>
            <w:pPr>
              <w:widowControl/>
              <w:jc w:val="center"/>
              <w:textAlignment w:val="center"/>
              <w:rPr>
                <w:rFonts w:ascii="Times New Roman" w:hAnsi="Times New Roman" w:eastAsia="仿宋_GB2312"/>
                <w:szCs w:val="21"/>
              </w:rPr>
            </w:pPr>
            <w:r>
              <w:rPr>
                <w:rFonts w:ascii="Times New Roman" w:hAnsi="Times New Roman" w:eastAsia="仿宋_GB2312"/>
                <w:szCs w:val="21"/>
              </w:rPr>
              <w:t>8.00</w:t>
            </w:r>
          </w:p>
        </w:tc>
        <w:tc>
          <w:tcPr>
            <w:tcW w:w="2238" w:type="dxa"/>
            <w:vAlign w:val="center"/>
          </w:tcPr>
          <w:p>
            <w:pPr>
              <w:widowControl/>
              <w:jc w:val="center"/>
              <w:textAlignment w:val="center"/>
              <w:rPr>
                <w:rFonts w:ascii="Times New Roman" w:hAnsi="Times New Roman" w:eastAsia="仿宋_GB2312"/>
                <w:szCs w:val="21"/>
              </w:rPr>
            </w:pPr>
            <w:r>
              <w:rPr>
                <w:rFonts w:ascii="Times New Roman" w:hAnsi="Times New Roman" w:eastAsia="仿宋_GB2312"/>
                <w:color w:val="000000"/>
                <w:szCs w:val="21"/>
              </w:rPr>
              <w:t>80.00%</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238" w:type="dxa"/>
            <w:vAlign w:val="center"/>
          </w:tcPr>
          <w:p>
            <w:pPr>
              <w:widowControl/>
              <w:tabs>
                <w:tab w:val="left" w:pos="993"/>
              </w:tabs>
              <w:overflowPunct w:val="0"/>
              <w:autoSpaceDE w:val="0"/>
              <w:autoSpaceDN w:val="0"/>
              <w:adjustRightInd w:val="0"/>
              <w:spacing w:line="360" w:lineRule="auto"/>
              <w:jc w:val="center"/>
              <w:rPr>
                <w:rFonts w:eastAsia="仿宋_GB2312"/>
                <w:kern w:val="0"/>
                <w:szCs w:val="21"/>
              </w:rPr>
            </w:pPr>
            <w:r>
              <w:rPr>
                <w:rFonts w:hint="eastAsia" w:eastAsia="仿宋_GB2312"/>
                <w:kern w:val="0"/>
                <w:szCs w:val="21"/>
              </w:rPr>
              <w:t>管理</w:t>
            </w:r>
          </w:p>
        </w:tc>
        <w:tc>
          <w:tcPr>
            <w:tcW w:w="2238" w:type="dxa"/>
            <w:vAlign w:val="center"/>
          </w:tcPr>
          <w:p>
            <w:pPr>
              <w:widowControl/>
              <w:jc w:val="center"/>
              <w:textAlignment w:val="center"/>
              <w:rPr>
                <w:rFonts w:ascii="Times New Roman" w:hAnsi="Times New Roman" w:eastAsia="仿宋_GB2312"/>
                <w:szCs w:val="21"/>
              </w:rPr>
            </w:pPr>
            <w:r>
              <w:rPr>
                <w:rFonts w:ascii="Times New Roman" w:hAnsi="Times New Roman" w:eastAsia="仿宋_GB2312"/>
                <w:szCs w:val="21"/>
              </w:rPr>
              <w:t>20.00</w:t>
            </w:r>
          </w:p>
        </w:tc>
        <w:tc>
          <w:tcPr>
            <w:tcW w:w="2238" w:type="dxa"/>
            <w:vAlign w:val="center"/>
          </w:tcPr>
          <w:p>
            <w:pPr>
              <w:widowControl/>
              <w:jc w:val="center"/>
              <w:textAlignment w:val="center"/>
              <w:rPr>
                <w:rFonts w:ascii="Times New Roman" w:hAnsi="Times New Roman" w:eastAsia="仿宋_GB2312"/>
                <w:szCs w:val="21"/>
              </w:rPr>
            </w:pPr>
            <w:r>
              <w:rPr>
                <w:rFonts w:ascii="Times New Roman" w:hAnsi="Times New Roman" w:eastAsia="仿宋_GB2312"/>
                <w:szCs w:val="21"/>
              </w:rPr>
              <w:t>15.50</w:t>
            </w:r>
          </w:p>
        </w:tc>
        <w:tc>
          <w:tcPr>
            <w:tcW w:w="2238" w:type="dxa"/>
            <w:vAlign w:val="center"/>
          </w:tcPr>
          <w:p>
            <w:pPr>
              <w:widowControl/>
              <w:jc w:val="center"/>
              <w:textAlignment w:val="center"/>
              <w:rPr>
                <w:rFonts w:ascii="Times New Roman" w:hAnsi="Times New Roman" w:eastAsia="仿宋_GB2312"/>
                <w:szCs w:val="21"/>
              </w:rPr>
            </w:pPr>
            <w:r>
              <w:rPr>
                <w:rFonts w:ascii="Times New Roman" w:hAnsi="Times New Roman" w:eastAsia="仿宋_GB2312"/>
                <w:color w:val="000000"/>
                <w:szCs w:val="21"/>
              </w:rPr>
              <w:t>77.50%</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238" w:type="dxa"/>
            <w:vAlign w:val="center"/>
          </w:tcPr>
          <w:p>
            <w:pPr>
              <w:widowControl/>
              <w:tabs>
                <w:tab w:val="left" w:pos="993"/>
              </w:tabs>
              <w:overflowPunct w:val="0"/>
              <w:autoSpaceDE w:val="0"/>
              <w:autoSpaceDN w:val="0"/>
              <w:adjustRightInd w:val="0"/>
              <w:spacing w:line="360" w:lineRule="auto"/>
              <w:jc w:val="center"/>
              <w:rPr>
                <w:rFonts w:eastAsia="仿宋_GB2312"/>
                <w:kern w:val="0"/>
                <w:szCs w:val="21"/>
              </w:rPr>
            </w:pPr>
            <w:r>
              <w:rPr>
                <w:rFonts w:hint="eastAsia" w:eastAsia="仿宋_GB2312"/>
                <w:kern w:val="0"/>
                <w:szCs w:val="21"/>
              </w:rPr>
              <w:t>产出</w:t>
            </w:r>
          </w:p>
        </w:tc>
        <w:tc>
          <w:tcPr>
            <w:tcW w:w="2238" w:type="dxa"/>
            <w:vAlign w:val="center"/>
          </w:tcPr>
          <w:p>
            <w:pPr>
              <w:widowControl/>
              <w:jc w:val="center"/>
              <w:textAlignment w:val="center"/>
              <w:rPr>
                <w:rFonts w:ascii="Times New Roman" w:hAnsi="Times New Roman" w:eastAsia="仿宋_GB2312"/>
                <w:szCs w:val="21"/>
              </w:rPr>
            </w:pPr>
            <w:r>
              <w:rPr>
                <w:rFonts w:ascii="Times New Roman" w:hAnsi="Times New Roman" w:eastAsia="仿宋_GB2312"/>
                <w:szCs w:val="21"/>
              </w:rPr>
              <w:t>35.00</w:t>
            </w:r>
          </w:p>
        </w:tc>
        <w:tc>
          <w:tcPr>
            <w:tcW w:w="2238" w:type="dxa"/>
            <w:vAlign w:val="center"/>
          </w:tcPr>
          <w:p>
            <w:pPr>
              <w:widowControl/>
              <w:jc w:val="center"/>
              <w:textAlignment w:val="center"/>
              <w:rPr>
                <w:rFonts w:ascii="Times New Roman" w:hAnsi="Times New Roman" w:eastAsia="仿宋_GB2312"/>
                <w:szCs w:val="21"/>
              </w:rPr>
            </w:pPr>
            <w:r>
              <w:rPr>
                <w:rFonts w:ascii="Times New Roman" w:hAnsi="Times New Roman" w:eastAsia="仿宋_GB2312"/>
                <w:szCs w:val="21"/>
              </w:rPr>
              <w:t>31.50</w:t>
            </w:r>
          </w:p>
        </w:tc>
        <w:tc>
          <w:tcPr>
            <w:tcW w:w="2238" w:type="dxa"/>
            <w:vAlign w:val="center"/>
          </w:tcPr>
          <w:p>
            <w:pPr>
              <w:widowControl/>
              <w:jc w:val="center"/>
              <w:textAlignment w:val="center"/>
              <w:rPr>
                <w:rFonts w:ascii="Times New Roman" w:hAnsi="Times New Roman" w:eastAsia="仿宋_GB2312"/>
                <w:szCs w:val="21"/>
              </w:rPr>
            </w:pPr>
            <w:r>
              <w:rPr>
                <w:rFonts w:ascii="Times New Roman" w:hAnsi="Times New Roman" w:eastAsia="仿宋_GB2312"/>
                <w:color w:val="000000"/>
                <w:szCs w:val="21"/>
              </w:rPr>
              <w:t>90.00%</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238" w:type="dxa"/>
            <w:vAlign w:val="center"/>
          </w:tcPr>
          <w:p>
            <w:pPr>
              <w:widowControl/>
              <w:tabs>
                <w:tab w:val="left" w:pos="993"/>
              </w:tabs>
              <w:overflowPunct w:val="0"/>
              <w:autoSpaceDE w:val="0"/>
              <w:autoSpaceDN w:val="0"/>
              <w:adjustRightInd w:val="0"/>
              <w:spacing w:line="360" w:lineRule="auto"/>
              <w:jc w:val="center"/>
              <w:rPr>
                <w:rFonts w:eastAsia="仿宋_GB2312"/>
                <w:kern w:val="0"/>
                <w:szCs w:val="21"/>
              </w:rPr>
            </w:pPr>
            <w:r>
              <w:rPr>
                <w:rFonts w:hint="eastAsia" w:eastAsia="仿宋_GB2312"/>
                <w:kern w:val="0"/>
                <w:szCs w:val="21"/>
              </w:rPr>
              <w:t>效果</w:t>
            </w:r>
          </w:p>
        </w:tc>
        <w:tc>
          <w:tcPr>
            <w:tcW w:w="2238" w:type="dxa"/>
            <w:vAlign w:val="center"/>
          </w:tcPr>
          <w:p>
            <w:pPr>
              <w:widowControl/>
              <w:jc w:val="center"/>
              <w:textAlignment w:val="center"/>
              <w:rPr>
                <w:rFonts w:ascii="Times New Roman" w:hAnsi="Times New Roman" w:eastAsia="仿宋_GB2312"/>
                <w:szCs w:val="21"/>
              </w:rPr>
            </w:pPr>
            <w:r>
              <w:rPr>
                <w:rFonts w:ascii="Times New Roman" w:hAnsi="Times New Roman" w:eastAsia="仿宋_GB2312"/>
                <w:szCs w:val="21"/>
              </w:rPr>
              <w:t>35.00</w:t>
            </w:r>
          </w:p>
        </w:tc>
        <w:tc>
          <w:tcPr>
            <w:tcW w:w="2238" w:type="dxa"/>
            <w:vAlign w:val="center"/>
          </w:tcPr>
          <w:p>
            <w:pPr>
              <w:widowControl/>
              <w:jc w:val="center"/>
              <w:textAlignment w:val="center"/>
              <w:rPr>
                <w:rFonts w:ascii="Times New Roman" w:hAnsi="Times New Roman" w:eastAsia="仿宋_GB2312"/>
                <w:szCs w:val="21"/>
              </w:rPr>
            </w:pPr>
            <w:r>
              <w:rPr>
                <w:rFonts w:ascii="Times New Roman" w:hAnsi="Times New Roman" w:eastAsia="仿宋_GB2312"/>
                <w:szCs w:val="21"/>
              </w:rPr>
              <w:t>28</w:t>
            </w:r>
          </w:p>
        </w:tc>
        <w:tc>
          <w:tcPr>
            <w:tcW w:w="2238" w:type="dxa"/>
            <w:vAlign w:val="center"/>
          </w:tcPr>
          <w:p>
            <w:pPr>
              <w:widowControl/>
              <w:jc w:val="center"/>
              <w:textAlignment w:val="center"/>
              <w:rPr>
                <w:rFonts w:ascii="Times New Roman" w:hAnsi="Times New Roman" w:eastAsia="仿宋_GB2312"/>
                <w:szCs w:val="21"/>
              </w:rPr>
            </w:pPr>
            <w:r>
              <w:rPr>
                <w:rFonts w:ascii="Times New Roman" w:hAnsi="Times New Roman" w:eastAsia="仿宋_GB2312"/>
                <w:color w:val="000000"/>
                <w:szCs w:val="21"/>
              </w:rPr>
              <w:t>80.00%</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238" w:type="dxa"/>
            <w:vAlign w:val="center"/>
          </w:tcPr>
          <w:p>
            <w:pPr>
              <w:widowControl/>
              <w:tabs>
                <w:tab w:val="left" w:pos="993"/>
              </w:tabs>
              <w:overflowPunct w:val="0"/>
              <w:autoSpaceDE w:val="0"/>
              <w:autoSpaceDN w:val="0"/>
              <w:adjustRightInd w:val="0"/>
              <w:spacing w:line="360" w:lineRule="auto"/>
              <w:jc w:val="center"/>
              <w:rPr>
                <w:rFonts w:eastAsia="仿宋_GB2312"/>
                <w:b/>
                <w:bCs/>
                <w:kern w:val="0"/>
                <w:szCs w:val="21"/>
              </w:rPr>
            </w:pPr>
            <w:r>
              <w:rPr>
                <w:rFonts w:hint="eastAsia" w:eastAsia="仿宋_GB2312"/>
                <w:b/>
                <w:bCs/>
                <w:kern w:val="0"/>
                <w:szCs w:val="21"/>
              </w:rPr>
              <w:t>合计</w:t>
            </w:r>
          </w:p>
        </w:tc>
        <w:tc>
          <w:tcPr>
            <w:tcW w:w="2238" w:type="dxa"/>
            <w:vAlign w:val="center"/>
          </w:tcPr>
          <w:p>
            <w:pPr>
              <w:widowControl/>
              <w:jc w:val="center"/>
              <w:textAlignment w:val="center"/>
              <w:rPr>
                <w:rFonts w:ascii="Times New Roman" w:hAnsi="Times New Roman" w:eastAsia="仿宋_GB2312"/>
                <w:b/>
                <w:bCs/>
                <w:szCs w:val="21"/>
              </w:rPr>
            </w:pPr>
            <w:r>
              <w:rPr>
                <w:rFonts w:ascii="Times New Roman" w:hAnsi="Times New Roman" w:eastAsia="仿宋_GB2312"/>
                <w:b/>
                <w:bCs/>
                <w:color w:val="000000"/>
                <w:kern w:val="0"/>
                <w:szCs w:val="21"/>
              </w:rPr>
              <w:t xml:space="preserve">100.00 </w:t>
            </w:r>
          </w:p>
        </w:tc>
        <w:tc>
          <w:tcPr>
            <w:tcW w:w="2238" w:type="dxa"/>
            <w:vAlign w:val="center"/>
          </w:tcPr>
          <w:p>
            <w:pPr>
              <w:widowControl/>
              <w:jc w:val="center"/>
              <w:textAlignment w:val="center"/>
              <w:rPr>
                <w:rFonts w:ascii="Times New Roman" w:hAnsi="Times New Roman" w:eastAsia="仿宋_GB2312"/>
                <w:b/>
                <w:bCs/>
                <w:szCs w:val="21"/>
              </w:rPr>
            </w:pPr>
            <w:r>
              <w:rPr>
                <w:rFonts w:ascii="Times New Roman" w:hAnsi="Times New Roman" w:eastAsia="仿宋_GB2312"/>
                <w:b/>
                <w:bCs/>
                <w:szCs w:val="21"/>
              </w:rPr>
              <w:t>83.00</w:t>
            </w:r>
          </w:p>
        </w:tc>
        <w:tc>
          <w:tcPr>
            <w:tcW w:w="2238" w:type="dxa"/>
            <w:vAlign w:val="center"/>
          </w:tcPr>
          <w:p>
            <w:pPr>
              <w:widowControl/>
              <w:jc w:val="center"/>
              <w:textAlignment w:val="center"/>
              <w:rPr>
                <w:rFonts w:ascii="Times New Roman" w:hAnsi="Times New Roman" w:eastAsia="仿宋_GB2312"/>
                <w:b/>
                <w:bCs/>
                <w:color w:val="000000"/>
                <w:szCs w:val="21"/>
              </w:rPr>
            </w:pPr>
            <w:r>
              <w:rPr>
                <w:rFonts w:ascii="Times New Roman" w:hAnsi="Times New Roman" w:eastAsia="仿宋_GB2312"/>
                <w:b/>
                <w:color w:val="000000"/>
                <w:szCs w:val="21"/>
              </w:rPr>
              <w:t>83.00%</w:t>
            </w:r>
          </w:p>
        </w:tc>
      </w:tr>
    </w:tbl>
    <w:p>
      <w:pPr>
        <w:widowControl/>
        <w:spacing w:line="360" w:lineRule="auto"/>
        <w:ind w:firstLine="480" w:firstLineChars="200"/>
        <w:jc w:val="left"/>
        <w:rPr>
          <w:rFonts w:ascii="仿宋_GB2312" w:hAnsi="Times New Roman" w:eastAsia="仿宋_GB2312"/>
          <w:bCs/>
          <w:sz w:val="24"/>
        </w:rPr>
      </w:pPr>
      <w:r>
        <w:rPr>
          <w:rFonts w:hint="eastAsia" w:ascii="仿宋_GB2312" w:hAnsi="Times New Roman" w:eastAsia="仿宋_GB2312"/>
          <w:bCs/>
          <w:sz w:val="24"/>
        </w:rPr>
        <w:t>评价认为，江津区科技局2020年科技创新高质量发展项目在加大江津区研发经费投入和科技成果转化力度，激发江津区企业的创新活力和动力，推动江津区经济社会高质量发展起到了一定的积极作用，创新创业环境持续改善，创新创业主体日益多元化，创新创业社会氛围更加浓厚</w:t>
      </w:r>
      <w:r>
        <w:rPr>
          <w:rFonts w:hint="eastAsia" w:ascii="仿宋_GB2312" w:hAnsi="宋体" w:eastAsia="仿宋_GB2312" w:cs="宋体"/>
          <w:sz w:val="24"/>
        </w:rPr>
        <w:t>，截止到2022年12月31日，全区共计拥有科技型企业1678家，高新技术企业351家，市级以上的科技创新平台186个，授权发明专利2325个，但也存在政策建设、项目管理、产出质量、效果等问题，详见“三、发现的主要问题及建议”。</w:t>
      </w:r>
    </w:p>
    <w:p>
      <w:pPr>
        <w:widowControl/>
        <w:spacing w:line="360" w:lineRule="auto"/>
        <w:ind w:firstLine="482" w:firstLineChars="200"/>
        <w:jc w:val="left"/>
        <w:rPr>
          <w:rFonts w:ascii="仿宋_GB2312" w:hAnsi="Times New Roman" w:eastAsia="仿宋_GB2312"/>
          <w:b/>
          <w:sz w:val="24"/>
        </w:rPr>
      </w:pPr>
      <w:r>
        <w:rPr>
          <w:rFonts w:hint="eastAsia" w:ascii="仿宋_GB2312" w:hAnsi="Times New Roman" w:eastAsia="仿宋_GB2312"/>
          <w:b/>
          <w:sz w:val="24"/>
        </w:rPr>
        <w:t>三</w:t>
      </w:r>
      <w:r>
        <w:rPr>
          <w:rFonts w:hint="eastAsia" w:ascii="仿宋_GB2312" w:hAnsi="Times New Roman" w:eastAsia="仿宋_GB2312"/>
          <w:sz w:val="24"/>
        </w:rPr>
        <w:t>、</w:t>
      </w:r>
      <w:r>
        <w:rPr>
          <w:rFonts w:hint="eastAsia" w:ascii="仿宋_GB2312" w:hAnsi="Times New Roman" w:eastAsia="仿宋_GB2312"/>
          <w:b/>
          <w:sz w:val="24"/>
        </w:rPr>
        <w:t>主要问题</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（一）</w:t>
      </w:r>
      <w:r>
        <w:rPr>
          <w:rFonts w:hint="eastAsia" w:ascii="仿宋_GB2312" w:eastAsia="仿宋_GB2312"/>
          <w:sz w:val="24"/>
        </w:rPr>
        <w:t>绩效目标设置不完整</w:t>
      </w:r>
      <w:r>
        <w:rPr>
          <w:rFonts w:hint="eastAsia" w:ascii="仿宋_GB2312" w:hAnsi="宋体" w:eastAsia="仿宋_GB2312" w:cs="宋体"/>
          <w:kern w:val="0"/>
          <w:sz w:val="24"/>
        </w:rPr>
        <w:t>，且与预算确定的项目资金未能完全匹配</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评价发现，区科技局设置的绩效目标存在设置绩效指标不完整，部分重要绩效指标未设置、且与预算确定的项目资金未能完全匹配的情况，如区科技局设置的绩效目标-产出指标中未设置质量指标，质量指标的缺失无法衡量项目审核的严谨性。产出指标中数量指标中仅设置了科技型企业数量、高新技术企业数量、创新平台数量，未对研发投入、科技成果转化、科技金融支撑、专利的运用等设置相应指标。</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（二）项目管理方面</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Times New Roman" w:eastAsia="仿宋_GB2312"/>
          <w:sz w:val="24"/>
        </w:rPr>
        <w:t>1</w:t>
      </w:r>
      <w:r>
        <w:rPr>
          <w:rFonts w:ascii="仿宋_GB2312" w:hAnsi="Times New Roman" w:eastAsia="仿宋_GB2312"/>
          <w:sz w:val="24"/>
        </w:rPr>
        <w:t>.</w:t>
      </w:r>
      <w:r>
        <w:rPr>
          <w:rFonts w:hint="eastAsia" w:ascii="仿宋_GB2312" w:hAnsi="宋体" w:eastAsia="仿宋_GB2312" w:cs="宋体"/>
          <w:kern w:val="0"/>
          <w:sz w:val="24"/>
        </w:rPr>
        <w:t>项目制度文件缺失重要政策条款，且部分条款或标准存在不一致的情况</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评价发现，</w:t>
      </w:r>
      <w:r>
        <w:rPr>
          <w:rFonts w:ascii="仿宋_GB2312" w:hAnsi="宋体" w:eastAsia="仿宋_GB2312" w:cs="宋体"/>
          <w:kern w:val="0"/>
          <w:sz w:val="24"/>
        </w:rPr>
        <w:t>区科技局上报</w:t>
      </w:r>
      <w:r>
        <w:rPr>
          <w:rFonts w:hint="eastAsia" w:ascii="仿宋_GB2312" w:hAnsi="宋体" w:eastAsia="仿宋_GB2312" w:cs="宋体"/>
          <w:kern w:val="0"/>
          <w:sz w:val="24"/>
        </w:rPr>
        <w:t>重庆市江津区人民政府办公室设立的《</w:t>
      </w:r>
      <w:r>
        <w:rPr>
          <w:rFonts w:ascii="仿宋_GB2312" w:hAnsi="宋体" w:eastAsia="仿宋_GB2312" w:cs="宋体"/>
          <w:kern w:val="0"/>
          <w:sz w:val="24"/>
        </w:rPr>
        <w:t>关于印发江津区科技创新促进高质量发展10条激励政策实施细则（试行）的通知</w:t>
      </w:r>
      <w:r>
        <w:rPr>
          <w:rFonts w:hint="eastAsia" w:ascii="仿宋_GB2312" w:hAnsi="宋体" w:eastAsia="仿宋_GB2312" w:cs="宋体"/>
          <w:kern w:val="0"/>
          <w:sz w:val="24"/>
        </w:rPr>
        <w:t>》</w:t>
      </w:r>
      <w:r>
        <w:rPr>
          <w:rFonts w:ascii="仿宋_GB2312" w:hAnsi="宋体" w:eastAsia="仿宋_GB2312" w:cs="宋体"/>
          <w:kern w:val="0"/>
          <w:sz w:val="24"/>
        </w:rPr>
        <w:t>（</w:t>
      </w:r>
      <w:r>
        <w:rPr>
          <w:rFonts w:hint="eastAsia" w:ascii="仿宋_GB2312" w:hAnsi="宋体" w:eastAsia="仿宋_GB2312" w:cs="宋体"/>
          <w:kern w:val="0"/>
          <w:sz w:val="24"/>
        </w:rPr>
        <w:t>江津府办发〔201</w:t>
      </w:r>
      <w:r>
        <w:rPr>
          <w:rFonts w:ascii="仿宋_GB2312" w:hAnsi="宋体" w:eastAsia="仿宋_GB2312" w:cs="宋体"/>
          <w:kern w:val="0"/>
          <w:sz w:val="24"/>
        </w:rPr>
        <w:t>9</w:t>
      </w:r>
      <w:r>
        <w:rPr>
          <w:rFonts w:hint="eastAsia" w:ascii="仿宋_GB2312" w:hAnsi="宋体" w:eastAsia="仿宋_GB2312" w:cs="宋体"/>
          <w:kern w:val="0"/>
          <w:sz w:val="24"/>
        </w:rPr>
        <w:t>〕</w:t>
      </w:r>
      <w:r>
        <w:rPr>
          <w:rFonts w:ascii="仿宋_GB2312" w:hAnsi="宋体" w:eastAsia="仿宋_GB2312" w:cs="宋体"/>
          <w:kern w:val="0"/>
          <w:sz w:val="24"/>
        </w:rPr>
        <w:t>77</w:t>
      </w:r>
      <w:r>
        <w:rPr>
          <w:rFonts w:hint="eastAsia" w:ascii="仿宋_GB2312" w:hAnsi="宋体" w:eastAsia="仿宋_GB2312" w:cs="宋体"/>
          <w:kern w:val="0"/>
          <w:sz w:val="24"/>
        </w:rPr>
        <w:t>号</w:t>
      </w:r>
      <w:r>
        <w:rPr>
          <w:rFonts w:ascii="仿宋_GB2312" w:hAnsi="宋体" w:eastAsia="仿宋_GB2312" w:cs="宋体"/>
          <w:kern w:val="0"/>
          <w:sz w:val="24"/>
        </w:rPr>
        <w:t>）</w:t>
      </w:r>
      <w:r>
        <w:rPr>
          <w:rFonts w:hint="eastAsia" w:ascii="仿宋_GB2312" w:hAnsi="宋体" w:eastAsia="仿宋_GB2312" w:cs="宋体"/>
          <w:kern w:val="0"/>
          <w:sz w:val="24"/>
        </w:rPr>
        <w:t>和《关于印发江津区支持消费品工业高质量发展政策的通知》（江津府办发〔2020〕172号）文件中明确了奖补金额、奖补类型和奖补条件，但</w:t>
      </w:r>
      <w:r>
        <w:rPr>
          <w:rFonts w:ascii="仿宋_GB2312" w:hAnsi="宋体" w:eastAsia="仿宋_GB2312" w:cs="宋体"/>
          <w:kern w:val="0"/>
          <w:sz w:val="24"/>
        </w:rPr>
        <w:t>文件中缺失区科技局收到企业提交的申报材料</w:t>
      </w:r>
      <w:r>
        <w:rPr>
          <w:rFonts w:hint="eastAsia" w:ascii="仿宋_GB2312" w:hAnsi="宋体" w:eastAsia="仿宋_GB2312" w:cs="宋体"/>
          <w:kern w:val="0"/>
          <w:sz w:val="24"/>
        </w:rPr>
        <w:t>到最终</w:t>
      </w:r>
      <w:r>
        <w:rPr>
          <w:rFonts w:ascii="仿宋_GB2312" w:hAnsi="宋体" w:eastAsia="仿宋_GB2312" w:cs="宋体"/>
          <w:kern w:val="0"/>
          <w:sz w:val="24"/>
        </w:rPr>
        <w:t>评审</w:t>
      </w:r>
      <w:r>
        <w:rPr>
          <w:rFonts w:hint="eastAsia" w:ascii="仿宋_GB2312" w:hAnsi="宋体" w:eastAsia="仿宋_GB2312" w:cs="宋体"/>
          <w:kern w:val="0"/>
          <w:sz w:val="24"/>
        </w:rPr>
        <w:t>的时间节点和期限，并且后期监管的相关条款中</w:t>
      </w:r>
      <w:r>
        <w:rPr>
          <w:rFonts w:ascii="仿宋_GB2312" w:hAnsi="宋体" w:eastAsia="仿宋_GB2312" w:cs="宋体"/>
          <w:kern w:val="0"/>
          <w:sz w:val="24"/>
        </w:rPr>
        <w:t>未明确后期监督管理事项的牵头单位</w:t>
      </w:r>
      <w:r>
        <w:rPr>
          <w:rFonts w:hint="eastAsia" w:ascii="仿宋_GB2312" w:hAnsi="宋体" w:eastAsia="仿宋_GB2312" w:cs="宋体"/>
          <w:kern w:val="0"/>
          <w:sz w:val="24"/>
        </w:rPr>
        <w:t>与</w:t>
      </w:r>
      <w:r>
        <w:rPr>
          <w:rFonts w:ascii="仿宋_GB2312" w:hAnsi="宋体" w:eastAsia="仿宋_GB2312" w:cs="宋体"/>
          <w:kern w:val="0"/>
          <w:sz w:val="24"/>
        </w:rPr>
        <w:t>监督管理程序</w:t>
      </w:r>
      <w:r>
        <w:rPr>
          <w:rFonts w:hint="eastAsia" w:ascii="仿宋_GB2312" w:hAnsi="宋体" w:eastAsia="仿宋_GB2312" w:cs="宋体"/>
          <w:kern w:val="0"/>
          <w:sz w:val="24"/>
        </w:rPr>
        <w:t>、未明确企业或高校收到的补助资金的使用范围。</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同时，评价发现上述两个政策通知存在部分条款或标准不一致的情况，如：《</w:t>
      </w:r>
      <w:r>
        <w:rPr>
          <w:rFonts w:ascii="仿宋_GB2312" w:hAnsi="宋体" w:eastAsia="仿宋_GB2312" w:cs="宋体"/>
          <w:kern w:val="0"/>
          <w:sz w:val="24"/>
        </w:rPr>
        <w:t>关于印发江津区科技创新促进高质量发展10条激励政策实施细则（试行）的通知</w:t>
      </w:r>
      <w:r>
        <w:rPr>
          <w:rFonts w:hint="eastAsia" w:ascii="仿宋_GB2312" w:hAnsi="宋体" w:eastAsia="仿宋_GB2312" w:cs="宋体"/>
          <w:kern w:val="0"/>
          <w:sz w:val="24"/>
        </w:rPr>
        <w:t>》</w:t>
      </w:r>
      <w:r>
        <w:rPr>
          <w:rFonts w:ascii="仿宋_GB2312" w:hAnsi="宋体" w:eastAsia="仿宋_GB2312" w:cs="宋体"/>
          <w:kern w:val="0"/>
          <w:sz w:val="24"/>
        </w:rPr>
        <w:t>（</w:t>
      </w:r>
      <w:r>
        <w:rPr>
          <w:rFonts w:hint="eastAsia" w:ascii="仿宋_GB2312" w:hAnsi="宋体" w:eastAsia="仿宋_GB2312" w:cs="宋体"/>
          <w:kern w:val="0"/>
          <w:sz w:val="24"/>
        </w:rPr>
        <w:t>江津府办发〔201</w:t>
      </w:r>
      <w:r>
        <w:rPr>
          <w:rFonts w:ascii="仿宋_GB2312" w:hAnsi="宋体" w:eastAsia="仿宋_GB2312" w:cs="宋体"/>
          <w:kern w:val="0"/>
          <w:sz w:val="24"/>
        </w:rPr>
        <w:t>9</w:t>
      </w:r>
      <w:r>
        <w:rPr>
          <w:rFonts w:hint="eastAsia" w:ascii="仿宋_GB2312" w:hAnsi="宋体" w:eastAsia="仿宋_GB2312" w:cs="宋体"/>
          <w:kern w:val="0"/>
          <w:sz w:val="24"/>
        </w:rPr>
        <w:t>〕</w:t>
      </w:r>
      <w:r>
        <w:rPr>
          <w:rFonts w:ascii="仿宋_GB2312" w:hAnsi="宋体" w:eastAsia="仿宋_GB2312" w:cs="宋体"/>
          <w:kern w:val="0"/>
          <w:sz w:val="24"/>
        </w:rPr>
        <w:t>77</w:t>
      </w:r>
      <w:r>
        <w:rPr>
          <w:rFonts w:hint="eastAsia" w:ascii="仿宋_GB2312" w:hAnsi="宋体" w:eastAsia="仿宋_GB2312" w:cs="宋体"/>
          <w:kern w:val="0"/>
          <w:sz w:val="24"/>
        </w:rPr>
        <w:t>号</w:t>
      </w:r>
      <w:r>
        <w:rPr>
          <w:rFonts w:ascii="仿宋_GB2312" w:hAnsi="宋体" w:eastAsia="仿宋_GB2312" w:cs="宋体"/>
          <w:kern w:val="0"/>
          <w:sz w:val="24"/>
        </w:rPr>
        <w:t>）</w:t>
      </w:r>
      <w:r>
        <w:rPr>
          <w:rFonts w:hint="eastAsia" w:ascii="仿宋_GB2312" w:hAnsi="宋体" w:eastAsia="仿宋_GB2312" w:cs="宋体"/>
          <w:kern w:val="0"/>
          <w:sz w:val="24"/>
        </w:rPr>
        <w:t>和《关于印发江津区支持消费品工业高质量发展政策的通知》（江津府办发〔2020〕172号）均设有“</w:t>
      </w:r>
      <w:r>
        <w:rPr>
          <w:rFonts w:ascii="仿宋_GB2312" w:hAnsi="宋体" w:eastAsia="仿宋_GB2312" w:cs="宋体"/>
          <w:kern w:val="0"/>
          <w:sz w:val="24"/>
        </w:rPr>
        <w:t>新认定入库的科技型企业</w:t>
      </w:r>
      <w:r>
        <w:rPr>
          <w:rFonts w:hint="eastAsia" w:ascii="仿宋_GB2312" w:hAnsi="宋体" w:eastAsia="仿宋_GB2312" w:cs="宋体"/>
          <w:kern w:val="0"/>
          <w:sz w:val="24"/>
        </w:rPr>
        <w:t>”的补助类型，但</w:t>
      </w:r>
      <w:r>
        <w:rPr>
          <w:rFonts w:ascii="仿宋_GB2312" w:hAnsi="宋体" w:eastAsia="仿宋_GB2312" w:cs="宋体"/>
          <w:kern w:val="0"/>
          <w:sz w:val="24"/>
        </w:rPr>
        <w:t>（</w:t>
      </w:r>
      <w:r>
        <w:rPr>
          <w:rFonts w:hint="eastAsia" w:ascii="仿宋_GB2312" w:hAnsi="宋体" w:eastAsia="仿宋_GB2312" w:cs="宋体"/>
          <w:kern w:val="0"/>
          <w:sz w:val="24"/>
        </w:rPr>
        <w:t>江津府办发〔201</w:t>
      </w:r>
      <w:r>
        <w:rPr>
          <w:rFonts w:ascii="仿宋_GB2312" w:hAnsi="宋体" w:eastAsia="仿宋_GB2312" w:cs="宋体"/>
          <w:kern w:val="0"/>
          <w:sz w:val="24"/>
        </w:rPr>
        <w:t>9</w:t>
      </w:r>
      <w:r>
        <w:rPr>
          <w:rFonts w:hint="eastAsia" w:ascii="仿宋_GB2312" w:hAnsi="宋体" w:eastAsia="仿宋_GB2312" w:cs="宋体"/>
          <w:kern w:val="0"/>
          <w:sz w:val="24"/>
        </w:rPr>
        <w:t>〕</w:t>
      </w:r>
      <w:r>
        <w:rPr>
          <w:rFonts w:ascii="仿宋_GB2312" w:hAnsi="宋体" w:eastAsia="仿宋_GB2312" w:cs="宋体"/>
          <w:kern w:val="0"/>
          <w:sz w:val="24"/>
        </w:rPr>
        <w:t>77</w:t>
      </w:r>
      <w:r>
        <w:rPr>
          <w:rFonts w:hint="eastAsia" w:ascii="仿宋_GB2312" w:hAnsi="宋体" w:eastAsia="仿宋_GB2312" w:cs="宋体"/>
          <w:kern w:val="0"/>
          <w:sz w:val="24"/>
        </w:rPr>
        <w:t>号</w:t>
      </w:r>
      <w:r>
        <w:rPr>
          <w:rFonts w:ascii="仿宋_GB2312" w:hAnsi="宋体" w:eastAsia="仿宋_GB2312" w:cs="宋体"/>
          <w:kern w:val="0"/>
          <w:sz w:val="24"/>
        </w:rPr>
        <w:t>）</w:t>
      </w:r>
      <w:r>
        <w:rPr>
          <w:rFonts w:hint="eastAsia" w:ascii="仿宋_GB2312" w:hAnsi="宋体" w:eastAsia="仿宋_GB2312" w:cs="宋体"/>
          <w:kern w:val="0"/>
          <w:sz w:val="24"/>
        </w:rPr>
        <w:t>奖补标准为0</w:t>
      </w:r>
      <w:r>
        <w:rPr>
          <w:rFonts w:ascii="仿宋_GB2312" w:hAnsi="宋体" w:eastAsia="仿宋_GB2312" w:cs="宋体"/>
          <w:kern w:val="0"/>
          <w:sz w:val="24"/>
        </w:rPr>
        <w:t>.5</w:t>
      </w:r>
      <w:r>
        <w:rPr>
          <w:rFonts w:hint="eastAsia" w:ascii="仿宋_GB2312" w:hAnsi="宋体" w:eastAsia="仿宋_GB2312" w:cs="宋体"/>
          <w:kern w:val="0"/>
          <w:sz w:val="24"/>
        </w:rPr>
        <w:t>0万，（江津府办发〔2020〕172号）奖补标准为</w:t>
      </w:r>
      <w:r>
        <w:rPr>
          <w:rFonts w:ascii="仿宋_GB2312" w:hAnsi="宋体" w:eastAsia="仿宋_GB2312" w:cs="宋体"/>
          <w:kern w:val="0"/>
          <w:sz w:val="24"/>
        </w:rPr>
        <w:t>1</w:t>
      </w:r>
      <w:r>
        <w:rPr>
          <w:rFonts w:hint="eastAsia" w:ascii="仿宋_GB2312" w:hAnsi="宋体" w:eastAsia="仿宋_GB2312" w:cs="宋体"/>
          <w:kern w:val="0"/>
          <w:sz w:val="24"/>
        </w:rPr>
        <w:t>.00万。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2</w:t>
      </w:r>
      <w:r>
        <w:rPr>
          <w:rFonts w:hint="eastAsia" w:ascii="仿宋_GB2312" w:hAnsi="宋体" w:eastAsia="仿宋_GB2312" w:cs="宋体"/>
          <w:kern w:val="0"/>
          <w:sz w:val="24"/>
        </w:rPr>
        <w:t>.区科技局政策执行不到位</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根据</w:t>
      </w:r>
      <w:r>
        <w:rPr>
          <w:rFonts w:hint="eastAsia" w:ascii="仿宋_GB2312" w:hAnsi="宋体" w:eastAsia="仿宋_GB2312" w:cs="宋体"/>
          <w:kern w:val="0"/>
          <w:sz w:val="24"/>
        </w:rPr>
        <w:t>重庆市江津区人民政府办公室《</w:t>
      </w:r>
      <w:r>
        <w:rPr>
          <w:rFonts w:ascii="仿宋_GB2312" w:hAnsi="宋体" w:eastAsia="仿宋_GB2312" w:cs="宋体"/>
          <w:kern w:val="0"/>
          <w:sz w:val="24"/>
        </w:rPr>
        <w:t>关于印发江津区科技创新促进高质量发展10条激励政策实施细则（试行）的通知</w:t>
      </w:r>
      <w:r>
        <w:rPr>
          <w:rFonts w:hint="eastAsia" w:ascii="仿宋_GB2312" w:hAnsi="宋体" w:eastAsia="仿宋_GB2312" w:cs="宋体"/>
          <w:kern w:val="0"/>
          <w:sz w:val="24"/>
        </w:rPr>
        <w:t>》</w:t>
      </w:r>
      <w:r>
        <w:rPr>
          <w:rFonts w:ascii="仿宋_GB2312" w:hAnsi="宋体" w:eastAsia="仿宋_GB2312" w:cs="宋体"/>
          <w:kern w:val="0"/>
          <w:sz w:val="24"/>
        </w:rPr>
        <w:t>（</w:t>
      </w:r>
      <w:r>
        <w:rPr>
          <w:rFonts w:hint="eastAsia" w:ascii="仿宋_GB2312" w:hAnsi="宋体" w:eastAsia="仿宋_GB2312" w:cs="宋体"/>
          <w:kern w:val="0"/>
          <w:sz w:val="24"/>
        </w:rPr>
        <w:t>江津府办发〔201</w:t>
      </w:r>
      <w:r>
        <w:rPr>
          <w:rFonts w:ascii="仿宋_GB2312" w:hAnsi="宋体" w:eastAsia="仿宋_GB2312" w:cs="宋体"/>
          <w:kern w:val="0"/>
          <w:sz w:val="24"/>
        </w:rPr>
        <w:t>9</w:t>
      </w:r>
      <w:r>
        <w:rPr>
          <w:rFonts w:hint="eastAsia" w:ascii="仿宋_GB2312" w:hAnsi="宋体" w:eastAsia="仿宋_GB2312" w:cs="宋体"/>
          <w:kern w:val="0"/>
          <w:sz w:val="24"/>
        </w:rPr>
        <w:t>〕</w:t>
      </w:r>
      <w:r>
        <w:rPr>
          <w:rFonts w:ascii="仿宋_GB2312" w:hAnsi="宋体" w:eastAsia="仿宋_GB2312" w:cs="宋体"/>
          <w:kern w:val="0"/>
          <w:sz w:val="24"/>
        </w:rPr>
        <w:t>77</w:t>
      </w:r>
      <w:r>
        <w:rPr>
          <w:rFonts w:hint="eastAsia" w:ascii="仿宋_GB2312" w:hAnsi="宋体" w:eastAsia="仿宋_GB2312" w:cs="宋体"/>
          <w:kern w:val="0"/>
          <w:sz w:val="24"/>
        </w:rPr>
        <w:t>号</w:t>
      </w:r>
      <w:r>
        <w:rPr>
          <w:rFonts w:ascii="仿宋_GB2312" w:hAnsi="宋体" w:eastAsia="仿宋_GB2312" w:cs="宋体"/>
          <w:kern w:val="0"/>
          <w:sz w:val="24"/>
        </w:rPr>
        <w:t>）</w:t>
      </w:r>
      <w:r>
        <w:rPr>
          <w:rFonts w:hint="eastAsia" w:ascii="仿宋_GB2312" w:hAnsi="宋体" w:eastAsia="仿宋_GB2312" w:cs="宋体"/>
          <w:kern w:val="0"/>
          <w:sz w:val="24"/>
        </w:rPr>
        <w:t>第四章监督管理第十七条“补助资金专款专项用于研发投入”，实际</w:t>
      </w:r>
      <w:r>
        <w:rPr>
          <w:rFonts w:hint="eastAsia" w:ascii="仿宋_GB2312" w:hAnsi="仿宋_GB2312" w:eastAsia="仿宋_GB2312" w:cs="仿宋_GB2312"/>
          <w:sz w:val="24"/>
        </w:rPr>
        <w:t>区科技局下设规划发展科对项目进行全程跟踪管理</w:t>
      </w:r>
      <w:r>
        <w:rPr>
          <w:rFonts w:hint="eastAsia" w:ascii="仿宋_GB2312" w:hAnsi="宋体" w:eastAsia="仿宋_GB2312" w:cs="宋体"/>
          <w:kern w:val="0"/>
          <w:sz w:val="24"/>
        </w:rPr>
        <w:t>，但未关注补助资金的后续使用情况，未对项目进行后期跟踪管理监督</w:t>
      </w:r>
      <w:r>
        <w:rPr>
          <w:rFonts w:hint="eastAsia" w:ascii="仿宋_GB2312" w:hAnsi="仿宋_GB2312" w:eastAsia="仿宋_GB2312" w:cs="仿宋_GB2312"/>
          <w:sz w:val="24"/>
        </w:rPr>
        <w:t>。</w:t>
      </w:r>
    </w:p>
    <w:p>
      <w:pPr>
        <w:widowControl/>
        <w:spacing w:line="360" w:lineRule="auto"/>
        <w:ind w:firstLine="480" w:firstLineChars="200"/>
        <w:jc w:val="left"/>
        <w:rPr>
          <w:rFonts w:ascii="仿宋_GB2312" w:hAnsi="宋体" w:eastAsia="仿宋_GB2312" w:cs="宋体"/>
          <w:kern w:val="0"/>
          <w:sz w:val="24"/>
        </w:rPr>
      </w:pPr>
      <w:r>
        <w:rPr>
          <w:rFonts w:ascii="仿宋_GB2312" w:hAnsi="仿宋_GB2312" w:eastAsia="仿宋_GB2312" w:cs="仿宋_GB2312"/>
          <w:sz w:val="24"/>
        </w:rPr>
        <w:t>3</w:t>
      </w:r>
      <w:r>
        <w:rPr>
          <w:rFonts w:hint="eastAsia" w:ascii="仿宋_GB2312" w:hAnsi="仿宋_GB2312" w:eastAsia="仿宋_GB2312" w:cs="仿宋_GB2312"/>
          <w:sz w:val="24"/>
        </w:rPr>
        <w:t>.</w:t>
      </w:r>
      <w:r>
        <w:rPr>
          <w:rFonts w:hint="eastAsia" w:ascii="仿宋_GB2312" w:hAnsi="宋体" w:eastAsia="仿宋_GB2312" w:cs="宋体"/>
          <w:kern w:val="0"/>
          <w:sz w:val="24"/>
        </w:rPr>
        <w:t>财务凭证未装订</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绩效评价项目于2023年7月对区科技局科技创新高质量发展项目进行绩效评价，评价时发现2023年1月支付的财务凭证未进行装订。</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（三）项目评审及资金拨付期间过长，并且项目评审不严谨</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1</w:t>
      </w:r>
      <w:r>
        <w:rPr>
          <w:rFonts w:ascii="仿宋_GB2312" w:hAnsi="宋体" w:eastAsia="仿宋_GB2312" w:cs="宋体"/>
          <w:kern w:val="0"/>
          <w:sz w:val="24"/>
        </w:rPr>
        <w:t>.</w:t>
      </w:r>
      <w:r>
        <w:rPr>
          <w:rFonts w:hint="eastAsia" w:ascii="仿宋_GB2312" w:hAnsi="宋体" w:eastAsia="仿宋_GB2312" w:cs="宋体"/>
          <w:kern w:val="0"/>
          <w:sz w:val="24"/>
        </w:rPr>
        <w:t>项目评审及资金拨付期间过长</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根据重庆市江津区科技创新促进高质量发展政策资金评审小组办公室《关于开展2020年度科技创新促进高质量发展政策资金项目申报工作的通知》，“四、申报流程（一）公开申报。符合条件的单位填写《江津区科技创新促进高质量发展政策资金项目申请表》，经所在园区（镇、街、主管部门）签署意见并加盖公章后，申报材料纸质文档按顺序装订（一式一份）和申报表电子文档于2021年10月9日前报送至区科技局规划发展科。”，但评审小组于2023年1月3日召开评审会议完成评审，2023年1月28日陆续拨付资金，从项目申报到资金拨付期间超1年，经查询渝北区</w:t>
      </w:r>
      <w:r>
        <w:rPr>
          <w:rFonts w:eastAsia="仿宋_GB2312"/>
          <w:sz w:val="24"/>
        </w:rPr>
        <w:t>《推动科技创新政策》（渝北府办发</w:t>
      </w:r>
      <w:r>
        <w:rPr>
          <w:rFonts w:ascii="仿宋_GB2312" w:hAnsi="宋体" w:eastAsia="仿宋_GB2312" w:cs="宋体"/>
          <w:kern w:val="0"/>
          <w:sz w:val="24"/>
        </w:rPr>
        <w:t>〔2020〕36</w:t>
      </w:r>
      <w:r>
        <w:rPr>
          <w:rFonts w:eastAsia="仿宋_GB2312"/>
          <w:sz w:val="24"/>
        </w:rPr>
        <w:t>号）</w:t>
      </w:r>
      <w:r>
        <w:rPr>
          <w:rFonts w:hint="eastAsia" w:eastAsia="仿宋_GB2312"/>
          <w:sz w:val="24"/>
        </w:rPr>
        <w:t>，</w:t>
      </w:r>
      <w:r>
        <w:rPr>
          <w:rFonts w:eastAsia="仿宋_GB2312"/>
          <w:sz w:val="24"/>
        </w:rPr>
        <w:t>渝北</w:t>
      </w:r>
      <w:r>
        <w:rPr>
          <w:rFonts w:hint="eastAsia" w:ascii="仿宋_GB2312" w:hAnsi="宋体" w:eastAsia="仿宋_GB2312" w:cs="宋体"/>
          <w:kern w:val="0"/>
          <w:sz w:val="24"/>
        </w:rPr>
        <w:t>区企业2020年申报的科技创新政策补贴资金，渝北区于2021年完成评审并在当年完成支付，经对比江津区科技局的“科技创新高质量发展项目”评审及资金拨款期间过长，同时，在对受益对象问卷调查中也提出项目评审周期过长的问题，影响企业科技创新及高质量发展的积极性。</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2</w:t>
      </w:r>
      <w:r>
        <w:rPr>
          <w:rFonts w:ascii="仿宋_GB2312" w:hAnsi="宋体" w:eastAsia="仿宋_GB2312" w:cs="宋体"/>
          <w:kern w:val="0"/>
          <w:sz w:val="24"/>
        </w:rPr>
        <w:t>.</w:t>
      </w:r>
      <w:r>
        <w:rPr>
          <w:rFonts w:hint="eastAsia" w:ascii="仿宋_GB2312" w:hAnsi="宋体" w:eastAsia="仿宋_GB2312" w:cs="宋体"/>
          <w:kern w:val="0"/>
          <w:sz w:val="24"/>
        </w:rPr>
        <w:t>项目评审不严谨</w:t>
      </w:r>
    </w:p>
    <w:p>
      <w:pPr>
        <w:widowControl/>
        <w:spacing w:line="360" w:lineRule="auto"/>
        <w:ind w:firstLine="480" w:firstLineChars="200"/>
        <w:jc w:val="left"/>
        <w:rPr>
          <w:rFonts w:ascii="仿宋_GB2312" w:hAnsi="Times New Roman" w:eastAsia="仿宋_GB2312"/>
          <w:sz w:val="24"/>
        </w:rPr>
      </w:pPr>
      <w:r>
        <w:rPr>
          <w:rFonts w:hint="eastAsia" w:ascii="仿宋_GB2312" w:hAnsi="宋体" w:eastAsia="仿宋_GB2312" w:cs="宋体"/>
          <w:kern w:val="0"/>
          <w:sz w:val="24"/>
        </w:rPr>
        <w:t>经评价发现</w:t>
      </w:r>
      <w:r>
        <w:rPr>
          <w:rFonts w:hint="eastAsia" w:ascii="仿宋_GB2312" w:hAnsi="Times New Roman" w:eastAsia="仿宋_GB2312"/>
          <w:sz w:val="24"/>
        </w:rPr>
        <w:t>重庆树百获教育信息咨询有限公司于2021年保送申请到区科技局，但于2022年9月重庆树百获教育信息咨询有限公司进行工商注销登记，项目评审小组于2023年评审时通过了对重庆树百获教育信息咨询有限公司的补助资质。</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Times New Roman" w:eastAsia="仿宋_GB2312"/>
          <w:sz w:val="24"/>
        </w:rPr>
        <w:t>（四）项目实施效果方面</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1</w:t>
      </w:r>
      <w:r>
        <w:rPr>
          <w:rFonts w:ascii="仿宋_GB2312" w:hAnsi="Times New Roman" w:eastAsia="仿宋_GB2312"/>
          <w:sz w:val="24"/>
        </w:rPr>
        <w:t>.</w:t>
      </w:r>
      <w:r>
        <w:rPr>
          <w:rFonts w:hint="eastAsia" w:ascii="仿宋_GB2312" w:hAnsi="Times New Roman" w:eastAsia="仿宋_GB2312"/>
          <w:sz w:val="24"/>
        </w:rPr>
        <w:t>区相关企业的营业收入有待提高。评价发现，抽查的企业2021年营业收入2,694,061.10万元，2022年营业收入2,693,019.90万元，企业营业收入无增长。</w:t>
      </w:r>
    </w:p>
    <w:p>
      <w:pPr>
        <w:widowControl/>
        <w:spacing w:line="360" w:lineRule="auto"/>
        <w:ind w:firstLine="480" w:firstLineChars="200"/>
        <w:jc w:val="left"/>
        <w:rPr>
          <w:rFonts w:ascii="仿宋_GB2312" w:hAnsi="Times New Roman" w:eastAsia="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w:t>
      </w:r>
      <w:r>
        <w:rPr>
          <w:rFonts w:hint="eastAsia" w:ascii="仿宋_GB2312" w:hAnsi="仿宋_GB2312" w:eastAsia="仿宋_GB2312" w:cs="仿宋_GB2312"/>
          <w:sz w:val="24"/>
        </w:rPr>
        <w:t>项目可持续性有待提升。评价发现，申报</w:t>
      </w:r>
      <w:r>
        <w:rPr>
          <w:rFonts w:hint="eastAsia" w:ascii="仿宋_GB2312" w:hAnsi="Times New Roman" w:eastAsia="仿宋_GB2312"/>
          <w:sz w:val="24"/>
        </w:rPr>
        <w:t>本项目</w:t>
      </w:r>
      <w:r>
        <w:rPr>
          <w:rFonts w:hint="eastAsia" w:ascii="仿宋_GB2312" w:hAnsi="仿宋_GB2312" w:eastAsia="仿宋_GB2312" w:cs="仿宋_GB2312"/>
          <w:sz w:val="24"/>
        </w:rPr>
        <w:t>并通过审核发放补助的企业及高校共计350家，其中：取得“</w:t>
      </w:r>
      <w:r>
        <w:rPr>
          <w:rFonts w:hint="eastAsia" w:ascii="仿宋_GB2312" w:hAnsi="Times New Roman" w:eastAsia="仿宋_GB2312"/>
          <w:sz w:val="24"/>
        </w:rPr>
        <w:t>科技型企业认定</w:t>
      </w:r>
      <w:r>
        <w:rPr>
          <w:rFonts w:hint="eastAsia" w:ascii="仿宋_GB2312" w:hAnsi="仿宋_GB2312" w:eastAsia="仿宋_GB2312" w:cs="仿宋_GB2312"/>
          <w:sz w:val="24"/>
        </w:rPr>
        <w:t>”</w:t>
      </w:r>
      <w:r>
        <w:rPr>
          <w:rFonts w:hint="eastAsia" w:ascii="仿宋_GB2312" w:hAnsi="Times New Roman" w:eastAsia="仿宋_GB2312"/>
          <w:sz w:val="24"/>
        </w:rPr>
        <w:t>奖补的企业共1</w:t>
      </w:r>
      <w:r>
        <w:rPr>
          <w:rFonts w:ascii="仿宋_GB2312" w:hAnsi="Times New Roman" w:eastAsia="仿宋_GB2312"/>
          <w:sz w:val="24"/>
        </w:rPr>
        <w:t>21</w:t>
      </w:r>
      <w:r>
        <w:rPr>
          <w:rFonts w:hint="eastAsia" w:ascii="仿宋_GB2312" w:hAnsi="Times New Roman" w:eastAsia="仿宋_GB2312"/>
          <w:sz w:val="24"/>
        </w:rPr>
        <w:t>家，占奖补企业的</w:t>
      </w:r>
      <w:r>
        <w:rPr>
          <w:rFonts w:ascii="仿宋_GB2312" w:hAnsi="Times New Roman" w:eastAsia="仿宋_GB2312"/>
          <w:sz w:val="24"/>
        </w:rPr>
        <w:t>34.57%</w:t>
      </w:r>
      <w:r>
        <w:rPr>
          <w:rFonts w:hint="eastAsia" w:ascii="仿宋_GB2312" w:hAnsi="Times New Roman" w:eastAsia="仿宋_GB2312"/>
          <w:sz w:val="24"/>
        </w:rPr>
        <w:t>；取得“科技型企业认定”项目奖励的企业共取得奖励6</w:t>
      </w:r>
      <w:r>
        <w:rPr>
          <w:rFonts w:ascii="仿宋_GB2312" w:hAnsi="Times New Roman" w:eastAsia="仿宋_GB2312"/>
          <w:sz w:val="24"/>
        </w:rPr>
        <w:t>1.5</w:t>
      </w:r>
      <w:r>
        <w:rPr>
          <w:rFonts w:hint="eastAsia" w:ascii="仿宋_GB2312" w:hAnsi="Times New Roman" w:eastAsia="仿宋_GB2312"/>
          <w:sz w:val="24"/>
        </w:rPr>
        <w:t>0万元，占总奖补金额的1</w:t>
      </w:r>
      <w:r>
        <w:rPr>
          <w:rFonts w:ascii="仿宋_GB2312" w:hAnsi="Times New Roman" w:eastAsia="仿宋_GB2312"/>
          <w:sz w:val="24"/>
        </w:rPr>
        <w:t>.53%</w:t>
      </w:r>
      <w:r>
        <w:rPr>
          <w:rFonts w:hint="eastAsia" w:ascii="仿宋_GB2312" w:hAnsi="Times New Roman" w:eastAsia="仿宋_GB2312"/>
          <w:sz w:val="24"/>
        </w:rPr>
        <w:t>，其中：补贴资金0</w:t>
      </w:r>
      <w:r>
        <w:rPr>
          <w:rFonts w:ascii="仿宋_GB2312" w:hAnsi="Times New Roman" w:eastAsia="仿宋_GB2312"/>
          <w:sz w:val="24"/>
        </w:rPr>
        <w:t>.5</w:t>
      </w:r>
      <w:r>
        <w:rPr>
          <w:rFonts w:hint="eastAsia" w:ascii="仿宋_GB2312" w:hAnsi="Times New Roman" w:eastAsia="仿宋_GB2312"/>
          <w:sz w:val="24"/>
        </w:rPr>
        <w:t>0万元的1</w:t>
      </w:r>
      <w:r>
        <w:rPr>
          <w:rFonts w:ascii="仿宋_GB2312" w:hAnsi="Times New Roman" w:eastAsia="仿宋_GB2312"/>
          <w:sz w:val="24"/>
        </w:rPr>
        <w:t>09</w:t>
      </w:r>
      <w:r>
        <w:rPr>
          <w:rFonts w:hint="eastAsia" w:ascii="仿宋_GB2312" w:hAnsi="Times New Roman" w:eastAsia="仿宋_GB2312"/>
          <w:sz w:val="24"/>
        </w:rPr>
        <w:t>家，补贴资金1.00万元的2家。经调查上述类型奖补资金对企业的研发投入占比较少，该奖励对提升企业研发积极性的激励作用较小，产生的效果持续性不足。</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3</w:t>
      </w:r>
      <w:r>
        <w:rPr>
          <w:rFonts w:ascii="仿宋_GB2312" w:hAnsi="Times New Roman" w:eastAsia="仿宋_GB2312"/>
          <w:sz w:val="24"/>
        </w:rPr>
        <w:t>.</w:t>
      </w:r>
      <w:r>
        <w:rPr>
          <w:rFonts w:hint="eastAsia" w:ascii="仿宋_GB2312" w:hAnsi="Times New Roman" w:eastAsia="仿宋_GB2312"/>
          <w:sz w:val="24"/>
        </w:rPr>
        <w:t>部分激励政策未达成。评价发现</w:t>
      </w:r>
      <w:r>
        <w:rPr>
          <w:rFonts w:hint="eastAsia" w:ascii="仿宋_GB2312" w:hAnsi="宋体" w:eastAsia="仿宋_GB2312" w:cs="宋体"/>
          <w:kern w:val="0"/>
          <w:sz w:val="24"/>
        </w:rPr>
        <w:t>《关于印发江津区高质量发展激励政策的通知》（江津府发〔2019〕18号）共计</w:t>
      </w:r>
      <w:r>
        <w:rPr>
          <w:rFonts w:ascii="仿宋_GB2312" w:hAnsi="宋体" w:eastAsia="仿宋_GB2312" w:cs="宋体"/>
          <w:kern w:val="0"/>
          <w:sz w:val="24"/>
        </w:rPr>
        <w:t>10条激励政策</w:t>
      </w:r>
      <w:r>
        <w:rPr>
          <w:rFonts w:hint="eastAsia" w:ascii="仿宋_GB2312" w:hAnsi="宋体" w:eastAsia="仿宋_GB2312" w:cs="宋体"/>
          <w:kern w:val="0"/>
          <w:sz w:val="24"/>
        </w:rPr>
        <w:t>，2021年江津区全区满足申报条件企业及高校只满足其中9条激励政策，其中“着力引进院士专家团队”江津区2021年无满足条件的企业与高校。</w:t>
      </w:r>
    </w:p>
    <w:p>
      <w:pPr>
        <w:widowControl/>
        <w:spacing w:line="360" w:lineRule="auto"/>
        <w:ind w:firstLine="482" w:firstLineChars="200"/>
        <w:jc w:val="left"/>
        <w:rPr>
          <w:rFonts w:ascii="仿宋_GB2312" w:hAnsi="Times New Roman" w:eastAsia="仿宋_GB2312"/>
          <w:b/>
          <w:bCs/>
          <w:sz w:val="24"/>
        </w:rPr>
      </w:pPr>
      <w:r>
        <w:rPr>
          <w:rFonts w:hint="eastAsia" w:ascii="仿宋_GB2312" w:hAnsi="Times New Roman" w:eastAsia="仿宋_GB2312"/>
          <w:b/>
          <w:bCs/>
          <w:sz w:val="24"/>
        </w:rPr>
        <w:t>四、相关建议</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（一）完善绩效目标的设置</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区科技局在设置绩效目标时应根据重庆市财政局《重庆市市级政策和项目预算绩效管理办法（试行）》（渝财绩〔2019〕19号）的要求，并结合项目的实际情况设置绩效目标，保证绩效目标的完整性，并且将对应的转化的成果按资金量的比例设置绩效目标。</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（二）项目管理方面</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区科技局根据江津区政府的相关政策文件制定具体的实施细则，完善评审的时间节点和期限、后期监管细节、明确补助资金的使用范围。对于《关于印发江津区高质量发展激励政策的通知》（江津府发〔2019〕18号）与《</w:t>
      </w:r>
      <w:r>
        <w:rPr>
          <w:rFonts w:ascii="仿宋_GB2312" w:hAnsi="宋体" w:eastAsia="仿宋_GB2312" w:cs="宋体"/>
          <w:kern w:val="0"/>
          <w:sz w:val="24"/>
        </w:rPr>
        <w:t>关于印发江津区支持消费品工业高质量发展政策的通知</w:t>
      </w:r>
      <w:r>
        <w:rPr>
          <w:rFonts w:hint="eastAsia" w:ascii="仿宋_GB2312" w:hAnsi="宋体" w:eastAsia="仿宋_GB2312" w:cs="宋体"/>
          <w:kern w:val="0"/>
          <w:sz w:val="24"/>
        </w:rPr>
        <w:t>》（江津府办发〔</w:t>
      </w:r>
      <w:r>
        <w:rPr>
          <w:rFonts w:ascii="仿宋_GB2312" w:hAnsi="宋体" w:eastAsia="仿宋_GB2312" w:cs="宋体"/>
          <w:kern w:val="0"/>
          <w:sz w:val="24"/>
        </w:rPr>
        <w:t>2020</w:t>
      </w:r>
      <w:r>
        <w:rPr>
          <w:rFonts w:hint="eastAsia" w:ascii="仿宋_GB2312" w:hAnsi="宋体" w:eastAsia="仿宋_GB2312" w:cs="宋体"/>
          <w:kern w:val="0"/>
          <w:sz w:val="24"/>
        </w:rPr>
        <w:t>〕</w:t>
      </w:r>
      <w:r>
        <w:rPr>
          <w:rFonts w:ascii="仿宋_GB2312" w:hAnsi="宋体" w:eastAsia="仿宋_GB2312" w:cs="宋体"/>
          <w:kern w:val="0"/>
          <w:sz w:val="24"/>
        </w:rPr>
        <w:t>172</w:t>
      </w:r>
      <w:r>
        <w:rPr>
          <w:rFonts w:hint="eastAsia" w:ascii="仿宋_GB2312" w:hAnsi="宋体" w:eastAsia="仿宋_GB2312" w:cs="宋体"/>
          <w:kern w:val="0"/>
          <w:sz w:val="24"/>
        </w:rPr>
        <w:t>号）政策条款存在条款或标准存在不一致的，应进行充分调研和内部讨论，做到条款明确，补助标准一致无争议。后续按照政策文件的要求，加强对</w:t>
      </w:r>
      <w:r>
        <w:rPr>
          <w:rFonts w:ascii="仿宋_GB2312" w:hAnsi="宋体" w:eastAsia="仿宋_GB2312" w:cs="宋体"/>
          <w:kern w:val="0"/>
          <w:sz w:val="24"/>
        </w:rPr>
        <w:t>补助资金</w:t>
      </w:r>
      <w:r>
        <w:rPr>
          <w:rFonts w:hint="eastAsia" w:ascii="仿宋_GB2312" w:hAnsi="宋体" w:eastAsia="仿宋_GB2312" w:cs="宋体"/>
          <w:kern w:val="0"/>
          <w:sz w:val="24"/>
        </w:rPr>
        <w:t>的</w:t>
      </w:r>
      <w:r>
        <w:rPr>
          <w:rFonts w:ascii="仿宋_GB2312" w:hAnsi="宋体" w:eastAsia="仿宋_GB2312" w:cs="宋体"/>
          <w:kern w:val="0"/>
          <w:sz w:val="24"/>
        </w:rPr>
        <w:t>事后监督跟踪管理</w:t>
      </w:r>
      <w:r>
        <w:rPr>
          <w:rFonts w:hint="eastAsia" w:ascii="仿宋_GB2312" w:hAnsi="宋体" w:eastAsia="仿宋_GB2312" w:cs="宋体"/>
          <w:kern w:val="0"/>
          <w:sz w:val="24"/>
        </w:rPr>
        <w:t>，定期或不定期对补助企业或学校进行检查。加强财务管理，财务凭证应尽快装订，避免财务凭证附件丢失等情况。</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（三）及时完成项目评审，并且保证评审环节的严谨性</w:t>
      </w:r>
    </w:p>
    <w:p>
      <w:pPr>
        <w:widowControl/>
        <w:spacing w:line="360" w:lineRule="auto"/>
        <w:ind w:firstLine="480" w:firstLineChars="200"/>
        <w:jc w:val="left"/>
        <w:rPr>
          <w:rFonts w:ascii="仿宋_GB2312" w:hAnsi="Times New Roman" w:eastAsia="仿宋_GB2312"/>
          <w:sz w:val="24"/>
        </w:rPr>
      </w:pPr>
      <w:r>
        <w:rPr>
          <w:rFonts w:hint="eastAsia" w:ascii="仿宋_GB2312" w:hAnsi="宋体" w:eastAsia="仿宋_GB2312" w:cs="宋体"/>
          <w:kern w:val="0"/>
          <w:sz w:val="24"/>
        </w:rPr>
        <w:t>区科技局应优化审核环节，对项目申报的企业及时召开评审会议，及时拨付补助资金，避免企业产生消极情绪，并且</w:t>
      </w:r>
      <w:r>
        <w:rPr>
          <w:rFonts w:hint="eastAsia" w:ascii="仿宋_GB2312" w:hAnsi="Times New Roman" w:eastAsia="仿宋_GB2312"/>
          <w:sz w:val="24"/>
        </w:rPr>
        <w:t>在因特殊情况延后进行评审时，需加强对企业的持续经营资质进行复查，对于不满足条件的企业尽早剔除。</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（四）加强项目的实施效果</w:t>
      </w:r>
    </w:p>
    <w:p>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宋体" w:eastAsia="仿宋_GB2312" w:cs="宋体"/>
          <w:kern w:val="0"/>
          <w:sz w:val="24"/>
        </w:rPr>
        <w:t>建议区科技局</w:t>
      </w:r>
      <w:r>
        <w:rPr>
          <w:rFonts w:hint="eastAsia" w:ascii="仿宋_GB2312" w:hAnsi="仿宋_GB2312" w:eastAsia="仿宋_GB2312" w:cs="仿宋_GB2312"/>
          <w:sz w:val="24"/>
        </w:rPr>
        <w:t>可以通过拓宽与其他相关部门、机构的沟通渠道，深入了解</w:t>
      </w:r>
      <w:r>
        <w:rPr>
          <w:rFonts w:hint="eastAsia" w:ascii="仿宋_GB2312" w:hAnsi="Times New Roman" w:eastAsia="仿宋_GB2312"/>
          <w:sz w:val="24"/>
        </w:rPr>
        <w:t>调研</w:t>
      </w:r>
      <w:r>
        <w:rPr>
          <w:rFonts w:hint="eastAsia" w:ascii="仿宋_GB2312" w:hAnsi="仿宋_GB2312" w:eastAsia="仿宋_GB2312" w:cs="仿宋_GB2312"/>
          <w:sz w:val="24"/>
        </w:rPr>
        <w:t>相关行业、机构的难处，优化补助政策，从而帮助相关企业及机构进行生产与研发，提升相关企业的营业收入才能提升研发行业的税收收入。</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对于奖补金额较小，后续未持续投入研发的企业，建议不再奖补，将有限的奖补资金集中投入到研发和科技创新投入较多的企业或学校，</w:t>
      </w:r>
      <w:r>
        <w:rPr>
          <w:rFonts w:hint="eastAsia" w:ascii="仿宋_GB2312" w:hAnsi="Times New Roman" w:eastAsia="仿宋_GB2312"/>
          <w:sz w:val="24"/>
        </w:rPr>
        <w:t>最大化的发挥补助资金的促进作用，吸引优质的专家团队入驻江津区</w:t>
      </w:r>
      <w:r>
        <w:rPr>
          <w:rFonts w:hint="eastAsia" w:ascii="仿宋_GB2312" w:hAnsi="仿宋_GB2312" w:eastAsia="仿宋_GB2312" w:cs="仿宋_GB2312"/>
          <w:sz w:val="24"/>
        </w:rPr>
        <w:t>。</w:t>
      </w:r>
    </w:p>
    <w:p>
      <w:pPr>
        <w:widowControl/>
        <w:spacing w:line="360" w:lineRule="auto"/>
        <w:ind w:firstLine="480" w:firstLineChars="200"/>
        <w:jc w:val="left"/>
        <w:rPr>
          <w:rFonts w:ascii="仿宋_GB2312" w:hAnsi="Times New Roman" w:eastAsia="仿宋_GB2312"/>
          <w:sz w:val="24"/>
        </w:rPr>
      </w:pPr>
    </w:p>
    <w:p>
      <w:pPr>
        <w:spacing w:line="360" w:lineRule="auto"/>
        <w:jc w:val="center"/>
        <w:outlineLvl w:val="1"/>
        <w:rPr>
          <w:rFonts w:eastAsia="仿宋_GB2312"/>
          <w:b/>
          <w:sz w:val="32"/>
          <w:szCs w:val="32"/>
        </w:rPr>
      </w:pPr>
    </w:p>
    <w:p>
      <w:pPr>
        <w:spacing w:line="360" w:lineRule="auto"/>
        <w:jc w:val="center"/>
        <w:outlineLvl w:val="1"/>
        <w:rPr>
          <w:rFonts w:eastAsia="仿宋_GB2312"/>
          <w:b/>
          <w:sz w:val="32"/>
          <w:szCs w:val="32"/>
        </w:rPr>
      </w:pPr>
    </w:p>
    <w:p>
      <w:pPr>
        <w:spacing w:line="360" w:lineRule="auto"/>
        <w:jc w:val="center"/>
        <w:outlineLvl w:val="1"/>
        <w:rPr>
          <w:rFonts w:eastAsia="仿宋_GB2312"/>
          <w:b/>
          <w:sz w:val="32"/>
          <w:szCs w:val="32"/>
        </w:rPr>
      </w:pPr>
    </w:p>
    <w:p>
      <w:pPr>
        <w:spacing w:line="360" w:lineRule="auto"/>
        <w:jc w:val="center"/>
        <w:outlineLvl w:val="1"/>
        <w:rPr>
          <w:rFonts w:eastAsia="仿宋_GB2312"/>
          <w:b/>
          <w:sz w:val="32"/>
          <w:szCs w:val="32"/>
        </w:rPr>
      </w:pPr>
    </w:p>
    <w:p>
      <w:pPr>
        <w:spacing w:line="360" w:lineRule="auto"/>
        <w:jc w:val="center"/>
        <w:outlineLvl w:val="1"/>
        <w:rPr>
          <w:rFonts w:eastAsia="仿宋_GB2312"/>
          <w:b/>
          <w:sz w:val="32"/>
          <w:szCs w:val="32"/>
        </w:rPr>
      </w:pPr>
    </w:p>
    <w:p>
      <w:pPr>
        <w:spacing w:line="360" w:lineRule="auto"/>
        <w:jc w:val="center"/>
        <w:outlineLvl w:val="1"/>
        <w:rPr>
          <w:rFonts w:eastAsia="仿宋_GB2312"/>
          <w:b/>
          <w:sz w:val="32"/>
          <w:szCs w:val="32"/>
        </w:rPr>
      </w:pPr>
      <w:r>
        <w:rPr>
          <w:rFonts w:eastAsia="仿宋_GB2312"/>
          <w:b/>
          <w:sz w:val="32"/>
          <w:szCs w:val="32"/>
        </w:rPr>
        <w:t>第二部分：评价报告正文</w:t>
      </w:r>
    </w:p>
    <w:p>
      <w:pPr>
        <w:spacing w:line="360" w:lineRule="auto"/>
        <w:ind w:firstLine="562" w:firstLineChars="200"/>
        <w:jc w:val="center"/>
        <w:outlineLvl w:val="1"/>
        <w:rPr>
          <w:rFonts w:ascii="仿宋_GB2312" w:hAnsi="仿宋_GB2312" w:eastAsia="仿宋_GB2312" w:cs="仿宋_GB2312"/>
          <w:b/>
          <w:bCs/>
          <w:sz w:val="28"/>
          <w:szCs w:val="28"/>
        </w:rPr>
      </w:pPr>
    </w:p>
    <w:p>
      <w:pPr>
        <w:widowControl/>
        <w:spacing w:line="360" w:lineRule="auto"/>
        <w:jc w:val="left"/>
        <w:rPr>
          <w:rFonts w:ascii="仿宋_GB2312" w:hAnsi="宋体" w:eastAsia="仿宋_GB2312" w:cs="宋体"/>
          <w:b/>
          <w:kern w:val="0"/>
          <w:sz w:val="24"/>
        </w:rPr>
      </w:pPr>
      <w:r>
        <w:rPr>
          <w:rFonts w:hint="eastAsia" w:ascii="仿宋_GB2312" w:hAnsi="宋体" w:eastAsia="仿宋_GB2312" w:cs="宋体"/>
          <w:b/>
          <w:kern w:val="0"/>
          <w:sz w:val="24"/>
        </w:rPr>
        <w:t>重庆市江津区财政局：</w:t>
      </w:r>
    </w:p>
    <w:p>
      <w:pPr>
        <w:widowControl/>
        <w:spacing w:line="360" w:lineRule="auto"/>
        <w:ind w:firstLine="480" w:firstLineChars="200"/>
        <w:jc w:val="left"/>
        <w:rPr>
          <w:rFonts w:ascii="仿宋_GB2312" w:hAnsi="仿宋_GB2312" w:eastAsia="仿宋_GB2312" w:cs="仿宋_GB2312"/>
          <w:b/>
          <w:bCs/>
          <w:sz w:val="28"/>
          <w:szCs w:val="28"/>
        </w:rPr>
      </w:pPr>
      <w:r>
        <w:rPr>
          <w:rFonts w:hint="eastAsia" w:ascii="仿宋_GB2312" w:hAnsi="宋体" w:eastAsia="仿宋_GB2312" w:cs="宋体"/>
          <w:kern w:val="0"/>
          <w:sz w:val="24"/>
        </w:rPr>
        <w:t>我们接受贵局委托，对重庆市江津区科学技术局（以下简称：区科技局）实施的江津区科技创新高质量发展项目（以下简称：该项目或者项目）进行绩效评价。被评价项目实施单位对所提供的有关资料的真实性、合法性、完整性负责。我们的责任是收集充分、适当的证据以对该项目的绩效情况发表意见。在评价过程中，我们结合工作的实际情况，实施了复核项目资料、现场检查、询问等我们认为必要的程序。评价情况如下：</w:t>
      </w:r>
    </w:p>
    <w:p>
      <w:pPr>
        <w:widowControl/>
        <w:spacing w:line="360" w:lineRule="auto"/>
        <w:ind w:firstLine="482" w:firstLineChars="200"/>
        <w:jc w:val="left"/>
        <w:rPr>
          <w:rFonts w:ascii="仿宋_GB2312" w:hAnsi="宋体" w:eastAsia="仿宋_GB2312" w:cs="宋体"/>
          <w:b/>
          <w:kern w:val="0"/>
          <w:sz w:val="24"/>
        </w:rPr>
      </w:pPr>
      <w:r>
        <w:rPr>
          <w:rFonts w:hint="eastAsia" w:ascii="仿宋_GB2312" w:hAnsi="宋体" w:eastAsia="仿宋_GB2312" w:cs="宋体"/>
          <w:b/>
          <w:kern w:val="0"/>
          <w:sz w:val="24"/>
        </w:rPr>
        <w:t>一、项目基本情况</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（一）项目概况</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为全面落实习近平总书记关于推动高质量发展的重要论述，紧紧围绕“两点”定位、“两地”“两高”目标、发挥“三个作用”和营造良好政治生态的重要指示要求，进一步加大江津区研发经费投入和科技成果转化力度，以激发全社会创新活力和动力，推动江津区经济社会高质量发展，重庆市江津区人民政府发布了《关于印发江津区高质量发展激励政策的通知》（江津府发〔2019〕18号）与《</w:t>
      </w:r>
      <w:r>
        <w:rPr>
          <w:rFonts w:ascii="仿宋_GB2312" w:hAnsi="宋体" w:eastAsia="仿宋_GB2312" w:cs="宋体"/>
          <w:kern w:val="0"/>
          <w:sz w:val="24"/>
        </w:rPr>
        <w:t>关于印发江津区支持消费品工业高质量发展政策的通知</w:t>
      </w:r>
      <w:r>
        <w:rPr>
          <w:rFonts w:hint="eastAsia" w:ascii="仿宋_GB2312" w:hAnsi="宋体" w:eastAsia="仿宋_GB2312" w:cs="宋体"/>
          <w:kern w:val="0"/>
          <w:sz w:val="24"/>
        </w:rPr>
        <w:t>》（江津府办发〔</w:t>
      </w:r>
      <w:r>
        <w:rPr>
          <w:rFonts w:ascii="仿宋_GB2312" w:hAnsi="宋体" w:eastAsia="仿宋_GB2312" w:cs="宋体"/>
          <w:kern w:val="0"/>
          <w:sz w:val="24"/>
        </w:rPr>
        <w:t>2020</w:t>
      </w:r>
      <w:r>
        <w:rPr>
          <w:rFonts w:hint="eastAsia" w:ascii="仿宋_GB2312" w:hAnsi="宋体" w:eastAsia="仿宋_GB2312" w:cs="宋体"/>
          <w:kern w:val="0"/>
          <w:sz w:val="24"/>
        </w:rPr>
        <w:t>〕</w:t>
      </w:r>
      <w:r>
        <w:rPr>
          <w:rFonts w:ascii="仿宋_GB2312" w:hAnsi="宋体" w:eastAsia="仿宋_GB2312" w:cs="宋体"/>
          <w:kern w:val="0"/>
          <w:sz w:val="24"/>
        </w:rPr>
        <w:t>172</w:t>
      </w:r>
      <w:r>
        <w:rPr>
          <w:rFonts w:hint="eastAsia" w:ascii="仿宋_GB2312" w:hAnsi="宋体" w:eastAsia="仿宋_GB2312" w:cs="宋体"/>
          <w:kern w:val="0"/>
          <w:sz w:val="24"/>
        </w:rPr>
        <w:t>号）政策从鼓励加大研发投入、鼓励独立法人研发机构建设、鼓励研发平台建设、着力引进院士专家团队、大力发展高新技术企业、大力培育科技型企业、大力培育高成长性企业、加快促进科技成果转化、强化科技金融支撑、强化专利运营保障等多个方面对符合国家产业导向和江津区产业规划，且在江津区注册的组织（企业、高校、科研院所、党团组织等）和个人给予激励，政策补助。</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1.高质量发展激励政策项目</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根据重庆市江津区人民政府《关于印发江津区高质量发展激励政策的通知》（江津府发〔2019〕18号）高质量发展激励政策主要补助政策内容如下：</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w:t>
      </w:r>
      <w:r>
        <w:rPr>
          <w:rFonts w:ascii="仿宋_GB2312" w:hAnsi="宋体" w:eastAsia="仿宋_GB2312" w:cs="宋体"/>
          <w:kern w:val="0"/>
          <w:sz w:val="24"/>
        </w:rPr>
        <w:t>1</w:t>
      </w:r>
      <w:r>
        <w:rPr>
          <w:rFonts w:hint="eastAsia" w:ascii="仿宋_GB2312" w:hAnsi="宋体" w:eastAsia="仿宋_GB2312" w:cs="宋体"/>
          <w:kern w:val="0"/>
          <w:sz w:val="24"/>
        </w:rPr>
        <w:t>）鼓励加大研发投入。科技型企业及高校R&amp;D当年投入经费按0.5%给予补助；高新技术企业及独立法人研发机构（科研院所）R&amp;D当年投入经费按1%给予补助。单个组织每年补助金额最高不超过200万元。</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w:t>
      </w:r>
      <w:r>
        <w:rPr>
          <w:rFonts w:ascii="仿宋_GB2312" w:hAnsi="宋体" w:eastAsia="仿宋_GB2312" w:cs="宋体"/>
          <w:kern w:val="0"/>
          <w:sz w:val="24"/>
        </w:rPr>
        <w:t>2）</w:t>
      </w:r>
      <w:r>
        <w:rPr>
          <w:rFonts w:hint="eastAsia" w:ascii="仿宋_GB2312" w:hAnsi="宋体" w:eastAsia="仿宋_GB2312" w:cs="宋体"/>
          <w:kern w:val="0"/>
          <w:sz w:val="24"/>
        </w:rPr>
        <w:t>鼓励独立法人研发机构建设。对新设立具有独立法人资格、符合江津产业导向的独立法人研发机构，经市级以上（含市级）科技主管部门评审认定的，按该研发机构建设投入的50%一次性给予补助，最高不超过100万元。</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鼓励研发平台建设。大力支持建设创新中心、技术中心、工程技术研究中心、工业设计中心、检测中心、重点实验室、孵化器等创新平台。对首次获批国家级的，给予一次性50万元的建设后补助；对首次获批市级的，给予一次性5万元的建设后补助。同一平台获得多层级认定的，在低等次已作一次性补助的，晋升到高等次时，新的一次性补助只补助差额部分。</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（4）着力引进院士专家团队。经市级以上的相关部门认定的院士专家工作站，并正常运行的，一次性给予50万元的补助。</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（5）大力发展高新技术企业。对新认定的高新技术企业每家一次性补助15万元，对新迁入的高新技术企业按照上述标准执行。</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（6）大力培育科技型企业。对当年新认定入库的科技型企业每家一次性补助0.5万元。</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（7）大力培育高成长性企业。对新认定的牛羚企业每家一次性补助5万元，对新认定的瞪羚企业每家一次性补助10万元，对新认定的独角兽企业每家一次性补助100万元。</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8）加快促进科技成果转化。在江津区内做出并转化的科技成果或项目获得国家最高科学技术奖、重庆市科技突出贡献奖的分别给予500万元、50万元的补助；在江津区内做出并转化的科技成果或项目获得国家科学技术进步一、二、三等奖的，分别给予50万元、40万元、30万元的补助；在江津区内做出并转化的科技成果或项目获得省部级科学技术进步一、二、三等奖的，分别给予30万元、20万元、10万元的补助。</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（9）强化科技金融支撑。申请获得科技型企业知识价值信用贷款的企业，按时还本付息后，给予企业按该项贷款当期收取担保服务费50%的补助。</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（1</w:t>
      </w:r>
      <w:r>
        <w:rPr>
          <w:rFonts w:ascii="仿宋_GB2312" w:hAnsi="宋体" w:eastAsia="仿宋_GB2312" w:cs="宋体"/>
          <w:kern w:val="0"/>
          <w:sz w:val="24"/>
        </w:rPr>
        <w:t>0</w:t>
      </w:r>
      <w:r>
        <w:rPr>
          <w:rFonts w:hint="eastAsia" w:ascii="仿宋_GB2312" w:hAnsi="宋体" w:eastAsia="仿宋_GB2312" w:cs="宋体"/>
          <w:kern w:val="0"/>
          <w:sz w:val="24"/>
        </w:rPr>
        <w:t>）强化专利运营保障。对获得国内发明专利授权的组织给予每件1万元的补助，对获得欧美发明专利授权的组织给予每件3万元的补助，对获得其他国家或地区发明专利授权的组织给予每件1万元的补助。对获得中国专利金奖、中国专利银奖、中国专利优秀奖的组织分别给予一次性50万元、30万元、10万元的补助。</w:t>
      </w:r>
    </w:p>
    <w:bookmarkEnd w:id="0"/>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2.</w:t>
      </w:r>
      <w:r>
        <w:rPr>
          <w:rFonts w:ascii="仿宋_GB2312" w:hAnsi="宋体" w:eastAsia="仿宋_GB2312" w:cs="宋体"/>
          <w:kern w:val="0"/>
          <w:sz w:val="24"/>
        </w:rPr>
        <w:t xml:space="preserve"> 消费品工业高质量发展项目</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根据重庆市江津区人民政府《</w:t>
      </w:r>
      <w:r>
        <w:rPr>
          <w:rFonts w:ascii="仿宋_GB2312" w:hAnsi="宋体" w:eastAsia="仿宋_GB2312" w:cs="宋体"/>
          <w:kern w:val="0"/>
          <w:sz w:val="24"/>
        </w:rPr>
        <w:t>关于印发江津区支持消费品工业高质量发展政策的通知</w:t>
      </w:r>
      <w:r>
        <w:rPr>
          <w:rFonts w:hint="eastAsia" w:ascii="仿宋_GB2312" w:hAnsi="宋体" w:eastAsia="仿宋_GB2312" w:cs="宋体"/>
          <w:kern w:val="0"/>
          <w:sz w:val="24"/>
        </w:rPr>
        <w:t>》（江津府办发〔</w:t>
      </w:r>
      <w:r>
        <w:rPr>
          <w:rFonts w:ascii="仿宋_GB2312" w:hAnsi="宋体" w:eastAsia="仿宋_GB2312" w:cs="宋体"/>
          <w:kern w:val="0"/>
          <w:sz w:val="24"/>
        </w:rPr>
        <w:t>2020</w:t>
      </w:r>
      <w:r>
        <w:rPr>
          <w:rFonts w:hint="eastAsia" w:ascii="仿宋_GB2312" w:hAnsi="宋体" w:eastAsia="仿宋_GB2312" w:cs="宋体"/>
          <w:kern w:val="0"/>
          <w:sz w:val="24"/>
        </w:rPr>
        <w:t>〕</w:t>
      </w:r>
      <w:r>
        <w:rPr>
          <w:rFonts w:ascii="仿宋_GB2312" w:hAnsi="宋体" w:eastAsia="仿宋_GB2312" w:cs="宋体"/>
          <w:kern w:val="0"/>
          <w:sz w:val="24"/>
        </w:rPr>
        <w:t>172</w:t>
      </w:r>
      <w:r>
        <w:rPr>
          <w:rFonts w:hint="eastAsia" w:ascii="仿宋_GB2312" w:hAnsi="宋体" w:eastAsia="仿宋_GB2312" w:cs="宋体"/>
          <w:kern w:val="0"/>
          <w:sz w:val="24"/>
        </w:rPr>
        <w:t>号）消费品工业高质量发展政策主要补助政策内容如下：</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（1）</w:t>
      </w:r>
      <w:r>
        <w:rPr>
          <w:rFonts w:ascii="仿宋_GB2312" w:hAnsi="宋体" w:eastAsia="仿宋_GB2312" w:cs="宋体"/>
          <w:kern w:val="0"/>
          <w:sz w:val="24"/>
        </w:rPr>
        <w:t>对有新投资消费品项目且经有关部门备案的企业，根据企业本年度贷款情况，按银行基准利率（具体以当年一月一年期贷款基准利率LPR为准）的50%给予贴息，最高不超过30万元。</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（2）</w:t>
      </w:r>
      <w:r>
        <w:rPr>
          <w:rFonts w:ascii="仿宋_GB2312" w:hAnsi="宋体" w:eastAsia="仿宋_GB2312" w:cs="宋体"/>
          <w:kern w:val="0"/>
          <w:sz w:val="24"/>
        </w:rPr>
        <w:t>对新增担保额度发生的担保费给予一个百分点激励，最高不超过30万元。</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w:t>
      </w:r>
      <w:r>
        <w:rPr>
          <w:rFonts w:ascii="仿宋_GB2312" w:hAnsi="宋体" w:eastAsia="仿宋_GB2312" w:cs="宋体"/>
          <w:kern w:val="0"/>
          <w:sz w:val="24"/>
        </w:rPr>
        <w:t>对工业（创意）设计商用后评选获得一等奖的给予5万元/件的激励，二等奖给予3万元/件的激励，三等奖给予1万元/件的激励。</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（4）</w:t>
      </w:r>
      <w:r>
        <w:rPr>
          <w:rFonts w:ascii="仿宋_GB2312" w:hAnsi="宋体" w:eastAsia="仿宋_GB2312" w:cs="宋体"/>
          <w:kern w:val="0"/>
          <w:sz w:val="24"/>
        </w:rPr>
        <w:t>对事先备案的新增品种的产品，商用后按每新增一个品种给予1万元激励。</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（5）</w:t>
      </w:r>
      <w:r>
        <w:rPr>
          <w:rFonts w:ascii="仿宋_GB2312" w:hAnsi="宋体" w:eastAsia="仿宋_GB2312" w:cs="宋体"/>
          <w:kern w:val="0"/>
          <w:sz w:val="24"/>
        </w:rPr>
        <w:t>加大对智能制造示范项目支持力度，按不高于项目投资总额的40%给予激励，激励金额最高不超过300万元。</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（6）</w:t>
      </w:r>
      <w:r>
        <w:rPr>
          <w:rFonts w:ascii="仿宋_GB2312" w:hAnsi="宋体" w:eastAsia="仿宋_GB2312" w:cs="宋体"/>
          <w:kern w:val="0"/>
          <w:sz w:val="24"/>
        </w:rPr>
        <w:t>对当年新认定入库的科技型企业，一次性激励1万元；对新认定的高成长性企业，一次性激励10万元；对当年新认定、当年复评以及新迁入的高新技术企业，一次性激励20万元。</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（7）</w:t>
      </w:r>
      <w:r>
        <w:rPr>
          <w:rFonts w:ascii="仿宋_GB2312" w:hAnsi="宋体" w:eastAsia="仿宋_GB2312" w:cs="宋体"/>
          <w:kern w:val="0"/>
          <w:sz w:val="24"/>
        </w:rPr>
        <w:t>对一般性企业（非科技型企业、非高新技术企业），按当年研发投入经费的0.5%给予激励；对科技型企业，按当年研发投入经费的1%给予激励；对高新技术企业及高成长性企业，按当年研发投入经费的2%给予激励。</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（8）</w:t>
      </w:r>
      <w:r>
        <w:rPr>
          <w:rFonts w:ascii="仿宋_GB2312" w:hAnsi="宋体" w:eastAsia="仿宋_GB2312" w:cs="宋体"/>
          <w:kern w:val="0"/>
          <w:sz w:val="24"/>
        </w:rPr>
        <w:t>对新设立具有独立法人资格且符合江津消费品工业发展导向的独立法人研发机构，经市级以上（含市级）科技主管部门评审认定的，按该研发机构建设投入的50%给予一次性激励，最高不超过150万元。对首次获批国家级的研发平台，给予80万元的一次性激励。对首次获批市级的研发平台，给予20万元的一次性激励。</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（9）</w:t>
      </w:r>
      <w:r>
        <w:rPr>
          <w:rFonts w:ascii="仿宋_GB2312" w:hAnsi="宋体" w:eastAsia="仿宋_GB2312" w:cs="宋体"/>
          <w:kern w:val="0"/>
          <w:sz w:val="24"/>
        </w:rPr>
        <w:t>对申请获得知识价值信用贷款的科技型企业，按时还本付息后，按该项贷款当期收取担保服务费的100%给予激励。</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（10）</w:t>
      </w:r>
      <w:r>
        <w:rPr>
          <w:rFonts w:ascii="仿宋_GB2312" w:hAnsi="宋体" w:eastAsia="仿宋_GB2312" w:cs="宋体"/>
          <w:kern w:val="0"/>
          <w:sz w:val="24"/>
        </w:rPr>
        <w:t>对入驻消费品工业源产地线上平台且年网络销售额达到10万元以上，按网络销售额的1%给予激励，每个企业最高不超过6000元。</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（11）</w:t>
      </w:r>
      <w:r>
        <w:rPr>
          <w:rFonts w:ascii="仿宋_GB2312" w:hAnsi="宋体" w:eastAsia="仿宋_GB2312" w:cs="宋体"/>
          <w:kern w:val="0"/>
          <w:sz w:val="24"/>
        </w:rPr>
        <w:t>对经行业主管部门同意，参加江津区外展会的，按照产生展位费的60%给予补贴，每个企业最高不超过5万元/年。</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（12）</w:t>
      </w:r>
      <w:r>
        <w:rPr>
          <w:rFonts w:ascii="仿宋_GB2312" w:hAnsi="宋体" w:eastAsia="仿宋_GB2312" w:cs="宋体"/>
          <w:kern w:val="0"/>
          <w:sz w:val="24"/>
        </w:rPr>
        <w:t>在支持升规升限激励政策基础上，对消费品工业企业新成立销售公司且纳入限上统计的，批发企业年销售额达2亿元及以上、5亿元及以上、10亿元及以上或者零售企业年销售额达8000万元及以上、2亿元及以上、5亿元及以上，按照就高原则，分别给予5万元、10万元、15万元激励，激励资金总额不高于企业当年区级经济贡献。</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（13）</w:t>
      </w:r>
      <w:r>
        <w:rPr>
          <w:rFonts w:ascii="仿宋_GB2312" w:hAnsi="宋体" w:eastAsia="仿宋_GB2312" w:cs="宋体"/>
          <w:kern w:val="0"/>
          <w:sz w:val="24"/>
        </w:rPr>
        <w:t>对建设农产品出口示范基地，获得国家级、市级、区级认定的，分别给予15万元、10万元、5万元激励。</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（14）</w:t>
      </w:r>
      <w:r>
        <w:rPr>
          <w:rFonts w:ascii="仿宋_GB2312" w:hAnsi="宋体" w:eastAsia="仿宋_GB2312" w:cs="宋体"/>
          <w:kern w:val="0"/>
          <w:sz w:val="24"/>
        </w:rPr>
        <w:t>对应用环保节能技术，新建、改建农产品初加工设施设备的，按实际投资额的40%给予激励，最高不超过100万元。</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（15）</w:t>
      </w:r>
      <w:r>
        <w:rPr>
          <w:rFonts w:ascii="仿宋_GB2312" w:hAnsi="宋体" w:eastAsia="仿宋_GB2312" w:cs="宋体"/>
          <w:kern w:val="0"/>
          <w:sz w:val="24"/>
        </w:rPr>
        <w:t>对以农产品及加工副产物为原料，在医疗、日化、保健等领域成功研发生产新产品的，按当年销售额的10%给予激励，最高不超过100万元。</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（16）</w:t>
      </w:r>
      <w:r>
        <w:rPr>
          <w:rFonts w:ascii="仿宋_GB2312" w:hAnsi="宋体" w:eastAsia="仿宋_GB2312" w:cs="宋体"/>
          <w:kern w:val="0"/>
          <w:sz w:val="24"/>
        </w:rPr>
        <w:t>对收购贫困村农产品用于加工的，按当年收购金额的5%给予激励，最高不超过50万元。</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（17）</w:t>
      </w:r>
      <w:r>
        <w:rPr>
          <w:rFonts w:ascii="仿宋_GB2312" w:hAnsi="宋体" w:eastAsia="仿宋_GB2312" w:cs="宋体"/>
          <w:kern w:val="0"/>
          <w:sz w:val="24"/>
        </w:rPr>
        <w:t>对新建游客接待中心、展览馆、博物馆等为消费品工业服务的基础设施，面积100－300平方米，一次性激励10万元；面积超过300平方米，一次性激励30万元。</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（18）</w:t>
      </w:r>
      <w:r>
        <w:rPr>
          <w:rFonts w:ascii="仿宋_GB2312" w:hAnsi="宋体" w:eastAsia="仿宋_GB2312" w:cs="宋体"/>
          <w:kern w:val="0"/>
          <w:sz w:val="24"/>
        </w:rPr>
        <w:t>对申报非遗名录成功的，按照国家级、市级、区级，分别给予20万元、5万元、2万元一次性激励。对成功申报市级及以上非遗传习所并完成传承任务的，每年给予5万元激励。</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（二）项目资金到位及使用情况</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项目于2023年1月10日，区科技局上报《关于审定20</w:t>
      </w:r>
      <w:r>
        <w:rPr>
          <w:rFonts w:ascii="仿宋_GB2312" w:hAnsi="宋体" w:eastAsia="仿宋_GB2312" w:cs="宋体"/>
          <w:kern w:val="0"/>
          <w:sz w:val="24"/>
        </w:rPr>
        <w:t>20</w:t>
      </w:r>
      <w:r>
        <w:rPr>
          <w:rFonts w:hint="eastAsia" w:ascii="仿宋_GB2312" w:hAnsi="宋体" w:eastAsia="仿宋_GB2312" w:cs="宋体"/>
          <w:kern w:val="0"/>
          <w:sz w:val="24"/>
        </w:rPr>
        <w:t>年度科技创新促进高质量发展10条激励政策资金项目的请示》（</w:t>
      </w:r>
      <w:r>
        <w:rPr>
          <w:rFonts w:ascii="仿宋_GB2312" w:hAnsi="宋体" w:eastAsia="仿宋_GB2312" w:cs="宋体"/>
          <w:kern w:val="0"/>
          <w:sz w:val="24"/>
        </w:rPr>
        <w:t>津科文</w:t>
      </w:r>
      <w:r>
        <w:rPr>
          <w:rFonts w:hint="eastAsia" w:ascii="仿宋_GB2312" w:hAnsi="宋体" w:eastAsia="仿宋_GB2312" w:cs="宋体"/>
          <w:kern w:val="0"/>
          <w:sz w:val="24"/>
        </w:rPr>
        <w:t>〔2023〕2号）申请补助资金4，020.06万元，申报企业351家。</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2023年区科技局收到批复资金为4,019.57万元，共计使用4,019.57万元，主要用于注册地在江津区内的企业与学校进行奖补，该项目共计奖补企业及院校350家，补助类型9项，补助次数累计619次，补助资金共计4,019.57万元，具体如下：</w:t>
      </w:r>
    </w:p>
    <w:p>
      <w:pPr>
        <w:widowControl/>
        <w:spacing w:line="360" w:lineRule="auto"/>
        <w:ind w:firstLine="480" w:firstLineChars="200"/>
        <w:jc w:val="center"/>
        <w:rPr>
          <w:rFonts w:ascii="仿宋_GB2312" w:hAnsi="宋体" w:eastAsia="仿宋_GB2312" w:cs="宋体"/>
          <w:kern w:val="0"/>
          <w:sz w:val="24"/>
        </w:rPr>
      </w:pPr>
      <w:r>
        <w:rPr>
          <w:rFonts w:hint="eastAsia" w:ascii="仿宋_GB2312" w:hAnsi="宋体" w:eastAsia="仿宋_GB2312" w:cs="宋体"/>
          <w:kern w:val="0"/>
          <w:sz w:val="24"/>
        </w:rPr>
        <w:t>补助企业明细表</w:t>
      </w:r>
    </w:p>
    <w:tbl>
      <w:tblPr>
        <w:tblStyle w:val="21"/>
        <w:tblW w:w="0" w:type="auto"/>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3243"/>
        <w:gridCol w:w="2268"/>
        <w:gridCol w:w="2552"/>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tcPr>
          <w:p>
            <w:pPr>
              <w:widowControl/>
              <w:spacing w:line="360" w:lineRule="auto"/>
              <w:jc w:val="center"/>
              <w:rPr>
                <w:rFonts w:ascii="仿宋_GB2312" w:hAnsi="宋体" w:eastAsia="仿宋_GB2312" w:cs="宋体"/>
                <w:b/>
                <w:kern w:val="0"/>
                <w:szCs w:val="21"/>
              </w:rPr>
            </w:pPr>
            <w:r>
              <w:rPr>
                <w:rFonts w:hint="eastAsia" w:ascii="仿宋_GB2312" w:hAnsi="宋体" w:eastAsia="仿宋_GB2312" w:cs="宋体"/>
                <w:b/>
                <w:kern w:val="0"/>
                <w:szCs w:val="21"/>
              </w:rPr>
              <w:t>序号</w:t>
            </w:r>
          </w:p>
        </w:tc>
        <w:tc>
          <w:tcPr>
            <w:tcW w:w="3243" w:type="dxa"/>
          </w:tcPr>
          <w:p>
            <w:pPr>
              <w:widowControl/>
              <w:spacing w:line="360" w:lineRule="auto"/>
              <w:jc w:val="center"/>
              <w:rPr>
                <w:rFonts w:ascii="仿宋_GB2312" w:hAnsi="宋体" w:eastAsia="仿宋_GB2312" w:cs="宋体"/>
                <w:b/>
                <w:kern w:val="0"/>
                <w:szCs w:val="21"/>
              </w:rPr>
            </w:pPr>
            <w:r>
              <w:rPr>
                <w:rFonts w:hint="eastAsia" w:ascii="仿宋_GB2312" w:hAnsi="宋体" w:eastAsia="仿宋_GB2312" w:cs="宋体"/>
                <w:b/>
                <w:kern w:val="0"/>
                <w:szCs w:val="21"/>
              </w:rPr>
              <w:t>企业所在镇街（园区）</w:t>
            </w:r>
          </w:p>
        </w:tc>
        <w:tc>
          <w:tcPr>
            <w:tcW w:w="2268" w:type="dxa"/>
          </w:tcPr>
          <w:p>
            <w:pPr>
              <w:widowControl/>
              <w:spacing w:line="360" w:lineRule="auto"/>
              <w:jc w:val="center"/>
              <w:rPr>
                <w:rFonts w:ascii="仿宋_GB2312" w:hAnsi="宋体" w:eastAsia="仿宋_GB2312" w:cs="宋体"/>
                <w:b/>
                <w:kern w:val="0"/>
                <w:szCs w:val="21"/>
              </w:rPr>
            </w:pPr>
            <w:r>
              <w:rPr>
                <w:rFonts w:hint="eastAsia" w:ascii="仿宋_GB2312" w:hAnsi="宋体" w:eastAsia="仿宋_GB2312" w:cs="宋体"/>
                <w:b/>
                <w:kern w:val="0"/>
                <w:szCs w:val="21"/>
              </w:rPr>
              <w:t>企业数量</w:t>
            </w:r>
          </w:p>
        </w:tc>
        <w:tc>
          <w:tcPr>
            <w:tcW w:w="2552" w:type="dxa"/>
          </w:tcPr>
          <w:p>
            <w:pPr>
              <w:widowControl/>
              <w:spacing w:line="360" w:lineRule="auto"/>
              <w:jc w:val="center"/>
              <w:rPr>
                <w:rFonts w:ascii="仿宋_GB2312" w:hAnsi="宋体" w:eastAsia="仿宋_GB2312" w:cs="宋体"/>
                <w:b/>
                <w:kern w:val="0"/>
                <w:szCs w:val="21"/>
              </w:rPr>
            </w:pPr>
            <w:r>
              <w:rPr>
                <w:rFonts w:hint="eastAsia" w:ascii="仿宋_GB2312" w:hAnsi="宋体" w:eastAsia="仿宋_GB2312" w:cs="宋体"/>
                <w:b/>
                <w:kern w:val="0"/>
                <w:szCs w:val="21"/>
              </w:rPr>
              <w:t>补助金额（万元）</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kern w:val="0"/>
                <w:szCs w:val="21"/>
              </w:rPr>
              <w:t>1</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白沙工业园</w:t>
            </w:r>
          </w:p>
        </w:tc>
        <w:tc>
          <w:tcPr>
            <w:tcW w:w="2268"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2552"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 xml:space="preserve"> 278.72</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kern w:val="0"/>
                <w:szCs w:val="21"/>
              </w:rPr>
              <w:t>2</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柏林镇</w:t>
            </w:r>
          </w:p>
        </w:tc>
        <w:tc>
          <w:tcPr>
            <w:tcW w:w="2268"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2552"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2.40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kern w:val="0"/>
                <w:szCs w:val="21"/>
              </w:rPr>
              <w:t>3</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蔡家镇</w:t>
            </w:r>
          </w:p>
        </w:tc>
        <w:tc>
          <w:tcPr>
            <w:tcW w:w="2268"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2552" w:type="dxa"/>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 xml:space="preserve"> 0.50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kern w:val="0"/>
                <w:szCs w:val="21"/>
              </w:rPr>
              <w:t>4</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德感工业园</w:t>
            </w:r>
          </w:p>
        </w:tc>
        <w:tc>
          <w:tcPr>
            <w:tcW w:w="2268"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59</w:t>
            </w:r>
          </w:p>
        </w:tc>
        <w:tc>
          <w:tcPr>
            <w:tcW w:w="2552"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 xml:space="preserve">  978.74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kern w:val="0"/>
                <w:szCs w:val="21"/>
              </w:rPr>
              <w:t>5</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鼎山街道</w:t>
            </w:r>
          </w:p>
        </w:tc>
        <w:tc>
          <w:tcPr>
            <w:tcW w:w="2268"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8</w:t>
            </w:r>
          </w:p>
        </w:tc>
        <w:tc>
          <w:tcPr>
            <w:tcW w:w="2552"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 xml:space="preserve"> 54.78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kern w:val="0"/>
                <w:szCs w:val="21"/>
              </w:rPr>
              <w:t>6</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广兴镇</w:t>
            </w:r>
          </w:p>
        </w:tc>
        <w:tc>
          <w:tcPr>
            <w:tcW w:w="2268"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2552"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 xml:space="preserve">    25.93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kern w:val="0"/>
                <w:szCs w:val="21"/>
              </w:rPr>
              <w:t>7</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几江街道</w:t>
            </w:r>
          </w:p>
        </w:tc>
        <w:tc>
          <w:tcPr>
            <w:tcW w:w="2268"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11</w:t>
            </w:r>
          </w:p>
        </w:tc>
        <w:tc>
          <w:tcPr>
            <w:tcW w:w="2552"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 xml:space="preserve">  22.40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kern w:val="0"/>
                <w:szCs w:val="21"/>
              </w:rPr>
              <w:t>8</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李市镇</w:t>
            </w:r>
          </w:p>
        </w:tc>
        <w:tc>
          <w:tcPr>
            <w:tcW w:w="2268"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2552"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 xml:space="preserve">  18.90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kern w:val="0"/>
                <w:szCs w:val="21"/>
              </w:rPr>
              <w:t>9</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珞璜工业园</w:t>
            </w:r>
          </w:p>
        </w:tc>
        <w:tc>
          <w:tcPr>
            <w:tcW w:w="2268"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68</w:t>
            </w:r>
          </w:p>
        </w:tc>
        <w:tc>
          <w:tcPr>
            <w:tcW w:w="2552"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 xml:space="preserve"> 799.90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hint="eastAsia" w:ascii="Times New Roman" w:hAnsi="Times New Roman" w:eastAsia="仿宋_GB2312"/>
                <w:kern w:val="0"/>
                <w:szCs w:val="21"/>
              </w:rPr>
              <w:t>10</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圣泉街道</w:t>
            </w:r>
          </w:p>
        </w:tc>
        <w:tc>
          <w:tcPr>
            <w:tcW w:w="2268"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2552"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 xml:space="preserve"> 244.14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hint="eastAsia" w:ascii="Times New Roman" w:hAnsi="Times New Roman" w:eastAsia="仿宋_GB2312"/>
                <w:kern w:val="0"/>
                <w:szCs w:val="21"/>
              </w:rPr>
              <w:t>11</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石门镇</w:t>
            </w:r>
          </w:p>
        </w:tc>
        <w:tc>
          <w:tcPr>
            <w:tcW w:w="2268"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2552"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 xml:space="preserve"> 3.28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hint="eastAsia" w:ascii="Times New Roman" w:hAnsi="Times New Roman" w:eastAsia="仿宋_GB2312"/>
                <w:kern w:val="0"/>
                <w:szCs w:val="21"/>
              </w:rPr>
              <w:t>12</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双福工业园</w:t>
            </w:r>
          </w:p>
        </w:tc>
        <w:tc>
          <w:tcPr>
            <w:tcW w:w="2268"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138</w:t>
            </w:r>
          </w:p>
        </w:tc>
        <w:tc>
          <w:tcPr>
            <w:tcW w:w="2552"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 xml:space="preserve">  1,432.78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hint="eastAsia" w:ascii="Times New Roman" w:hAnsi="Times New Roman" w:eastAsia="仿宋_GB2312"/>
                <w:kern w:val="0"/>
                <w:szCs w:val="21"/>
              </w:rPr>
              <w:t>13</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四面山镇</w:t>
            </w:r>
          </w:p>
        </w:tc>
        <w:tc>
          <w:tcPr>
            <w:tcW w:w="2268"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2552"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 xml:space="preserve">   1.78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hint="eastAsia" w:ascii="Times New Roman" w:hAnsi="Times New Roman" w:eastAsia="仿宋_GB2312"/>
                <w:kern w:val="0"/>
                <w:szCs w:val="21"/>
              </w:rPr>
              <w:t>14</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吴滩镇</w:t>
            </w:r>
          </w:p>
        </w:tc>
        <w:tc>
          <w:tcPr>
            <w:tcW w:w="2268"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2552"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 xml:space="preserve">  3.30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hint="eastAsia" w:ascii="Times New Roman" w:hAnsi="Times New Roman" w:eastAsia="仿宋_GB2312"/>
                <w:kern w:val="0"/>
                <w:szCs w:val="21"/>
              </w:rPr>
              <w:t>15</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西湖镇</w:t>
            </w:r>
          </w:p>
        </w:tc>
        <w:tc>
          <w:tcPr>
            <w:tcW w:w="2268"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2552"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 xml:space="preserve">  16.00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hint="eastAsia" w:ascii="Times New Roman" w:hAnsi="Times New Roman" w:eastAsia="仿宋_GB2312"/>
                <w:kern w:val="0"/>
                <w:szCs w:val="21"/>
              </w:rPr>
              <w:t>16</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夏坝镇</w:t>
            </w:r>
          </w:p>
        </w:tc>
        <w:tc>
          <w:tcPr>
            <w:tcW w:w="2268"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2552"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 xml:space="preserve"> 4.40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hint="eastAsia" w:ascii="Times New Roman" w:hAnsi="Times New Roman" w:eastAsia="仿宋_GB2312"/>
                <w:kern w:val="0"/>
                <w:szCs w:val="21"/>
              </w:rPr>
              <w:t>17</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先锋镇</w:t>
            </w:r>
          </w:p>
        </w:tc>
        <w:tc>
          <w:tcPr>
            <w:tcW w:w="2268"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2552"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 xml:space="preserve">   4.47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hint="eastAsia" w:ascii="Times New Roman" w:hAnsi="Times New Roman" w:eastAsia="仿宋_GB2312"/>
                <w:kern w:val="0"/>
                <w:szCs w:val="21"/>
              </w:rPr>
              <w:t>18</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现代农业园区</w:t>
            </w:r>
          </w:p>
        </w:tc>
        <w:tc>
          <w:tcPr>
            <w:tcW w:w="2268"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2552"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 xml:space="preserve"> 18.10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hint="eastAsia" w:ascii="Times New Roman" w:hAnsi="Times New Roman" w:eastAsia="仿宋_GB2312"/>
                <w:kern w:val="0"/>
                <w:szCs w:val="21"/>
              </w:rPr>
              <w:t>19</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油溪镇</w:t>
            </w:r>
          </w:p>
        </w:tc>
        <w:tc>
          <w:tcPr>
            <w:tcW w:w="2268"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2552"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 xml:space="preserve">  68.08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hint="eastAsia" w:ascii="Times New Roman" w:hAnsi="Times New Roman" w:eastAsia="仿宋_GB2312"/>
                <w:kern w:val="0"/>
                <w:szCs w:val="21"/>
              </w:rPr>
              <w:t>20</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支坪镇</w:t>
            </w:r>
          </w:p>
        </w:tc>
        <w:tc>
          <w:tcPr>
            <w:tcW w:w="2268"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2552"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 xml:space="preserve">   0.50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hint="eastAsia" w:ascii="Times New Roman" w:hAnsi="Times New Roman" w:eastAsia="仿宋_GB2312"/>
                <w:kern w:val="0"/>
                <w:szCs w:val="21"/>
              </w:rPr>
              <w:t>21</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朱杨镇</w:t>
            </w:r>
          </w:p>
        </w:tc>
        <w:tc>
          <w:tcPr>
            <w:tcW w:w="2268"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2552"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 xml:space="preserve">   15.00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hint="eastAsia" w:ascii="Times New Roman" w:hAnsi="Times New Roman" w:eastAsia="仿宋_GB2312"/>
                <w:kern w:val="0"/>
                <w:szCs w:val="21"/>
              </w:rPr>
              <w:t>22</w:t>
            </w:r>
          </w:p>
        </w:tc>
        <w:tc>
          <w:tcPr>
            <w:tcW w:w="3243" w:type="dxa"/>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综合保税区</w:t>
            </w:r>
          </w:p>
        </w:tc>
        <w:tc>
          <w:tcPr>
            <w:tcW w:w="2268"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2552" w:type="dxa"/>
            <w:vAlign w:val="center"/>
          </w:tcPr>
          <w:p>
            <w:pPr>
              <w:widowControl/>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 xml:space="preserve">    25.46</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77" w:type="dxa"/>
            <w:gridSpan w:val="2"/>
            <w:vAlign w:val="center"/>
          </w:tcPr>
          <w:p>
            <w:pPr>
              <w:widowControl/>
              <w:spacing w:line="360" w:lineRule="auto"/>
              <w:jc w:val="center"/>
              <w:rPr>
                <w:rFonts w:ascii="Times New Roman" w:hAnsi="Times New Roman" w:eastAsia="仿宋_GB2312"/>
                <w:b/>
                <w:color w:val="000000"/>
                <w:szCs w:val="21"/>
              </w:rPr>
            </w:pPr>
            <w:r>
              <w:rPr>
                <w:rFonts w:hint="eastAsia" w:ascii="Times New Roman" w:hAnsi="Times New Roman" w:eastAsia="仿宋_GB2312"/>
                <w:b/>
                <w:color w:val="000000"/>
                <w:szCs w:val="21"/>
              </w:rPr>
              <w:t>合计</w:t>
            </w:r>
          </w:p>
        </w:tc>
        <w:tc>
          <w:tcPr>
            <w:tcW w:w="2268" w:type="dxa"/>
            <w:vAlign w:val="center"/>
          </w:tcPr>
          <w:p>
            <w:pPr>
              <w:widowControl/>
              <w:spacing w:line="360" w:lineRule="auto"/>
              <w:jc w:val="center"/>
              <w:rPr>
                <w:rFonts w:ascii="Times New Roman" w:hAnsi="Times New Roman" w:eastAsia="仿宋_GB2312"/>
                <w:b/>
                <w:color w:val="000000"/>
                <w:szCs w:val="21"/>
              </w:rPr>
            </w:pPr>
            <w:r>
              <w:rPr>
                <w:rFonts w:hint="eastAsia" w:ascii="Times New Roman" w:hAnsi="Times New Roman" w:eastAsia="仿宋_GB2312"/>
                <w:b/>
                <w:color w:val="000000"/>
                <w:szCs w:val="21"/>
              </w:rPr>
              <w:t>350</w:t>
            </w:r>
          </w:p>
        </w:tc>
        <w:tc>
          <w:tcPr>
            <w:tcW w:w="2552" w:type="dxa"/>
            <w:vAlign w:val="center"/>
          </w:tcPr>
          <w:p>
            <w:pPr>
              <w:widowControl/>
              <w:spacing w:line="360" w:lineRule="auto"/>
              <w:jc w:val="right"/>
              <w:rPr>
                <w:rFonts w:ascii="Times New Roman" w:hAnsi="Times New Roman" w:eastAsia="仿宋_GB2312"/>
                <w:b/>
                <w:color w:val="000000"/>
                <w:szCs w:val="21"/>
              </w:rPr>
            </w:pPr>
            <w:r>
              <w:rPr>
                <w:rFonts w:hint="eastAsia" w:ascii="Times New Roman" w:hAnsi="Times New Roman" w:eastAsia="仿宋_GB2312"/>
                <w:b/>
                <w:color w:val="000000"/>
                <w:szCs w:val="21"/>
              </w:rPr>
              <w:t xml:space="preserve"> 4,019.57 </w:t>
            </w:r>
          </w:p>
        </w:tc>
      </w:tr>
    </w:tbl>
    <w:p>
      <w:pPr>
        <w:widowControl/>
        <w:spacing w:line="360" w:lineRule="auto"/>
        <w:ind w:firstLine="480" w:firstLineChars="200"/>
        <w:jc w:val="left"/>
        <w:rPr>
          <w:rFonts w:ascii="仿宋_GB2312" w:hAnsi="宋体" w:eastAsia="仿宋_GB2312" w:cs="宋体"/>
          <w:kern w:val="0"/>
          <w:sz w:val="24"/>
        </w:rPr>
      </w:pPr>
    </w:p>
    <w:p>
      <w:pPr>
        <w:widowControl/>
        <w:spacing w:line="360" w:lineRule="auto"/>
        <w:ind w:firstLine="480" w:firstLineChars="200"/>
        <w:jc w:val="center"/>
        <w:rPr>
          <w:rFonts w:ascii="仿宋_GB2312" w:hAnsi="宋体" w:eastAsia="仿宋_GB2312" w:cs="宋体"/>
          <w:kern w:val="0"/>
          <w:sz w:val="24"/>
        </w:rPr>
      </w:pPr>
      <w:r>
        <w:rPr>
          <w:rFonts w:hint="eastAsia" w:ascii="仿宋_GB2312" w:hAnsi="宋体" w:eastAsia="仿宋_GB2312" w:cs="宋体"/>
          <w:kern w:val="0"/>
          <w:sz w:val="24"/>
        </w:rPr>
        <w:t>补助项目明细表</w:t>
      </w:r>
    </w:p>
    <w:tbl>
      <w:tblPr>
        <w:tblStyle w:val="21"/>
        <w:tblW w:w="0" w:type="auto"/>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2818"/>
        <w:gridCol w:w="2693"/>
        <w:gridCol w:w="2552"/>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PrEx>
        <w:tc>
          <w:tcPr>
            <w:tcW w:w="834" w:type="dxa"/>
          </w:tcPr>
          <w:p>
            <w:pPr>
              <w:widowControl/>
              <w:spacing w:line="360" w:lineRule="auto"/>
              <w:jc w:val="center"/>
              <w:rPr>
                <w:rFonts w:ascii="仿宋_GB2312" w:hAnsi="宋体" w:eastAsia="仿宋_GB2312" w:cs="宋体"/>
                <w:b/>
                <w:kern w:val="0"/>
                <w:szCs w:val="21"/>
              </w:rPr>
            </w:pPr>
            <w:r>
              <w:rPr>
                <w:rFonts w:hint="eastAsia" w:ascii="仿宋_GB2312" w:hAnsi="宋体" w:eastAsia="仿宋_GB2312" w:cs="宋体"/>
                <w:b/>
                <w:kern w:val="0"/>
                <w:szCs w:val="21"/>
              </w:rPr>
              <w:t>序号</w:t>
            </w:r>
          </w:p>
        </w:tc>
        <w:tc>
          <w:tcPr>
            <w:tcW w:w="2818" w:type="dxa"/>
          </w:tcPr>
          <w:p>
            <w:pPr>
              <w:widowControl/>
              <w:spacing w:line="360" w:lineRule="auto"/>
              <w:jc w:val="center"/>
              <w:rPr>
                <w:rFonts w:ascii="仿宋_GB2312" w:hAnsi="宋体" w:eastAsia="仿宋_GB2312" w:cs="宋体"/>
                <w:b/>
                <w:kern w:val="0"/>
                <w:szCs w:val="21"/>
              </w:rPr>
            </w:pPr>
            <w:r>
              <w:rPr>
                <w:rFonts w:hint="eastAsia" w:ascii="仿宋_GB2312" w:hAnsi="宋体" w:eastAsia="仿宋_GB2312" w:cs="宋体"/>
                <w:b/>
                <w:kern w:val="0"/>
                <w:szCs w:val="21"/>
              </w:rPr>
              <w:t>奖补类型</w:t>
            </w:r>
          </w:p>
        </w:tc>
        <w:tc>
          <w:tcPr>
            <w:tcW w:w="2693" w:type="dxa"/>
          </w:tcPr>
          <w:p>
            <w:pPr>
              <w:widowControl/>
              <w:spacing w:line="360" w:lineRule="auto"/>
              <w:jc w:val="center"/>
              <w:rPr>
                <w:rFonts w:ascii="仿宋_GB2312" w:hAnsi="宋体" w:eastAsia="仿宋_GB2312" w:cs="宋体"/>
                <w:b/>
                <w:kern w:val="0"/>
                <w:szCs w:val="21"/>
              </w:rPr>
            </w:pPr>
            <w:r>
              <w:rPr>
                <w:rFonts w:hint="eastAsia" w:ascii="仿宋_GB2312" w:hAnsi="宋体" w:eastAsia="仿宋_GB2312" w:cs="宋体"/>
                <w:b/>
                <w:kern w:val="0"/>
                <w:szCs w:val="21"/>
              </w:rPr>
              <w:t>补助项目数量</w:t>
            </w:r>
          </w:p>
        </w:tc>
        <w:tc>
          <w:tcPr>
            <w:tcW w:w="2552" w:type="dxa"/>
          </w:tcPr>
          <w:p>
            <w:pPr>
              <w:widowControl/>
              <w:spacing w:line="360" w:lineRule="auto"/>
              <w:jc w:val="center"/>
              <w:rPr>
                <w:rFonts w:ascii="仿宋_GB2312" w:hAnsi="宋体" w:eastAsia="仿宋_GB2312" w:cs="宋体"/>
                <w:b/>
                <w:kern w:val="0"/>
                <w:szCs w:val="21"/>
              </w:rPr>
            </w:pPr>
            <w:r>
              <w:rPr>
                <w:rFonts w:hint="eastAsia" w:ascii="仿宋_GB2312" w:hAnsi="宋体" w:eastAsia="仿宋_GB2312" w:cs="宋体"/>
                <w:b/>
                <w:kern w:val="0"/>
                <w:szCs w:val="21"/>
              </w:rPr>
              <w:t>补助金额（万元）</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kern w:val="0"/>
                <w:szCs w:val="21"/>
              </w:rPr>
              <w:t>1</w:t>
            </w:r>
          </w:p>
        </w:tc>
        <w:tc>
          <w:tcPr>
            <w:tcW w:w="2818" w:type="dxa"/>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科技型企业研发投入项目</w:t>
            </w:r>
          </w:p>
        </w:tc>
        <w:tc>
          <w:tcPr>
            <w:tcW w:w="2693"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color w:val="000000"/>
                <w:szCs w:val="21"/>
              </w:rPr>
              <w:t>13</w:t>
            </w:r>
          </w:p>
        </w:tc>
        <w:tc>
          <w:tcPr>
            <w:tcW w:w="2552" w:type="dxa"/>
            <w:vAlign w:val="center"/>
          </w:tcPr>
          <w:p>
            <w:pPr>
              <w:widowControl/>
              <w:spacing w:line="360" w:lineRule="auto"/>
              <w:jc w:val="right"/>
              <w:rPr>
                <w:rFonts w:ascii="Times New Roman" w:hAnsi="Times New Roman" w:eastAsia="仿宋_GB2312"/>
                <w:kern w:val="0"/>
                <w:szCs w:val="21"/>
              </w:rPr>
            </w:pPr>
            <w:r>
              <w:rPr>
                <w:rFonts w:ascii="Times New Roman" w:hAnsi="Times New Roman" w:eastAsia="仿宋_GB2312"/>
                <w:color w:val="000000"/>
                <w:szCs w:val="21"/>
              </w:rPr>
              <w:t>64.86</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kern w:val="0"/>
                <w:szCs w:val="21"/>
              </w:rPr>
              <w:t>2</w:t>
            </w:r>
          </w:p>
        </w:tc>
        <w:tc>
          <w:tcPr>
            <w:tcW w:w="2818" w:type="dxa"/>
          </w:tcPr>
          <w:p>
            <w:pPr>
              <w:widowControl/>
              <w:spacing w:line="360" w:lineRule="auto"/>
              <w:jc w:val="left"/>
              <w:rPr>
                <w:rFonts w:ascii="仿宋_GB2312" w:hAnsi="宋体" w:eastAsia="仿宋_GB2312" w:cs="宋体"/>
                <w:kern w:val="0"/>
                <w:szCs w:val="21"/>
              </w:rPr>
            </w:pPr>
            <w:r>
              <w:rPr>
                <w:rFonts w:hint="eastAsia" w:ascii="仿宋_GB2312" w:eastAsia="仿宋_GB2312"/>
                <w:szCs w:val="21"/>
              </w:rPr>
              <w:t>高新技术企业研发投入项目</w:t>
            </w:r>
          </w:p>
        </w:tc>
        <w:tc>
          <w:tcPr>
            <w:tcW w:w="2693"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color w:val="000000"/>
                <w:szCs w:val="21"/>
              </w:rPr>
              <w:t>75</w:t>
            </w:r>
          </w:p>
        </w:tc>
        <w:tc>
          <w:tcPr>
            <w:tcW w:w="2552" w:type="dxa"/>
            <w:vAlign w:val="center"/>
          </w:tcPr>
          <w:p>
            <w:pPr>
              <w:widowControl/>
              <w:spacing w:line="360" w:lineRule="auto"/>
              <w:jc w:val="right"/>
              <w:rPr>
                <w:rFonts w:ascii="Times New Roman" w:hAnsi="Times New Roman" w:eastAsia="仿宋_GB2312"/>
                <w:kern w:val="0"/>
                <w:szCs w:val="21"/>
              </w:rPr>
            </w:pPr>
            <w:r>
              <w:rPr>
                <w:rFonts w:ascii="Times New Roman" w:hAnsi="Times New Roman" w:eastAsia="仿宋_GB2312"/>
                <w:color w:val="000000"/>
                <w:szCs w:val="21"/>
              </w:rPr>
              <w:t>1,370.47</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kern w:val="0"/>
                <w:szCs w:val="21"/>
              </w:rPr>
              <w:t>3</w:t>
            </w:r>
          </w:p>
        </w:tc>
        <w:tc>
          <w:tcPr>
            <w:tcW w:w="2818" w:type="dxa"/>
          </w:tcPr>
          <w:p>
            <w:pPr>
              <w:widowControl/>
              <w:spacing w:line="360" w:lineRule="auto"/>
              <w:jc w:val="left"/>
              <w:rPr>
                <w:rFonts w:ascii="仿宋_GB2312" w:hAnsi="宋体" w:eastAsia="仿宋_GB2312" w:cs="宋体"/>
                <w:kern w:val="0"/>
                <w:szCs w:val="21"/>
              </w:rPr>
            </w:pPr>
            <w:r>
              <w:rPr>
                <w:rFonts w:hint="eastAsia" w:ascii="仿宋_GB2312" w:eastAsia="仿宋_GB2312"/>
                <w:szCs w:val="21"/>
              </w:rPr>
              <w:t>高校研发投入项目</w:t>
            </w:r>
          </w:p>
        </w:tc>
        <w:tc>
          <w:tcPr>
            <w:tcW w:w="2693"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color w:val="000000"/>
                <w:szCs w:val="21"/>
              </w:rPr>
              <w:t>6</w:t>
            </w:r>
          </w:p>
        </w:tc>
        <w:tc>
          <w:tcPr>
            <w:tcW w:w="2552" w:type="dxa"/>
            <w:vAlign w:val="center"/>
          </w:tcPr>
          <w:p>
            <w:pPr>
              <w:jc w:val="right"/>
              <w:rPr>
                <w:rFonts w:ascii="Times New Roman" w:hAnsi="Times New Roman" w:eastAsia="仿宋_GB2312"/>
                <w:kern w:val="0"/>
                <w:szCs w:val="21"/>
              </w:rPr>
            </w:pPr>
            <w:r>
              <w:rPr>
                <w:rFonts w:ascii="Times New Roman" w:hAnsi="Times New Roman" w:eastAsia="仿宋_GB2312"/>
                <w:color w:val="000000"/>
                <w:szCs w:val="21"/>
              </w:rPr>
              <w:t>92.72</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kern w:val="0"/>
                <w:szCs w:val="21"/>
              </w:rPr>
              <w:t>4</w:t>
            </w:r>
          </w:p>
        </w:tc>
        <w:tc>
          <w:tcPr>
            <w:tcW w:w="2818" w:type="dxa"/>
          </w:tcPr>
          <w:p>
            <w:pPr>
              <w:widowControl/>
              <w:spacing w:line="360" w:lineRule="auto"/>
              <w:jc w:val="left"/>
              <w:rPr>
                <w:rFonts w:ascii="仿宋_GB2312" w:hAnsi="宋体" w:eastAsia="仿宋_GB2312" w:cs="宋体"/>
                <w:kern w:val="0"/>
                <w:szCs w:val="21"/>
              </w:rPr>
            </w:pPr>
            <w:r>
              <w:rPr>
                <w:rFonts w:hint="eastAsia" w:ascii="仿宋_GB2312" w:eastAsia="仿宋_GB2312"/>
                <w:szCs w:val="21"/>
              </w:rPr>
              <w:t>研发平台建设项目</w:t>
            </w:r>
          </w:p>
        </w:tc>
        <w:tc>
          <w:tcPr>
            <w:tcW w:w="2693"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color w:val="000000"/>
                <w:szCs w:val="21"/>
              </w:rPr>
              <w:t>15</w:t>
            </w:r>
          </w:p>
        </w:tc>
        <w:tc>
          <w:tcPr>
            <w:tcW w:w="2552" w:type="dxa"/>
            <w:vAlign w:val="center"/>
          </w:tcPr>
          <w:p>
            <w:pPr>
              <w:widowControl/>
              <w:spacing w:line="360" w:lineRule="auto"/>
              <w:jc w:val="right"/>
              <w:rPr>
                <w:rFonts w:ascii="Times New Roman" w:hAnsi="Times New Roman" w:eastAsia="仿宋_GB2312"/>
                <w:kern w:val="0"/>
                <w:szCs w:val="21"/>
              </w:rPr>
            </w:pPr>
            <w:r>
              <w:rPr>
                <w:rFonts w:ascii="Times New Roman" w:hAnsi="Times New Roman" w:eastAsia="仿宋_GB2312"/>
                <w:color w:val="000000"/>
                <w:szCs w:val="21"/>
              </w:rPr>
              <w:t>195.00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kern w:val="0"/>
                <w:szCs w:val="21"/>
              </w:rPr>
              <w:t>5</w:t>
            </w:r>
          </w:p>
        </w:tc>
        <w:tc>
          <w:tcPr>
            <w:tcW w:w="2818" w:type="dxa"/>
          </w:tcPr>
          <w:p>
            <w:pPr>
              <w:widowControl/>
              <w:spacing w:line="360" w:lineRule="auto"/>
              <w:jc w:val="left"/>
              <w:rPr>
                <w:rFonts w:ascii="仿宋_GB2312" w:hAnsi="宋体" w:eastAsia="仿宋_GB2312" w:cs="宋体"/>
                <w:kern w:val="0"/>
                <w:szCs w:val="21"/>
              </w:rPr>
            </w:pPr>
            <w:r>
              <w:rPr>
                <w:rFonts w:hint="eastAsia" w:ascii="仿宋_GB2312" w:eastAsia="仿宋_GB2312"/>
                <w:szCs w:val="21"/>
              </w:rPr>
              <w:t>高新技术企业认定项目</w:t>
            </w:r>
          </w:p>
        </w:tc>
        <w:tc>
          <w:tcPr>
            <w:tcW w:w="2693"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color w:val="000000"/>
                <w:szCs w:val="21"/>
              </w:rPr>
              <w:t>101</w:t>
            </w:r>
          </w:p>
        </w:tc>
        <w:tc>
          <w:tcPr>
            <w:tcW w:w="2552" w:type="dxa"/>
            <w:vAlign w:val="center"/>
          </w:tcPr>
          <w:p>
            <w:pPr>
              <w:widowControl/>
              <w:spacing w:line="360" w:lineRule="auto"/>
              <w:jc w:val="right"/>
              <w:rPr>
                <w:rFonts w:ascii="Times New Roman" w:hAnsi="Times New Roman" w:eastAsia="仿宋_GB2312"/>
                <w:kern w:val="0"/>
                <w:szCs w:val="21"/>
              </w:rPr>
            </w:pPr>
            <w:r>
              <w:rPr>
                <w:rFonts w:ascii="Times New Roman" w:hAnsi="Times New Roman" w:eastAsia="仿宋_GB2312"/>
                <w:color w:val="000000"/>
                <w:szCs w:val="21"/>
              </w:rPr>
              <w:t>1,585.00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kern w:val="0"/>
                <w:szCs w:val="21"/>
              </w:rPr>
              <w:t>6</w:t>
            </w:r>
          </w:p>
        </w:tc>
        <w:tc>
          <w:tcPr>
            <w:tcW w:w="2818" w:type="dxa"/>
          </w:tcPr>
          <w:p>
            <w:pPr>
              <w:widowControl/>
              <w:spacing w:line="360" w:lineRule="auto"/>
              <w:jc w:val="left"/>
              <w:rPr>
                <w:rFonts w:ascii="仿宋_GB2312" w:hAnsi="宋体" w:eastAsia="仿宋_GB2312" w:cs="宋体"/>
                <w:kern w:val="0"/>
                <w:szCs w:val="21"/>
              </w:rPr>
            </w:pPr>
            <w:r>
              <w:rPr>
                <w:rFonts w:hint="eastAsia" w:ascii="仿宋_GB2312" w:eastAsia="仿宋_GB2312"/>
                <w:szCs w:val="21"/>
              </w:rPr>
              <w:t>科技型企业认定项目</w:t>
            </w:r>
          </w:p>
        </w:tc>
        <w:tc>
          <w:tcPr>
            <w:tcW w:w="2693"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color w:val="000000"/>
                <w:szCs w:val="21"/>
              </w:rPr>
              <w:t>265</w:t>
            </w:r>
          </w:p>
        </w:tc>
        <w:tc>
          <w:tcPr>
            <w:tcW w:w="2552" w:type="dxa"/>
            <w:vAlign w:val="center"/>
          </w:tcPr>
          <w:p>
            <w:pPr>
              <w:widowControl/>
              <w:spacing w:line="360" w:lineRule="auto"/>
              <w:jc w:val="right"/>
              <w:rPr>
                <w:rFonts w:ascii="Times New Roman" w:hAnsi="Times New Roman" w:eastAsia="仿宋_GB2312"/>
                <w:kern w:val="0"/>
                <w:szCs w:val="21"/>
              </w:rPr>
            </w:pPr>
            <w:r>
              <w:rPr>
                <w:rFonts w:ascii="Times New Roman" w:hAnsi="Times New Roman" w:eastAsia="仿宋_GB2312"/>
                <w:color w:val="000000"/>
                <w:szCs w:val="21"/>
              </w:rPr>
              <w:t>146.00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kern w:val="0"/>
                <w:szCs w:val="21"/>
              </w:rPr>
              <w:t>7</w:t>
            </w:r>
          </w:p>
        </w:tc>
        <w:tc>
          <w:tcPr>
            <w:tcW w:w="2818" w:type="dxa"/>
          </w:tcPr>
          <w:p>
            <w:pPr>
              <w:widowControl/>
              <w:spacing w:line="360" w:lineRule="auto"/>
              <w:jc w:val="left"/>
              <w:rPr>
                <w:rFonts w:ascii="仿宋_GB2312" w:hAnsi="宋体" w:eastAsia="仿宋_GB2312" w:cs="宋体"/>
                <w:kern w:val="0"/>
                <w:szCs w:val="21"/>
              </w:rPr>
            </w:pPr>
            <w:r>
              <w:rPr>
                <w:rFonts w:hint="eastAsia" w:ascii="仿宋_GB2312" w:eastAsia="仿宋_GB2312"/>
                <w:szCs w:val="21"/>
              </w:rPr>
              <w:t>科技成果转化项目</w:t>
            </w:r>
          </w:p>
        </w:tc>
        <w:tc>
          <w:tcPr>
            <w:tcW w:w="2693"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color w:val="000000"/>
                <w:szCs w:val="21"/>
              </w:rPr>
              <w:t>2</w:t>
            </w:r>
          </w:p>
        </w:tc>
        <w:tc>
          <w:tcPr>
            <w:tcW w:w="2552" w:type="dxa"/>
            <w:vAlign w:val="center"/>
          </w:tcPr>
          <w:p>
            <w:pPr>
              <w:widowControl/>
              <w:spacing w:line="360" w:lineRule="auto"/>
              <w:jc w:val="right"/>
              <w:rPr>
                <w:rFonts w:ascii="Times New Roman" w:hAnsi="Times New Roman" w:eastAsia="仿宋_GB2312"/>
                <w:kern w:val="0"/>
                <w:szCs w:val="21"/>
              </w:rPr>
            </w:pPr>
            <w:r>
              <w:rPr>
                <w:rFonts w:ascii="Times New Roman" w:hAnsi="Times New Roman" w:eastAsia="仿宋_GB2312"/>
                <w:color w:val="000000"/>
                <w:szCs w:val="21"/>
              </w:rPr>
              <w:t>40.00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kern w:val="0"/>
                <w:szCs w:val="21"/>
              </w:rPr>
              <w:t>8</w:t>
            </w:r>
          </w:p>
        </w:tc>
        <w:tc>
          <w:tcPr>
            <w:tcW w:w="2818" w:type="dxa"/>
          </w:tcPr>
          <w:p>
            <w:pPr>
              <w:widowControl/>
              <w:spacing w:line="360" w:lineRule="auto"/>
              <w:jc w:val="left"/>
              <w:rPr>
                <w:rFonts w:ascii="仿宋_GB2312" w:hAnsi="宋体" w:eastAsia="仿宋_GB2312" w:cs="宋体"/>
                <w:kern w:val="0"/>
                <w:szCs w:val="21"/>
              </w:rPr>
            </w:pPr>
            <w:r>
              <w:rPr>
                <w:rFonts w:hint="eastAsia" w:ascii="仿宋_GB2312" w:eastAsia="仿宋_GB2312"/>
                <w:szCs w:val="21"/>
              </w:rPr>
              <w:t>科技金融项目</w:t>
            </w:r>
          </w:p>
        </w:tc>
        <w:tc>
          <w:tcPr>
            <w:tcW w:w="2693"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color w:val="000000"/>
                <w:szCs w:val="21"/>
              </w:rPr>
              <w:t>72</w:t>
            </w:r>
          </w:p>
        </w:tc>
        <w:tc>
          <w:tcPr>
            <w:tcW w:w="2552" w:type="dxa"/>
            <w:vAlign w:val="center"/>
          </w:tcPr>
          <w:p>
            <w:pPr>
              <w:widowControl/>
              <w:spacing w:line="360" w:lineRule="auto"/>
              <w:jc w:val="right"/>
              <w:rPr>
                <w:rFonts w:ascii="Times New Roman" w:hAnsi="Times New Roman" w:eastAsia="仿宋_GB2312"/>
                <w:kern w:val="0"/>
                <w:szCs w:val="21"/>
              </w:rPr>
            </w:pPr>
            <w:r>
              <w:rPr>
                <w:rFonts w:ascii="Times New Roman" w:hAnsi="Times New Roman" w:eastAsia="仿宋_GB2312"/>
                <w:color w:val="000000"/>
                <w:szCs w:val="21"/>
              </w:rPr>
              <w:t>158.52</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kern w:val="0"/>
                <w:szCs w:val="21"/>
              </w:rPr>
              <w:t>9</w:t>
            </w:r>
          </w:p>
        </w:tc>
        <w:tc>
          <w:tcPr>
            <w:tcW w:w="2818" w:type="dxa"/>
          </w:tcPr>
          <w:p>
            <w:pPr>
              <w:widowControl/>
              <w:spacing w:line="360" w:lineRule="auto"/>
              <w:jc w:val="left"/>
              <w:rPr>
                <w:rFonts w:ascii="仿宋_GB2312" w:hAnsi="宋体" w:eastAsia="仿宋_GB2312" w:cs="宋体"/>
                <w:kern w:val="0"/>
                <w:szCs w:val="21"/>
              </w:rPr>
            </w:pPr>
            <w:r>
              <w:rPr>
                <w:rFonts w:hint="eastAsia" w:ascii="仿宋_GB2312" w:eastAsia="仿宋_GB2312"/>
                <w:szCs w:val="21"/>
              </w:rPr>
              <w:t>授权发明专利项目</w:t>
            </w:r>
          </w:p>
        </w:tc>
        <w:tc>
          <w:tcPr>
            <w:tcW w:w="2693" w:type="dxa"/>
            <w:vAlign w:val="center"/>
          </w:tcPr>
          <w:p>
            <w:pPr>
              <w:widowControl/>
              <w:spacing w:line="360" w:lineRule="auto"/>
              <w:jc w:val="center"/>
              <w:rPr>
                <w:rFonts w:ascii="Times New Roman" w:hAnsi="Times New Roman" w:eastAsia="仿宋_GB2312"/>
                <w:kern w:val="0"/>
                <w:szCs w:val="21"/>
              </w:rPr>
            </w:pPr>
            <w:r>
              <w:rPr>
                <w:rFonts w:ascii="Times New Roman" w:hAnsi="Times New Roman" w:eastAsia="仿宋_GB2312"/>
                <w:color w:val="000000"/>
                <w:szCs w:val="21"/>
              </w:rPr>
              <w:t>70</w:t>
            </w:r>
          </w:p>
        </w:tc>
        <w:tc>
          <w:tcPr>
            <w:tcW w:w="2552" w:type="dxa"/>
            <w:vAlign w:val="center"/>
          </w:tcPr>
          <w:p>
            <w:pPr>
              <w:widowControl/>
              <w:spacing w:line="360" w:lineRule="auto"/>
              <w:jc w:val="right"/>
              <w:rPr>
                <w:rFonts w:ascii="Times New Roman" w:hAnsi="Times New Roman" w:eastAsia="仿宋_GB2312"/>
                <w:kern w:val="0"/>
                <w:szCs w:val="21"/>
              </w:rPr>
            </w:pPr>
            <w:r>
              <w:rPr>
                <w:rFonts w:ascii="Times New Roman" w:hAnsi="Times New Roman" w:eastAsia="仿宋_GB2312"/>
                <w:color w:val="000000"/>
                <w:szCs w:val="21"/>
              </w:rPr>
              <w:t>367.00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52" w:type="dxa"/>
            <w:gridSpan w:val="2"/>
            <w:vAlign w:val="center"/>
          </w:tcPr>
          <w:p>
            <w:pPr>
              <w:widowControl/>
              <w:spacing w:line="360" w:lineRule="auto"/>
              <w:jc w:val="center"/>
              <w:rPr>
                <w:rFonts w:ascii="仿宋_GB2312" w:eastAsia="仿宋_GB2312"/>
                <w:b/>
                <w:szCs w:val="21"/>
              </w:rPr>
            </w:pPr>
            <w:r>
              <w:rPr>
                <w:rFonts w:hint="eastAsia" w:ascii="仿宋_GB2312" w:eastAsia="仿宋_GB2312"/>
                <w:b/>
                <w:szCs w:val="21"/>
              </w:rPr>
              <w:t>合计</w:t>
            </w:r>
          </w:p>
        </w:tc>
        <w:tc>
          <w:tcPr>
            <w:tcW w:w="2693" w:type="dxa"/>
            <w:vAlign w:val="center"/>
          </w:tcPr>
          <w:p>
            <w:pPr>
              <w:widowControl/>
              <w:spacing w:line="360" w:lineRule="auto"/>
              <w:jc w:val="center"/>
              <w:rPr>
                <w:rFonts w:ascii="Times New Roman" w:hAnsi="Times New Roman" w:eastAsia="仿宋_GB2312"/>
                <w:b/>
                <w:color w:val="000000"/>
                <w:szCs w:val="21"/>
              </w:rPr>
            </w:pPr>
            <w:r>
              <w:rPr>
                <w:rFonts w:ascii="Times New Roman" w:hAnsi="Times New Roman" w:eastAsia="仿宋_GB2312"/>
                <w:b/>
                <w:color w:val="000000"/>
                <w:szCs w:val="21"/>
              </w:rPr>
              <w:t>619</w:t>
            </w:r>
          </w:p>
        </w:tc>
        <w:tc>
          <w:tcPr>
            <w:tcW w:w="2552" w:type="dxa"/>
            <w:vAlign w:val="center"/>
          </w:tcPr>
          <w:p>
            <w:pPr>
              <w:widowControl/>
              <w:spacing w:line="360" w:lineRule="auto"/>
              <w:jc w:val="right"/>
              <w:rPr>
                <w:rFonts w:ascii="Times New Roman" w:hAnsi="Times New Roman" w:eastAsia="仿宋_GB2312"/>
                <w:b/>
                <w:color w:val="000000"/>
                <w:szCs w:val="21"/>
              </w:rPr>
            </w:pPr>
            <w:r>
              <w:rPr>
                <w:rFonts w:ascii="Times New Roman" w:hAnsi="Times New Roman" w:eastAsia="仿宋_GB2312"/>
                <w:b/>
                <w:color w:val="000000"/>
                <w:szCs w:val="21"/>
              </w:rPr>
              <w:t>4,019.57</w:t>
            </w:r>
          </w:p>
        </w:tc>
      </w:tr>
    </w:tbl>
    <w:p>
      <w:pPr>
        <w:widowControl/>
        <w:spacing w:line="360" w:lineRule="auto"/>
        <w:ind w:firstLine="480" w:firstLineChars="200"/>
        <w:jc w:val="left"/>
        <w:rPr>
          <w:rFonts w:ascii="仿宋_GB2312" w:hAnsi="Times New Roman" w:eastAsia="仿宋_GB2312"/>
          <w:sz w:val="24"/>
        </w:rPr>
      </w:pPr>
      <w:r>
        <w:rPr>
          <w:rFonts w:ascii="仿宋_GB2312" w:hAnsi="宋体" w:eastAsia="仿宋_GB2312" w:cs="宋体"/>
          <w:kern w:val="0"/>
          <w:sz w:val="24"/>
        </w:rPr>
        <w:t>注释</w:t>
      </w:r>
      <w:r>
        <w:rPr>
          <w:rFonts w:hint="eastAsia" w:ascii="仿宋_GB2312" w:hAnsi="宋体" w:eastAsia="仿宋_GB2312" w:cs="宋体"/>
          <w:kern w:val="0"/>
          <w:sz w:val="24"/>
        </w:rPr>
        <w:t>1：</w:t>
      </w:r>
      <w:r>
        <w:rPr>
          <w:rFonts w:hint="eastAsia" w:ascii="仿宋_GB2312" w:hAnsi="Times New Roman" w:eastAsia="仿宋_GB2312"/>
          <w:sz w:val="24"/>
        </w:rPr>
        <w:t>重庆树百获教育信息咨询有限公司于2022年9月进行工商注销，但审核时未发现，故资金申报请示时包含该公司。</w:t>
      </w:r>
    </w:p>
    <w:p>
      <w:pPr>
        <w:widowControl/>
        <w:spacing w:line="360" w:lineRule="auto"/>
        <w:ind w:firstLine="600" w:firstLineChars="250"/>
        <w:jc w:val="left"/>
        <w:rPr>
          <w:rFonts w:ascii="仿宋_GB2312" w:hAnsi="宋体" w:eastAsia="仿宋_GB2312" w:cs="宋体"/>
          <w:kern w:val="0"/>
          <w:sz w:val="24"/>
        </w:rPr>
      </w:pPr>
      <w:r>
        <w:rPr>
          <w:rFonts w:hint="eastAsia" w:ascii="仿宋_GB2312" w:hAnsi="Times New Roman" w:eastAsia="仿宋_GB2312"/>
          <w:sz w:val="24"/>
        </w:rPr>
        <w:t>注释2：同时满足“</w:t>
      </w:r>
      <w:r>
        <w:rPr>
          <w:rFonts w:hint="eastAsia" w:ascii="仿宋_GB2312" w:hAnsi="宋体" w:eastAsia="仿宋_GB2312" w:cs="宋体"/>
          <w:kern w:val="0"/>
          <w:sz w:val="24"/>
        </w:rPr>
        <w:t>高质量发展激励政策项目</w:t>
      </w:r>
      <w:r>
        <w:rPr>
          <w:rFonts w:hint="eastAsia" w:ascii="仿宋_GB2312" w:hAnsi="Times New Roman" w:eastAsia="仿宋_GB2312"/>
          <w:sz w:val="24"/>
        </w:rPr>
        <w:t>”与“</w:t>
      </w:r>
      <w:r>
        <w:rPr>
          <w:rFonts w:ascii="仿宋_GB2312" w:hAnsi="宋体" w:eastAsia="仿宋_GB2312" w:cs="宋体"/>
          <w:kern w:val="0"/>
          <w:sz w:val="24"/>
        </w:rPr>
        <w:t>消费品工业高质量发展项目</w:t>
      </w:r>
      <w:r>
        <w:rPr>
          <w:rFonts w:hint="eastAsia" w:ascii="仿宋_GB2312" w:hAnsi="Times New Roman" w:eastAsia="仿宋_GB2312"/>
          <w:sz w:val="24"/>
        </w:rPr>
        <w:t>”补助条件的企业择高补助，不重复补助。</w:t>
      </w:r>
    </w:p>
    <w:p>
      <w:pPr>
        <w:widowControl/>
        <w:spacing w:line="360" w:lineRule="auto"/>
        <w:ind w:firstLine="482" w:firstLineChars="200"/>
        <w:jc w:val="left"/>
        <w:rPr>
          <w:rFonts w:ascii="仿宋_GB2312" w:hAnsi="宋体" w:eastAsia="仿宋_GB2312" w:cs="宋体"/>
          <w:b/>
          <w:kern w:val="0"/>
          <w:sz w:val="24"/>
        </w:rPr>
      </w:pPr>
      <w:r>
        <w:rPr>
          <w:rFonts w:hint="eastAsia" w:ascii="仿宋_GB2312" w:hAnsi="宋体" w:eastAsia="仿宋_GB2312" w:cs="宋体"/>
          <w:b/>
          <w:kern w:val="0"/>
          <w:sz w:val="24"/>
        </w:rPr>
        <w:t>二、绩效评价工作情况</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（一）绩效评价范围、内容、目的</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1.绩效评价的范围及内容</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本次绩效评价主要为江津区科技创新高质量发展项目的投入、管理、产出以及效果评价，抽取的调查评价样本为享受补助的受益对象，补助资金调查比例占全年补助企业的30%。</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2.绩效评价的目的</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通过对江津区科技创新高质量发展项目的绩效评价，了解和掌握项目实施的具体情况，评价其项目资金安排的科学性、合理性、规范性和资金使用成效，及时总结项目管理经验，完善项目管理办法，提高项目管理水平和资金的使用效益。促使项目承担单位根据绩效评价中发现的问题，认真加以整改，及时调整和完善单位的工作计划和绩效目标并加强项目管理，提高管理水平，同时为项目后续资金投入、分配和管理提供决策依据。</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（二）绩效评价依据</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1.财政部《项目支出绩效评价管理办法》（财预〔2020〕10号）；</w:t>
      </w:r>
    </w:p>
    <w:p>
      <w:pPr>
        <w:widowControl/>
        <w:spacing w:line="360" w:lineRule="auto"/>
        <w:ind w:firstLine="470"/>
        <w:jc w:val="left"/>
        <w:rPr>
          <w:rFonts w:ascii="仿宋_GB2312" w:hAnsi="仿宋_GB2312" w:eastAsia="仿宋_GB2312" w:cs="仿宋_GB2312"/>
          <w:sz w:val="24"/>
        </w:rPr>
      </w:pPr>
      <w:r>
        <w:rPr>
          <w:rFonts w:hint="eastAsia" w:ascii="仿宋_GB2312" w:hAnsi="仿宋_GB2312" w:eastAsia="仿宋_GB2312" w:cs="仿宋_GB2312"/>
          <w:sz w:val="24"/>
        </w:rPr>
        <w:t>2.财政部《关于委托第三方机构参与预算绩效管理的指导意见》（财预〔2021〕6号）；</w:t>
      </w:r>
    </w:p>
    <w:p>
      <w:pPr>
        <w:widowControl/>
        <w:spacing w:line="360" w:lineRule="auto"/>
        <w:ind w:firstLine="470"/>
        <w:jc w:val="left"/>
        <w:rPr>
          <w:rFonts w:ascii="仿宋_GB2312" w:hAnsi="仿宋_GB2312" w:eastAsia="仿宋_GB2312" w:cs="仿宋_GB2312"/>
          <w:sz w:val="24"/>
        </w:rPr>
      </w:pPr>
      <w:r>
        <w:rPr>
          <w:rFonts w:hint="eastAsia" w:ascii="仿宋_GB2312" w:hAnsi="仿宋_GB2312" w:eastAsia="仿宋_GB2312" w:cs="仿宋_GB2312"/>
          <w:sz w:val="24"/>
        </w:rPr>
        <w:t>3.财政部《第三方机构预算绩效评价业务监督管理暂行办法》（财监[2021]4号）；</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4.中国注册会计师协会《会计师事务所财政支出绩效评价业务指引》（会协〔2016〕10号）；</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5.重庆市财政局《重庆市市级政策和项目预算绩效管理办法（试行）》（渝财绩〔2019〕19号）；</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6.重庆市江津区人民政府《</w:t>
      </w:r>
      <w:r>
        <w:rPr>
          <w:rFonts w:ascii="仿宋_GB2312" w:hAnsi="宋体" w:eastAsia="仿宋_GB2312" w:cs="宋体"/>
          <w:kern w:val="0"/>
          <w:sz w:val="24"/>
        </w:rPr>
        <w:t>关于印发江津区高质量发展激励政策的通知</w:t>
      </w:r>
      <w:r>
        <w:rPr>
          <w:rFonts w:hint="eastAsia" w:ascii="仿宋_GB2312" w:hAnsi="宋体" w:eastAsia="仿宋_GB2312" w:cs="宋体"/>
          <w:kern w:val="0"/>
          <w:sz w:val="24"/>
        </w:rPr>
        <w:t>》</w:t>
      </w:r>
      <w:r>
        <w:rPr>
          <w:rFonts w:ascii="仿宋_GB2312" w:hAnsi="宋体" w:eastAsia="仿宋_GB2312" w:cs="宋体"/>
          <w:kern w:val="0"/>
          <w:sz w:val="24"/>
        </w:rPr>
        <w:t>（</w:t>
      </w:r>
      <w:r>
        <w:rPr>
          <w:rFonts w:hint="eastAsia" w:ascii="仿宋_GB2312" w:hAnsi="宋体" w:eastAsia="仿宋_GB2312" w:cs="宋体"/>
          <w:kern w:val="0"/>
          <w:sz w:val="24"/>
        </w:rPr>
        <w:t>江津府发〔2019〕</w:t>
      </w:r>
      <w:r>
        <w:rPr>
          <w:rFonts w:ascii="仿宋_GB2312" w:hAnsi="宋体" w:eastAsia="仿宋_GB2312" w:cs="宋体"/>
          <w:kern w:val="0"/>
          <w:sz w:val="24"/>
        </w:rPr>
        <w:t>18</w:t>
      </w:r>
      <w:r>
        <w:rPr>
          <w:rFonts w:hint="eastAsia" w:ascii="仿宋_GB2312" w:hAnsi="宋体" w:eastAsia="仿宋_GB2312" w:cs="宋体"/>
          <w:kern w:val="0"/>
          <w:sz w:val="24"/>
        </w:rPr>
        <w:t>号</w:t>
      </w:r>
      <w:r>
        <w:rPr>
          <w:rFonts w:ascii="仿宋_GB2312" w:hAnsi="宋体" w:eastAsia="仿宋_GB2312" w:cs="宋体"/>
          <w:kern w:val="0"/>
          <w:sz w:val="24"/>
        </w:rPr>
        <w:t>）</w:t>
      </w:r>
      <w:r>
        <w:rPr>
          <w:rFonts w:hint="eastAsia" w:ascii="仿宋_GB2312" w:hAnsi="宋体" w:eastAsia="仿宋_GB2312" w:cs="宋体"/>
          <w:kern w:val="0"/>
          <w:sz w:val="24"/>
        </w:rPr>
        <w:t>；</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7.重庆市江津区人民政府办公室《</w:t>
      </w:r>
      <w:r>
        <w:rPr>
          <w:rFonts w:ascii="仿宋_GB2312" w:hAnsi="宋体" w:eastAsia="仿宋_GB2312" w:cs="宋体"/>
          <w:kern w:val="0"/>
          <w:sz w:val="24"/>
        </w:rPr>
        <w:t>关于印发江津区科技创新促进高质量发展10条激励政策实施细则（试行）的通知</w:t>
      </w:r>
      <w:r>
        <w:rPr>
          <w:rFonts w:hint="eastAsia" w:ascii="仿宋_GB2312" w:hAnsi="宋体" w:eastAsia="仿宋_GB2312" w:cs="宋体"/>
          <w:kern w:val="0"/>
          <w:sz w:val="24"/>
        </w:rPr>
        <w:t>》</w:t>
      </w:r>
      <w:r>
        <w:rPr>
          <w:rFonts w:ascii="仿宋_GB2312" w:hAnsi="宋体" w:eastAsia="仿宋_GB2312" w:cs="宋体"/>
          <w:kern w:val="0"/>
          <w:sz w:val="24"/>
        </w:rPr>
        <w:t>（</w:t>
      </w:r>
      <w:r>
        <w:rPr>
          <w:rFonts w:hint="eastAsia" w:ascii="仿宋_GB2312" w:hAnsi="宋体" w:eastAsia="仿宋_GB2312" w:cs="宋体"/>
          <w:kern w:val="0"/>
          <w:sz w:val="24"/>
        </w:rPr>
        <w:t>江津府办发〔201</w:t>
      </w:r>
      <w:r>
        <w:rPr>
          <w:rFonts w:ascii="仿宋_GB2312" w:hAnsi="宋体" w:eastAsia="仿宋_GB2312" w:cs="宋体"/>
          <w:kern w:val="0"/>
          <w:sz w:val="24"/>
        </w:rPr>
        <w:t>9</w:t>
      </w:r>
      <w:r>
        <w:rPr>
          <w:rFonts w:hint="eastAsia" w:ascii="仿宋_GB2312" w:hAnsi="宋体" w:eastAsia="仿宋_GB2312" w:cs="宋体"/>
          <w:kern w:val="0"/>
          <w:sz w:val="24"/>
        </w:rPr>
        <w:t>〕</w:t>
      </w:r>
      <w:r>
        <w:rPr>
          <w:rFonts w:ascii="仿宋_GB2312" w:hAnsi="宋体" w:eastAsia="仿宋_GB2312" w:cs="宋体"/>
          <w:kern w:val="0"/>
          <w:sz w:val="24"/>
        </w:rPr>
        <w:t>77</w:t>
      </w:r>
      <w:r>
        <w:rPr>
          <w:rFonts w:hint="eastAsia" w:ascii="仿宋_GB2312" w:hAnsi="宋体" w:eastAsia="仿宋_GB2312" w:cs="宋体"/>
          <w:kern w:val="0"/>
          <w:sz w:val="24"/>
        </w:rPr>
        <w:t>号</w:t>
      </w:r>
      <w:r>
        <w:rPr>
          <w:rFonts w:ascii="仿宋_GB2312" w:hAnsi="宋体" w:eastAsia="仿宋_GB2312" w:cs="宋体"/>
          <w:kern w:val="0"/>
          <w:sz w:val="24"/>
        </w:rPr>
        <w:t>）</w:t>
      </w:r>
      <w:r>
        <w:rPr>
          <w:rFonts w:hint="eastAsia" w:ascii="仿宋_GB2312" w:hAnsi="宋体" w:eastAsia="仿宋_GB2312" w:cs="宋体"/>
          <w:kern w:val="0"/>
          <w:sz w:val="24"/>
        </w:rPr>
        <w:t>；</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宋体" w:eastAsia="仿宋_GB2312" w:cs="宋体"/>
          <w:kern w:val="0"/>
          <w:sz w:val="24"/>
        </w:rPr>
        <w:t>8.重庆市江津区人民政府办公室《</w:t>
      </w:r>
      <w:r>
        <w:rPr>
          <w:rFonts w:ascii="仿宋_GB2312" w:hAnsi="宋体" w:eastAsia="仿宋_GB2312" w:cs="宋体"/>
          <w:kern w:val="0"/>
          <w:sz w:val="24"/>
        </w:rPr>
        <w:t>关于印发江津区支持消费品工业高质量发展政策的通知</w:t>
      </w:r>
      <w:r>
        <w:rPr>
          <w:rFonts w:hint="eastAsia" w:ascii="仿宋_GB2312" w:hAnsi="宋体" w:eastAsia="仿宋_GB2312" w:cs="宋体"/>
          <w:kern w:val="0"/>
          <w:sz w:val="24"/>
        </w:rPr>
        <w:t>》（江津府办发〔</w:t>
      </w:r>
      <w:r>
        <w:rPr>
          <w:rFonts w:ascii="仿宋_GB2312" w:hAnsi="宋体" w:eastAsia="仿宋_GB2312" w:cs="宋体"/>
          <w:kern w:val="0"/>
          <w:sz w:val="24"/>
        </w:rPr>
        <w:t>2020</w:t>
      </w:r>
      <w:r>
        <w:rPr>
          <w:rFonts w:hint="eastAsia" w:ascii="仿宋_GB2312" w:hAnsi="宋体" w:eastAsia="仿宋_GB2312" w:cs="宋体"/>
          <w:kern w:val="0"/>
          <w:sz w:val="24"/>
        </w:rPr>
        <w:t>〕</w:t>
      </w:r>
      <w:r>
        <w:rPr>
          <w:rFonts w:ascii="仿宋_GB2312" w:hAnsi="宋体" w:eastAsia="仿宋_GB2312" w:cs="宋体"/>
          <w:kern w:val="0"/>
          <w:sz w:val="24"/>
        </w:rPr>
        <w:t>172</w:t>
      </w:r>
      <w:r>
        <w:rPr>
          <w:rFonts w:hint="eastAsia" w:ascii="仿宋_GB2312" w:hAnsi="宋体" w:eastAsia="仿宋_GB2312" w:cs="宋体"/>
          <w:kern w:val="0"/>
          <w:sz w:val="24"/>
        </w:rPr>
        <w:t>号）；</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宋体" w:eastAsia="仿宋_GB2312" w:cs="宋体"/>
          <w:kern w:val="0"/>
          <w:sz w:val="24"/>
        </w:rPr>
        <w:t>9.重庆市江津区人民政府办公室《</w:t>
      </w:r>
      <w:r>
        <w:rPr>
          <w:rFonts w:ascii="仿宋_GB2312" w:hAnsi="宋体" w:eastAsia="仿宋_GB2312" w:cs="宋体"/>
          <w:kern w:val="0"/>
          <w:sz w:val="24"/>
        </w:rPr>
        <w:t>关于印发江津区高质量发展激励专项资金管理办法的通知</w:t>
      </w:r>
      <w:r>
        <w:rPr>
          <w:rFonts w:hint="eastAsia" w:ascii="仿宋_GB2312" w:hAnsi="宋体" w:eastAsia="仿宋_GB2312" w:cs="宋体"/>
          <w:kern w:val="0"/>
          <w:sz w:val="24"/>
        </w:rPr>
        <w:t>》（江津府办发〔201</w:t>
      </w:r>
      <w:r>
        <w:rPr>
          <w:rFonts w:ascii="仿宋_GB2312" w:hAnsi="宋体" w:eastAsia="仿宋_GB2312" w:cs="宋体"/>
          <w:kern w:val="0"/>
          <w:sz w:val="24"/>
        </w:rPr>
        <w:t>9</w:t>
      </w:r>
      <w:r>
        <w:rPr>
          <w:rFonts w:hint="eastAsia" w:ascii="仿宋_GB2312" w:hAnsi="宋体" w:eastAsia="仿宋_GB2312" w:cs="宋体"/>
          <w:kern w:val="0"/>
          <w:sz w:val="24"/>
        </w:rPr>
        <w:t>〕</w:t>
      </w:r>
      <w:r>
        <w:rPr>
          <w:rFonts w:ascii="仿宋_GB2312" w:hAnsi="宋体" w:eastAsia="仿宋_GB2312" w:cs="宋体"/>
          <w:kern w:val="0"/>
          <w:sz w:val="24"/>
        </w:rPr>
        <w:t>75</w:t>
      </w:r>
      <w:r>
        <w:rPr>
          <w:rFonts w:hint="eastAsia" w:ascii="仿宋_GB2312" w:hAnsi="宋体" w:eastAsia="仿宋_GB2312" w:cs="宋体"/>
          <w:kern w:val="0"/>
          <w:sz w:val="24"/>
        </w:rPr>
        <w:t>号）；</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10.重庆市江津区科技创新促进高质量发展</w:t>
      </w:r>
      <w:r>
        <w:rPr>
          <w:rFonts w:ascii="仿宋_GB2312" w:hAnsi="宋体" w:eastAsia="仿宋_GB2312" w:cs="宋体"/>
          <w:kern w:val="0"/>
          <w:sz w:val="24"/>
        </w:rPr>
        <w:t>政策</w:t>
      </w:r>
      <w:r>
        <w:rPr>
          <w:rFonts w:hint="eastAsia" w:ascii="仿宋_GB2312" w:hAnsi="宋体" w:eastAsia="仿宋_GB2312" w:cs="宋体"/>
          <w:kern w:val="0"/>
          <w:sz w:val="24"/>
        </w:rPr>
        <w:t>资金评审小组</w:t>
      </w:r>
      <w:r>
        <w:rPr>
          <w:rFonts w:ascii="仿宋_GB2312" w:hAnsi="宋体" w:eastAsia="仿宋_GB2312" w:cs="宋体"/>
          <w:kern w:val="0"/>
          <w:sz w:val="24"/>
        </w:rPr>
        <w:t>办公室</w:t>
      </w:r>
      <w:r>
        <w:rPr>
          <w:rFonts w:hint="eastAsia" w:ascii="仿宋_GB2312" w:hAnsi="宋体" w:eastAsia="仿宋_GB2312" w:cs="宋体"/>
          <w:kern w:val="0"/>
          <w:sz w:val="24"/>
        </w:rPr>
        <w:t>《关于</w:t>
      </w:r>
      <w:r>
        <w:rPr>
          <w:rFonts w:ascii="仿宋_GB2312" w:hAnsi="宋体" w:eastAsia="仿宋_GB2312" w:cs="宋体"/>
          <w:kern w:val="0"/>
          <w:sz w:val="24"/>
        </w:rPr>
        <w:t>开展</w:t>
      </w:r>
      <w:r>
        <w:rPr>
          <w:rFonts w:hint="eastAsia" w:ascii="仿宋_GB2312" w:hAnsi="宋体" w:eastAsia="仿宋_GB2312" w:cs="宋体"/>
          <w:kern w:val="0"/>
          <w:sz w:val="24"/>
        </w:rPr>
        <w:t>2</w:t>
      </w:r>
      <w:r>
        <w:rPr>
          <w:rFonts w:ascii="仿宋_GB2312" w:hAnsi="宋体" w:eastAsia="仿宋_GB2312" w:cs="宋体"/>
          <w:kern w:val="0"/>
          <w:sz w:val="24"/>
        </w:rPr>
        <w:t>020</w:t>
      </w:r>
      <w:r>
        <w:rPr>
          <w:rFonts w:hint="eastAsia" w:ascii="仿宋_GB2312" w:hAnsi="宋体" w:eastAsia="仿宋_GB2312" w:cs="宋体"/>
          <w:kern w:val="0"/>
          <w:sz w:val="24"/>
        </w:rPr>
        <w:t>年度科技创新促进高质量发展</w:t>
      </w:r>
      <w:r>
        <w:rPr>
          <w:rFonts w:ascii="仿宋_GB2312" w:hAnsi="宋体" w:eastAsia="仿宋_GB2312" w:cs="宋体"/>
          <w:kern w:val="0"/>
          <w:sz w:val="24"/>
        </w:rPr>
        <w:t>政策资金项目申报工作</w:t>
      </w:r>
      <w:r>
        <w:rPr>
          <w:rFonts w:hint="eastAsia" w:ascii="仿宋_GB2312" w:hAnsi="宋体" w:eastAsia="仿宋_GB2312" w:cs="宋体"/>
          <w:kern w:val="0"/>
          <w:sz w:val="24"/>
        </w:rPr>
        <w:t>的通知》；</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11.重庆市江津区科学技术局《关于</w:t>
      </w:r>
      <w:r>
        <w:rPr>
          <w:rFonts w:ascii="仿宋_GB2312" w:hAnsi="宋体" w:eastAsia="仿宋_GB2312" w:cs="宋体"/>
          <w:kern w:val="0"/>
          <w:sz w:val="24"/>
        </w:rPr>
        <w:t>20</w:t>
      </w:r>
      <w:r>
        <w:rPr>
          <w:rFonts w:hint="eastAsia" w:ascii="仿宋_GB2312" w:hAnsi="宋体" w:eastAsia="仿宋_GB2312" w:cs="宋体"/>
          <w:kern w:val="0"/>
          <w:sz w:val="24"/>
        </w:rPr>
        <w:t>20</w:t>
      </w:r>
      <w:r>
        <w:rPr>
          <w:rFonts w:ascii="仿宋_GB2312" w:hAnsi="宋体" w:eastAsia="仿宋_GB2312" w:cs="宋体"/>
          <w:kern w:val="0"/>
          <w:sz w:val="24"/>
        </w:rPr>
        <w:t>年度科技创新促进高质量发展10条激励政策资金项目评审结果的公示</w:t>
      </w:r>
      <w:r>
        <w:rPr>
          <w:rFonts w:hint="eastAsia" w:ascii="仿宋_GB2312" w:hAnsi="宋体" w:eastAsia="仿宋_GB2312" w:cs="宋体"/>
          <w:kern w:val="0"/>
          <w:sz w:val="24"/>
        </w:rPr>
        <w:t>》；</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12.其他相关的政策依据文件。</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（三）绩效评价原则及方法</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绩效评价小组于2023年7月3日至2023年7月14日对项目进行实地调查，通过座谈、查证、资料比较分析、调查问卷等方法实地了解项目具体情况，就实地调查中发现的问题和有待核查的情况与实施单位进行了交流，并收到项目相关单位补充的资料。</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（四）绩效评价指标体系</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绩效评价指标体系包括具体指标、指标分值、指标说明、评价要点、计分方式、得分情况等。此项目根据相关性、重要性、可比性、系统性及经济性等绩效评价指标体系的设定原则，并参照重庆市财政局《关于印发重庆市市级政策和项目预算绩效管理办法（试行）的通知》（渝财绩〔2019〕19号）与财政部《项目支出绩效评价管理办法》（财预〔2020〕10 号）而设定，并确定总分值100分。指标体系包括以下内容：4个一级指标：投入、管理、产出、效果；12个二级指标：项目立项、绩效目标、资金安排、业务管理、资金管理、产出数控、产出质量、产出时效、社会效益、经济效益、可持续影响、满意度；27个三级指标，详见附件指标体系。</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 xml:space="preserve">（五）绩效评价工作过程  </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1.调查了解被评价项目的基本情况；</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2.选定抽查对象；</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3.成立绩效评价小组：</w:t>
      </w:r>
    </w:p>
    <w:tbl>
      <w:tblPr>
        <w:tblStyle w:val="21"/>
        <w:tblW w:w="8941" w:type="dxa"/>
        <w:tblInd w:w="98"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2200"/>
        <w:gridCol w:w="2680"/>
        <w:gridCol w:w="3241"/>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20" w:type="dxa"/>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序号</w:t>
            </w:r>
          </w:p>
        </w:tc>
        <w:tc>
          <w:tcPr>
            <w:tcW w:w="2200" w:type="dxa"/>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姓名</w:t>
            </w:r>
          </w:p>
        </w:tc>
        <w:tc>
          <w:tcPr>
            <w:tcW w:w="2680" w:type="dxa"/>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职务</w:t>
            </w:r>
          </w:p>
        </w:tc>
        <w:tc>
          <w:tcPr>
            <w:tcW w:w="3241" w:type="dxa"/>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工作内容</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20" w:type="dxa"/>
            <w:vMerge w:val="restart"/>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w:t>
            </w:r>
          </w:p>
        </w:tc>
        <w:tc>
          <w:tcPr>
            <w:tcW w:w="2200" w:type="dxa"/>
            <w:vMerge w:val="restart"/>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石霞、谢江涛</w:t>
            </w:r>
          </w:p>
        </w:tc>
        <w:tc>
          <w:tcPr>
            <w:tcW w:w="268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注册会计师</w:t>
            </w:r>
          </w:p>
        </w:tc>
        <w:tc>
          <w:tcPr>
            <w:tcW w:w="3241" w:type="dxa"/>
            <w:vMerge w:val="restart"/>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负责项目整体的质量把控，对报告进行复核</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20" w:type="dxa"/>
            <w:vMerge w:val="continue"/>
            <w:vAlign w:val="center"/>
          </w:tcPr>
          <w:p>
            <w:pPr>
              <w:keepNext/>
              <w:keepLines/>
              <w:widowControl/>
              <w:spacing w:before="340" w:after="330" w:line="578" w:lineRule="auto"/>
              <w:jc w:val="left"/>
              <w:outlineLvl w:val="0"/>
              <w:rPr>
                <w:rFonts w:ascii="Times New Roman" w:hAnsi="Times New Roman" w:eastAsia="仿宋_GB2312"/>
                <w:color w:val="000000"/>
                <w:kern w:val="0"/>
                <w:szCs w:val="21"/>
              </w:rPr>
            </w:pPr>
          </w:p>
        </w:tc>
        <w:tc>
          <w:tcPr>
            <w:tcW w:w="2200" w:type="dxa"/>
            <w:vMerge w:val="continue"/>
            <w:vAlign w:val="center"/>
          </w:tcPr>
          <w:p>
            <w:pPr>
              <w:keepNext/>
              <w:keepLines/>
              <w:widowControl/>
              <w:spacing w:before="340" w:after="330" w:line="578" w:lineRule="auto"/>
              <w:jc w:val="left"/>
              <w:outlineLvl w:val="0"/>
              <w:rPr>
                <w:rFonts w:ascii="仿宋_GB2312" w:hAnsi="宋体" w:eastAsia="仿宋_GB2312" w:cs="宋体"/>
                <w:color w:val="000000"/>
                <w:kern w:val="0"/>
                <w:szCs w:val="21"/>
              </w:rPr>
            </w:pPr>
          </w:p>
        </w:tc>
        <w:tc>
          <w:tcPr>
            <w:tcW w:w="268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项目负责人</w:t>
            </w:r>
          </w:p>
        </w:tc>
        <w:tc>
          <w:tcPr>
            <w:tcW w:w="3241" w:type="dxa"/>
            <w:vMerge w:val="continue"/>
            <w:vAlign w:val="center"/>
          </w:tcPr>
          <w:p>
            <w:pPr>
              <w:keepNext/>
              <w:keepLines/>
              <w:widowControl/>
              <w:spacing w:before="340" w:after="330" w:line="578" w:lineRule="auto"/>
              <w:jc w:val="left"/>
              <w:outlineLvl w:val="0"/>
              <w:rPr>
                <w:rFonts w:ascii="仿宋_GB2312" w:hAnsi="宋体" w:eastAsia="仿宋_GB2312" w:cs="宋体"/>
                <w:color w:val="000000"/>
                <w:kern w:val="0"/>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w:t>
            </w:r>
          </w:p>
        </w:tc>
        <w:tc>
          <w:tcPr>
            <w:tcW w:w="220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杨吉灵</w:t>
            </w:r>
          </w:p>
        </w:tc>
        <w:tc>
          <w:tcPr>
            <w:tcW w:w="268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现场主要项目助理</w:t>
            </w:r>
          </w:p>
        </w:tc>
        <w:tc>
          <w:tcPr>
            <w:tcW w:w="3241"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协助项目负责人完成现场工作</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w:t>
            </w:r>
          </w:p>
        </w:tc>
        <w:tc>
          <w:tcPr>
            <w:tcW w:w="220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陈美琳</w:t>
            </w:r>
          </w:p>
        </w:tc>
        <w:tc>
          <w:tcPr>
            <w:tcW w:w="268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项目助理</w:t>
            </w:r>
          </w:p>
        </w:tc>
        <w:tc>
          <w:tcPr>
            <w:tcW w:w="3241"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协助项目负责人完成现场工作</w:t>
            </w:r>
          </w:p>
        </w:tc>
      </w:tr>
    </w:tbl>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4.制定绩效评价实施方案及绩效评价指标体系；</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5.制定并发出绩效评价项目资料清单；</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6.收集、整理、分析评价项目资料，确定评价重要领域；</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7.现场访问并调查项目受益对象；</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8.根据被评价责任主体提供的资料和确定的评价重要领域，进行现场审核；</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9.综合评价：对收集到的数据和依据进行甄别、汇总和分析，按绩效评价相关规定及要求运用科学合理的评价方法对项目绩效进行综合评价，对各项指标进行具体计算、分析并给出各指标的评价结果及项目的绩效评价结论，并提出建议；</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10.绩效评价报告的编制和提交。</w:t>
      </w:r>
    </w:p>
    <w:p>
      <w:pPr>
        <w:widowControl/>
        <w:spacing w:line="360" w:lineRule="auto"/>
        <w:ind w:firstLine="482" w:firstLineChars="200"/>
        <w:jc w:val="left"/>
        <w:rPr>
          <w:rFonts w:ascii="仿宋_GB2312" w:hAnsi="宋体" w:eastAsia="仿宋_GB2312" w:cs="宋体"/>
          <w:b/>
          <w:kern w:val="0"/>
          <w:sz w:val="24"/>
        </w:rPr>
      </w:pPr>
      <w:r>
        <w:rPr>
          <w:rFonts w:hint="eastAsia" w:ascii="仿宋_GB2312" w:hAnsi="宋体" w:eastAsia="仿宋_GB2312" w:cs="宋体"/>
          <w:b/>
          <w:kern w:val="0"/>
          <w:sz w:val="24"/>
        </w:rPr>
        <w:t>三、绩效评价结果</w:t>
      </w:r>
    </w:p>
    <w:p>
      <w:pPr>
        <w:pStyle w:val="56"/>
        <w:tabs>
          <w:tab w:val="left" w:pos="993"/>
        </w:tabs>
        <w:spacing w:line="360" w:lineRule="auto"/>
        <w:ind w:firstLine="480"/>
        <w:rPr>
          <w:rFonts w:eastAsia="仿宋_GB2312"/>
          <w:sz w:val="24"/>
          <w:szCs w:val="21"/>
        </w:rPr>
      </w:pPr>
      <w:r>
        <w:rPr>
          <w:rFonts w:hint="eastAsia" w:ascii="仿宋_GB2312" w:hAnsi="宋体" w:eastAsia="仿宋_GB2312" w:cs="宋体"/>
          <w:sz w:val="24"/>
        </w:rPr>
        <w:t>根据综合评价，江津区科技创新高质量发展项目综合得分8</w:t>
      </w:r>
      <w:r>
        <w:rPr>
          <w:rFonts w:ascii="仿宋_GB2312" w:hAnsi="宋体" w:eastAsia="仿宋_GB2312" w:cs="宋体"/>
          <w:sz w:val="24"/>
        </w:rPr>
        <w:t>3</w:t>
      </w:r>
      <w:r>
        <w:rPr>
          <w:rFonts w:hint="eastAsia" w:ascii="仿宋_GB2312" w:hAnsi="宋体" w:eastAsia="仿宋_GB2312" w:cs="宋体"/>
          <w:sz w:val="24"/>
        </w:rPr>
        <w:t>.00分，评价等级“良”。</w:t>
      </w:r>
      <w:r>
        <w:rPr>
          <w:rFonts w:eastAsia="仿宋_GB2312"/>
          <w:sz w:val="24"/>
          <w:szCs w:val="21"/>
        </w:rPr>
        <w:t>各项指标得分详见下表：</w:t>
      </w:r>
    </w:p>
    <w:tbl>
      <w:tblPr>
        <w:tblStyle w:val="21"/>
        <w:tblW w:w="0" w:type="auto"/>
        <w:tblInd w:w="0" w:type="dxa"/>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2238"/>
        <w:gridCol w:w="2238"/>
        <w:gridCol w:w="2238"/>
        <w:gridCol w:w="2238"/>
      </w:tblGrid>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trPr>
        <w:tc>
          <w:tcPr>
            <w:tcW w:w="2238" w:type="dxa"/>
            <w:vAlign w:val="center"/>
          </w:tcPr>
          <w:p>
            <w:pPr>
              <w:widowControl/>
              <w:tabs>
                <w:tab w:val="left" w:pos="993"/>
              </w:tabs>
              <w:overflowPunct w:val="0"/>
              <w:autoSpaceDE w:val="0"/>
              <w:autoSpaceDN w:val="0"/>
              <w:adjustRightInd w:val="0"/>
              <w:spacing w:line="360" w:lineRule="auto"/>
              <w:jc w:val="center"/>
              <w:rPr>
                <w:rFonts w:eastAsia="仿宋_GB2312"/>
                <w:b/>
                <w:bCs/>
                <w:kern w:val="0"/>
                <w:szCs w:val="21"/>
              </w:rPr>
            </w:pPr>
            <w:r>
              <w:rPr>
                <w:rFonts w:hint="eastAsia" w:eastAsia="仿宋_GB2312"/>
                <w:b/>
                <w:bCs/>
                <w:kern w:val="0"/>
                <w:szCs w:val="21"/>
              </w:rPr>
              <w:t>一级指标</w:t>
            </w:r>
          </w:p>
        </w:tc>
        <w:tc>
          <w:tcPr>
            <w:tcW w:w="2238" w:type="dxa"/>
            <w:vAlign w:val="center"/>
          </w:tcPr>
          <w:p>
            <w:pPr>
              <w:widowControl/>
              <w:tabs>
                <w:tab w:val="left" w:pos="993"/>
              </w:tabs>
              <w:overflowPunct w:val="0"/>
              <w:autoSpaceDE w:val="0"/>
              <w:autoSpaceDN w:val="0"/>
              <w:adjustRightInd w:val="0"/>
              <w:spacing w:line="360" w:lineRule="auto"/>
              <w:jc w:val="center"/>
              <w:rPr>
                <w:rFonts w:eastAsia="仿宋_GB2312"/>
                <w:b/>
                <w:bCs/>
                <w:kern w:val="0"/>
                <w:szCs w:val="21"/>
              </w:rPr>
            </w:pPr>
            <w:r>
              <w:rPr>
                <w:rFonts w:hint="eastAsia" w:eastAsia="仿宋_GB2312"/>
                <w:b/>
                <w:bCs/>
                <w:kern w:val="0"/>
                <w:szCs w:val="21"/>
              </w:rPr>
              <w:t>权重</w:t>
            </w:r>
          </w:p>
        </w:tc>
        <w:tc>
          <w:tcPr>
            <w:tcW w:w="2238" w:type="dxa"/>
            <w:vAlign w:val="center"/>
          </w:tcPr>
          <w:p>
            <w:pPr>
              <w:widowControl/>
              <w:tabs>
                <w:tab w:val="left" w:pos="993"/>
              </w:tabs>
              <w:overflowPunct w:val="0"/>
              <w:autoSpaceDE w:val="0"/>
              <w:autoSpaceDN w:val="0"/>
              <w:adjustRightInd w:val="0"/>
              <w:spacing w:line="360" w:lineRule="auto"/>
              <w:jc w:val="center"/>
              <w:rPr>
                <w:rFonts w:eastAsia="仿宋_GB2312"/>
                <w:b/>
                <w:bCs/>
                <w:kern w:val="0"/>
                <w:szCs w:val="21"/>
              </w:rPr>
            </w:pPr>
            <w:r>
              <w:rPr>
                <w:rFonts w:hint="eastAsia" w:eastAsia="仿宋_GB2312"/>
                <w:b/>
                <w:bCs/>
                <w:kern w:val="0"/>
                <w:szCs w:val="21"/>
              </w:rPr>
              <w:t>综合得分</w:t>
            </w:r>
          </w:p>
        </w:tc>
        <w:tc>
          <w:tcPr>
            <w:tcW w:w="2238" w:type="dxa"/>
            <w:vAlign w:val="center"/>
          </w:tcPr>
          <w:p>
            <w:pPr>
              <w:widowControl/>
              <w:tabs>
                <w:tab w:val="left" w:pos="993"/>
              </w:tabs>
              <w:overflowPunct w:val="0"/>
              <w:autoSpaceDE w:val="0"/>
              <w:autoSpaceDN w:val="0"/>
              <w:adjustRightInd w:val="0"/>
              <w:spacing w:line="360" w:lineRule="auto"/>
              <w:jc w:val="center"/>
              <w:rPr>
                <w:rFonts w:eastAsia="仿宋_GB2312"/>
                <w:b/>
                <w:bCs/>
                <w:kern w:val="0"/>
                <w:szCs w:val="21"/>
              </w:rPr>
            </w:pPr>
            <w:r>
              <w:rPr>
                <w:rFonts w:hint="eastAsia" w:eastAsia="仿宋_GB2312"/>
                <w:b/>
                <w:bCs/>
                <w:kern w:val="0"/>
                <w:szCs w:val="21"/>
              </w:rPr>
              <w:t>得分率（</w:t>
            </w:r>
            <w:r>
              <w:rPr>
                <w:rFonts w:eastAsia="仿宋_GB2312"/>
                <w:b/>
                <w:bCs/>
                <w:kern w:val="0"/>
                <w:szCs w:val="21"/>
              </w:rPr>
              <w:t>%</w:t>
            </w:r>
            <w:r>
              <w:rPr>
                <w:rFonts w:hint="eastAsia" w:eastAsia="仿宋_GB2312"/>
                <w:b/>
                <w:bCs/>
                <w:kern w:val="0"/>
                <w:szCs w:val="21"/>
              </w:rPr>
              <w:t>）</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238" w:type="dxa"/>
            <w:vAlign w:val="center"/>
          </w:tcPr>
          <w:p>
            <w:pPr>
              <w:widowControl/>
              <w:tabs>
                <w:tab w:val="left" w:pos="993"/>
              </w:tabs>
              <w:overflowPunct w:val="0"/>
              <w:autoSpaceDE w:val="0"/>
              <w:autoSpaceDN w:val="0"/>
              <w:adjustRightInd w:val="0"/>
              <w:spacing w:line="360" w:lineRule="auto"/>
              <w:jc w:val="center"/>
              <w:rPr>
                <w:rFonts w:eastAsia="仿宋_GB2312"/>
                <w:kern w:val="0"/>
                <w:szCs w:val="21"/>
              </w:rPr>
            </w:pPr>
            <w:r>
              <w:rPr>
                <w:rFonts w:hint="eastAsia" w:eastAsia="仿宋_GB2312"/>
                <w:kern w:val="0"/>
                <w:szCs w:val="21"/>
              </w:rPr>
              <w:t>投入</w:t>
            </w:r>
          </w:p>
        </w:tc>
        <w:tc>
          <w:tcPr>
            <w:tcW w:w="2238" w:type="dxa"/>
            <w:vAlign w:val="center"/>
          </w:tcPr>
          <w:p>
            <w:pPr>
              <w:widowControl/>
              <w:jc w:val="center"/>
              <w:textAlignment w:val="center"/>
              <w:rPr>
                <w:rFonts w:ascii="Times New Roman" w:hAnsi="Times New Roman" w:eastAsia="仿宋_GB2312"/>
                <w:szCs w:val="21"/>
              </w:rPr>
            </w:pPr>
            <w:r>
              <w:rPr>
                <w:rFonts w:ascii="Times New Roman" w:hAnsi="Times New Roman" w:eastAsia="仿宋_GB2312"/>
                <w:szCs w:val="21"/>
              </w:rPr>
              <w:t>10.00</w:t>
            </w:r>
          </w:p>
        </w:tc>
        <w:tc>
          <w:tcPr>
            <w:tcW w:w="2238" w:type="dxa"/>
            <w:vAlign w:val="center"/>
          </w:tcPr>
          <w:p>
            <w:pPr>
              <w:widowControl/>
              <w:jc w:val="center"/>
              <w:textAlignment w:val="center"/>
              <w:rPr>
                <w:rFonts w:ascii="Times New Roman" w:hAnsi="Times New Roman" w:eastAsia="仿宋_GB2312"/>
                <w:szCs w:val="21"/>
              </w:rPr>
            </w:pPr>
            <w:r>
              <w:rPr>
                <w:rFonts w:ascii="Times New Roman" w:hAnsi="Times New Roman" w:eastAsia="仿宋_GB2312"/>
                <w:szCs w:val="21"/>
              </w:rPr>
              <w:t>8.00</w:t>
            </w:r>
          </w:p>
        </w:tc>
        <w:tc>
          <w:tcPr>
            <w:tcW w:w="2238" w:type="dxa"/>
            <w:vAlign w:val="center"/>
          </w:tcPr>
          <w:p>
            <w:pPr>
              <w:widowControl/>
              <w:jc w:val="center"/>
              <w:textAlignment w:val="center"/>
              <w:rPr>
                <w:rFonts w:ascii="Times New Roman" w:hAnsi="Times New Roman" w:eastAsia="仿宋_GB2312"/>
                <w:szCs w:val="21"/>
              </w:rPr>
            </w:pPr>
            <w:r>
              <w:rPr>
                <w:rFonts w:ascii="Times New Roman" w:hAnsi="Times New Roman" w:eastAsia="仿宋_GB2312"/>
                <w:color w:val="000000"/>
                <w:szCs w:val="21"/>
              </w:rPr>
              <w:t>80.00%</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238" w:type="dxa"/>
            <w:vAlign w:val="center"/>
          </w:tcPr>
          <w:p>
            <w:pPr>
              <w:widowControl/>
              <w:tabs>
                <w:tab w:val="left" w:pos="993"/>
              </w:tabs>
              <w:overflowPunct w:val="0"/>
              <w:autoSpaceDE w:val="0"/>
              <w:autoSpaceDN w:val="0"/>
              <w:adjustRightInd w:val="0"/>
              <w:spacing w:line="360" w:lineRule="auto"/>
              <w:jc w:val="center"/>
              <w:rPr>
                <w:rFonts w:eastAsia="仿宋_GB2312"/>
                <w:kern w:val="0"/>
                <w:szCs w:val="21"/>
              </w:rPr>
            </w:pPr>
            <w:r>
              <w:rPr>
                <w:rFonts w:hint="eastAsia" w:eastAsia="仿宋_GB2312"/>
                <w:kern w:val="0"/>
                <w:szCs w:val="21"/>
              </w:rPr>
              <w:t>管理</w:t>
            </w:r>
          </w:p>
        </w:tc>
        <w:tc>
          <w:tcPr>
            <w:tcW w:w="2238" w:type="dxa"/>
            <w:vAlign w:val="center"/>
          </w:tcPr>
          <w:p>
            <w:pPr>
              <w:widowControl/>
              <w:jc w:val="center"/>
              <w:textAlignment w:val="center"/>
              <w:rPr>
                <w:rFonts w:ascii="Times New Roman" w:hAnsi="Times New Roman" w:eastAsia="仿宋_GB2312"/>
                <w:szCs w:val="21"/>
              </w:rPr>
            </w:pPr>
            <w:r>
              <w:rPr>
                <w:rFonts w:ascii="Times New Roman" w:hAnsi="Times New Roman" w:eastAsia="仿宋_GB2312"/>
                <w:szCs w:val="21"/>
              </w:rPr>
              <w:t>20.00</w:t>
            </w:r>
          </w:p>
        </w:tc>
        <w:tc>
          <w:tcPr>
            <w:tcW w:w="2238" w:type="dxa"/>
            <w:vAlign w:val="center"/>
          </w:tcPr>
          <w:p>
            <w:pPr>
              <w:widowControl/>
              <w:jc w:val="center"/>
              <w:textAlignment w:val="center"/>
              <w:rPr>
                <w:rFonts w:ascii="Times New Roman" w:hAnsi="Times New Roman" w:eastAsia="仿宋_GB2312"/>
                <w:szCs w:val="21"/>
              </w:rPr>
            </w:pPr>
            <w:r>
              <w:rPr>
                <w:rFonts w:ascii="Times New Roman" w:hAnsi="Times New Roman" w:eastAsia="仿宋_GB2312"/>
                <w:szCs w:val="21"/>
              </w:rPr>
              <w:t>15.50</w:t>
            </w:r>
          </w:p>
        </w:tc>
        <w:tc>
          <w:tcPr>
            <w:tcW w:w="2238" w:type="dxa"/>
            <w:vAlign w:val="center"/>
          </w:tcPr>
          <w:p>
            <w:pPr>
              <w:widowControl/>
              <w:jc w:val="center"/>
              <w:textAlignment w:val="center"/>
              <w:rPr>
                <w:rFonts w:ascii="Times New Roman" w:hAnsi="Times New Roman" w:eastAsia="仿宋_GB2312"/>
                <w:szCs w:val="21"/>
              </w:rPr>
            </w:pPr>
            <w:r>
              <w:rPr>
                <w:rFonts w:ascii="Times New Roman" w:hAnsi="Times New Roman" w:eastAsia="仿宋_GB2312"/>
                <w:color w:val="000000"/>
                <w:szCs w:val="21"/>
              </w:rPr>
              <w:t>77.50%</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238" w:type="dxa"/>
            <w:vAlign w:val="center"/>
          </w:tcPr>
          <w:p>
            <w:pPr>
              <w:widowControl/>
              <w:tabs>
                <w:tab w:val="left" w:pos="993"/>
              </w:tabs>
              <w:overflowPunct w:val="0"/>
              <w:autoSpaceDE w:val="0"/>
              <w:autoSpaceDN w:val="0"/>
              <w:adjustRightInd w:val="0"/>
              <w:spacing w:line="360" w:lineRule="auto"/>
              <w:jc w:val="center"/>
              <w:rPr>
                <w:rFonts w:eastAsia="仿宋_GB2312"/>
                <w:kern w:val="0"/>
                <w:szCs w:val="21"/>
              </w:rPr>
            </w:pPr>
            <w:r>
              <w:rPr>
                <w:rFonts w:hint="eastAsia" w:eastAsia="仿宋_GB2312"/>
                <w:kern w:val="0"/>
                <w:szCs w:val="21"/>
              </w:rPr>
              <w:t>产出</w:t>
            </w:r>
          </w:p>
        </w:tc>
        <w:tc>
          <w:tcPr>
            <w:tcW w:w="2238" w:type="dxa"/>
            <w:vAlign w:val="center"/>
          </w:tcPr>
          <w:p>
            <w:pPr>
              <w:widowControl/>
              <w:jc w:val="center"/>
              <w:textAlignment w:val="center"/>
              <w:rPr>
                <w:rFonts w:ascii="Times New Roman" w:hAnsi="Times New Roman" w:eastAsia="仿宋_GB2312"/>
                <w:szCs w:val="21"/>
              </w:rPr>
            </w:pPr>
            <w:r>
              <w:rPr>
                <w:rFonts w:ascii="Times New Roman" w:hAnsi="Times New Roman" w:eastAsia="仿宋_GB2312"/>
                <w:szCs w:val="21"/>
              </w:rPr>
              <w:t>35.00</w:t>
            </w:r>
          </w:p>
        </w:tc>
        <w:tc>
          <w:tcPr>
            <w:tcW w:w="2238" w:type="dxa"/>
            <w:vAlign w:val="center"/>
          </w:tcPr>
          <w:p>
            <w:pPr>
              <w:widowControl/>
              <w:jc w:val="center"/>
              <w:textAlignment w:val="center"/>
              <w:rPr>
                <w:rFonts w:ascii="Times New Roman" w:hAnsi="Times New Roman" w:eastAsia="仿宋_GB2312"/>
                <w:szCs w:val="21"/>
              </w:rPr>
            </w:pPr>
            <w:r>
              <w:rPr>
                <w:rFonts w:ascii="Times New Roman" w:hAnsi="Times New Roman" w:eastAsia="仿宋_GB2312"/>
                <w:szCs w:val="21"/>
              </w:rPr>
              <w:t>31.50</w:t>
            </w:r>
          </w:p>
        </w:tc>
        <w:tc>
          <w:tcPr>
            <w:tcW w:w="2238" w:type="dxa"/>
            <w:vAlign w:val="center"/>
          </w:tcPr>
          <w:p>
            <w:pPr>
              <w:widowControl/>
              <w:jc w:val="center"/>
              <w:textAlignment w:val="center"/>
              <w:rPr>
                <w:rFonts w:ascii="Times New Roman" w:hAnsi="Times New Roman" w:eastAsia="仿宋_GB2312"/>
                <w:szCs w:val="21"/>
              </w:rPr>
            </w:pPr>
            <w:r>
              <w:rPr>
                <w:rFonts w:ascii="Times New Roman" w:hAnsi="Times New Roman" w:eastAsia="仿宋_GB2312"/>
                <w:color w:val="000000"/>
                <w:szCs w:val="21"/>
              </w:rPr>
              <w:t>90.00%</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238" w:type="dxa"/>
            <w:vAlign w:val="center"/>
          </w:tcPr>
          <w:p>
            <w:pPr>
              <w:widowControl/>
              <w:tabs>
                <w:tab w:val="left" w:pos="993"/>
              </w:tabs>
              <w:overflowPunct w:val="0"/>
              <w:autoSpaceDE w:val="0"/>
              <w:autoSpaceDN w:val="0"/>
              <w:adjustRightInd w:val="0"/>
              <w:spacing w:line="360" w:lineRule="auto"/>
              <w:jc w:val="center"/>
              <w:rPr>
                <w:rFonts w:eastAsia="仿宋_GB2312"/>
                <w:kern w:val="0"/>
                <w:szCs w:val="21"/>
              </w:rPr>
            </w:pPr>
            <w:r>
              <w:rPr>
                <w:rFonts w:hint="eastAsia" w:eastAsia="仿宋_GB2312"/>
                <w:kern w:val="0"/>
                <w:szCs w:val="21"/>
              </w:rPr>
              <w:t>效果</w:t>
            </w:r>
          </w:p>
        </w:tc>
        <w:tc>
          <w:tcPr>
            <w:tcW w:w="2238" w:type="dxa"/>
            <w:vAlign w:val="center"/>
          </w:tcPr>
          <w:p>
            <w:pPr>
              <w:widowControl/>
              <w:jc w:val="center"/>
              <w:textAlignment w:val="center"/>
              <w:rPr>
                <w:rFonts w:ascii="Times New Roman" w:hAnsi="Times New Roman" w:eastAsia="仿宋_GB2312"/>
                <w:szCs w:val="21"/>
              </w:rPr>
            </w:pPr>
            <w:r>
              <w:rPr>
                <w:rFonts w:ascii="Times New Roman" w:hAnsi="Times New Roman" w:eastAsia="仿宋_GB2312"/>
                <w:szCs w:val="21"/>
              </w:rPr>
              <w:t>35.00</w:t>
            </w:r>
          </w:p>
        </w:tc>
        <w:tc>
          <w:tcPr>
            <w:tcW w:w="2238" w:type="dxa"/>
            <w:vAlign w:val="center"/>
          </w:tcPr>
          <w:p>
            <w:pPr>
              <w:widowControl/>
              <w:jc w:val="center"/>
              <w:textAlignment w:val="center"/>
              <w:rPr>
                <w:rFonts w:ascii="Times New Roman" w:hAnsi="Times New Roman" w:eastAsia="仿宋_GB2312"/>
                <w:szCs w:val="21"/>
              </w:rPr>
            </w:pPr>
            <w:r>
              <w:rPr>
                <w:rFonts w:ascii="Times New Roman" w:hAnsi="Times New Roman" w:eastAsia="仿宋_GB2312"/>
                <w:szCs w:val="21"/>
              </w:rPr>
              <w:t>28</w:t>
            </w:r>
          </w:p>
        </w:tc>
        <w:tc>
          <w:tcPr>
            <w:tcW w:w="2238" w:type="dxa"/>
            <w:vAlign w:val="center"/>
          </w:tcPr>
          <w:p>
            <w:pPr>
              <w:widowControl/>
              <w:jc w:val="center"/>
              <w:textAlignment w:val="center"/>
              <w:rPr>
                <w:rFonts w:ascii="Times New Roman" w:hAnsi="Times New Roman" w:eastAsia="仿宋_GB2312"/>
                <w:szCs w:val="21"/>
              </w:rPr>
            </w:pPr>
            <w:r>
              <w:rPr>
                <w:rFonts w:ascii="Times New Roman" w:hAnsi="Times New Roman" w:eastAsia="仿宋_GB2312"/>
                <w:color w:val="000000"/>
                <w:szCs w:val="21"/>
              </w:rPr>
              <w:t>80.00%</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238" w:type="dxa"/>
            <w:vAlign w:val="center"/>
          </w:tcPr>
          <w:p>
            <w:pPr>
              <w:widowControl/>
              <w:tabs>
                <w:tab w:val="left" w:pos="993"/>
              </w:tabs>
              <w:overflowPunct w:val="0"/>
              <w:autoSpaceDE w:val="0"/>
              <w:autoSpaceDN w:val="0"/>
              <w:adjustRightInd w:val="0"/>
              <w:spacing w:line="360" w:lineRule="auto"/>
              <w:jc w:val="center"/>
              <w:rPr>
                <w:rFonts w:eastAsia="仿宋_GB2312"/>
                <w:b/>
                <w:bCs/>
                <w:kern w:val="0"/>
                <w:szCs w:val="21"/>
              </w:rPr>
            </w:pPr>
            <w:r>
              <w:rPr>
                <w:rFonts w:hint="eastAsia" w:eastAsia="仿宋_GB2312"/>
                <w:b/>
                <w:bCs/>
                <w:kern w:val="0"/>
                <w:szCs w:val="21"/>
              </w:rPr>
              <w:t>合计</w:t>
            </w:r>
          </w:p>
        </w:tc>
        <w:tc>
          <w:tcPr>
            <w:tcW w:w="2238" w:type="dxa"/>
            <w:vAlign w:val="center"/>
          </w:tcPr>
          <w:p>
            <w:pPr>
              <w:widowControl/>
              <w:jc w:val="center"/>
              <w:textAlignment w:val="center"/>
              <w:rPr>
                <w:rFonts w:ascii="Times New Roman" w:hAnsi="Times New Roman" w:eastAsia="仿宋_GB2312"/>
                <w:b/>
                <w:bCs/>
                <w:szCs w:val="21"/>
              </w:rPr>
            </w:pPr>
            <w:r>
              <w:rPr>
                <w:rFonts w:ascii="Times New Roman" w:hAnsi="Times New Roman" w:eastAsia="仿宋_GB2312"/>
                <w:b/>
                <w:bCs/>
                <w:color w:val="000000"/>
                <w:kern w:val="0"/>
                <w:szCs w:val="21"/>
              </w:rPr>
              <w:t xml:space="preserve">100.00 </w:t>
            </w:r>
          </w:p>
        </w:tc>
        <w:tc>
          <w:tcPr>
            <w:tcW w:w="2238" w:type="dxa"/>
            <w:vAlign w:val="center"/>
          </w:tcPr>
          <w:p>
            <w:pPr>
              <w:widowControl/>
              <w:jc w:val="center"/>
              <w:textAlignment w:val="center"/>
              <w:rPr>
                <w:rFonts w:ascii="Times New Roman" w:hAnsi="Times New Roman" w:eastAsia="仿宋_GB2312"/>
                <w:b/>
                <w:bCs/>
                <w:szCs w:val="21"/>
              </w:rPr>
            </w:pPr>
            <w:r>
              <w:rPr>
                <w:rFonts w:ascii="Times New Roman" w:hAnsi="Times New Roman" w:eastAsia="仿宋_GB2312"/>
                <w:b/>
                <w:bCs/>
                <w:szCs w:val="21"/>
              </w:rPr>
              <w:t>83.00</w:t>
            </w:r>
          </w:p>
        </w:tc>
        <w:tc>
          <w:tcPr>
            <w:tcW w:w="2238" w:type="dxa"/>
            <w:vAlign w:val="center"/>
          </w:tcPr>
          <w:p>
            <w:pPr>
              <w:widowControl/>
              <w:jc w:val="center"/>
              <w:textAlignment w:val="center"/>
              <w:rPr>
                <w:rFonts w:ascii="Times New Roman" w:hAnsi="Times New Roman" w:eastAsia="仿宋_GB2312"/>
                <w:b/>
                <w:bCs/>
                <w:color w:val="000000"/>
                <w:szCs w:val="21"/>
              </w:rPr>
            </w:pPr>
            <w:r>
              <w:rPr>
                <w:rFonts w:ascii="Times New Roman" w:hAnsi="Times New Roman" w:eastAsia="仿宋_GB2312"/>
                <w:b/>
                <w:color w:val="000000"/>
                <w:szCs w:val="21"/>
              </w:rPr>
              <w:t>83.00%</w:t>
            </w:r>
          </w:p>
        </w:tc>
      </w:tr>
    </w:tbl>
    <w:p>
      <w:pPr>
        <w:widowControl/>
        <w:spacing w:line="360" w:lineRule="auto"/>
        <w:ind w:firstLine="480" w:firstLineChars="200"/>
        <w:jc w:val="left"/>
        <w:rPr>
          <w:rFonts w:ascii="仿宋_GB2312" w:hAnsi="Times New Roman" w:eastAsia="仿宋_GB2312"/>
          <w:bCs/>
          <w:sz w:val="24"/>
        </w:rPr>
      </w:pPr>
      <w:r>
        <w:rPr>
          <w:rFonts w:hint="eastAsia" w:ascii="仿宋_GB2312" w:hAnsi="Times New Roman" w:eastAsia="仿宋_GB2312"/>
          <w:bCs/>
          <w:sz w:val="24"/>
        </w:rPr>
        <w:t>评价认为，江津区科技局2020年科技创新高质量发展项目在加大江津区研发经费投入和科技成果转化力度，激发江津区企业的创新活力和动力，推动江津区经济社会高质量发展起到了一定的积极作用，创新创业环境持续改善，创新创业主体日益多元化，创新创业社会氛围更加浓厚，截止到</w:t>
      </w:r>
      <w:r>
        <w:rPr>
          <w:rFonts w:hint="eastAsia" w:ascii="仿宋_GB2312" w:hAnsi="宋体" w:eastAsia="仿宋_GB2312" w:cs="宋体"/>
          <w:sz w:val="24"/>
        </w:rPr>
        <w:t>2022年12月31日，全区共计拥有科技型企业1678家，高新技术企业351家，市级以上的科技创新平台186个，授权发明专利2325个，但也存在政策建设、项目管理、产出质量、效果等问题，详见“五、发现的主要问题及建议”。</w:t>
      </w:r>
    </w:p>
    <w:p>
      <w:pPr>
        <w:widowControl/>
        <w:spacing w:line="360" w:lineRule="auto"/>
        <w:ind w:firstLine="482" w:firstLineChars="200"/>
        <w:jc w:val="left"/>
        <w:rPr>
          <w:rFonts w:ascii="仿宋_GB2312" w:hAnsi="宋体" w:eastAsia="仿宋_GB2312" w:cs="宋体"/>
          <w:b/>
          <w:kern w:val="0"/>
          <w:sz w:val="24"/>
        </w:rPr>
      </w:pPr>
      <w:r>
        <w:rPr>
          <w:rFonts w:hint="eastAsia" w:ascii="仿宋_GB2312" w:hAnsi="宋体" w:eastAsia="仿宋_GB2312" w:cs="宋体"/>
          <w:b/>
          <w:kern w:val="0"/>
          <w:sz w:val="24"/>
        </w:rPr>
        <w:t>四、绩效指标分析</w:t>
      </w:r>
    </w:p>
    <w:p>
      <w:pPr>
        <w:spacing w:line="360" w:lineRule="auto"/>
        <w:ind w:firstLine="480" w:firstLineChars="200"/>
        <w:rPr>
          <w:rFonts w:eastAsia="仿宋_GB2312"/>
          <w:b/>
          <w:sz w:val="24"/>
        </w:rPr>
      </w:pPr>
      <w:r>
        <w:rPr>
          <w:rFonts w:eastAsia="仿宋_GB2312"/>
          <w:sz w:val="24"/>
        </w:rPr>
        <w:t>经绩效评价小组现场评价，并与专家讨论后，绩效评分详情如下：</w:t>
      </w:r>
    </w:p>
    <w:p>
      <w:pPr>
        <w:widowControl/>
        <w:spacing w:line="360" w:lineRule="auto"/>
        <w:ind w:firstLine="482" w:firstLineChars="200"/>
        <w:jc w:val="left"/>
        <w:rPr>
          <w:rFonts w:ascii="仿宋_GB2312" w:hAnsi="宋体" w:eastAsia="仿宋_GB2312" w:cs="宋体"/>
          <w:b/>
          <w:bCs/>
          <w:kern w:val="0"/>
          <w:sz w:val="24"/>
        </w:rPr>
      </w:pPr>
      <w:r>
        <w:rPr>
          <w:rFonts w:hint="eastAsia" w:ascii="仿宋_GB2312" w:hAnsi="宋体" w:eastAsia="仿宋_GB2312" w:cs="宋体"/>
          <w:b/>
          <w:bCs/>
          <w:kern w:val="0"/>
          <w:sz w:val="24"/>
        </w:rPr>
        <w:t>（一）投入</w:t>
      </w:r>
    </w:p>
    <w:p>
      <w:pPr>
        <w:pStyle w:val="56"/>
        <w:tabs>
          <w:tab w:val="left" w:pos="993"/>
        </w:tabs>
        <w:spacing w:line="360" w:lineRule="auto"/>
        <w:ind w:firstLine="480"/>
        <w:rPr>
          <w:rFonts w:ascii="仿宋_GB2312" w:hAnsi="宋体" w:eastAsia="仿宋_GB2312" w:cs="宋体"/>
          <w:sz w:val="24"/>
          <w:szCs w:val="24"/>
        </w:rPr>
      </w:pPr>
      <w:r>
        <w:rPr>
          <w:rFonts w:hint="eastAsia" w:ascii="仿宋_GB2312" w:hAnsi="宋体" w:eastAsia="仿宋_GB2312" w:cs="宋体"/>
          <w:sz w:val="24"/>
          <w:szCs w:val="24"/>
        </w:rPr>
        <w:t>根据《</w:t>
      </w:r>
      <w:r>
        <w:rPr>
          <w:rFonts w:ascii="仿宋_GB2312" w:hAnsi="宋体" w:eastAsia="仿宋_GB2312" w:cs="宋体"/>
          <w:sz w:val="24"/>
          <w:szCs w:val="24"/>
        </w:rPr>
        <w:t>2020</w:t>
      </w:r>
      <w:r>
        <w:rPr>
          <w:rFonts w:hint="eastAsia" w:ascii="仿宋_GB2312" w:hAnsi="宋体" w:eastAsia="仿宋_GB2312" w:cs="宋体"/>
          <w:sz w:val="24"/>
          <w:szCs w:val="24"/>
        </w:rPr>
        <w:t>年科技创新高质量发展项目绩效评价指标》，投入指标下设项目立项、绩效目标、资金安排</w:t>
      </w:r>
      <w:r>
        <w:rPr>
          <w:rFonts w:ascii="仿宋_GB2312" w:hAnsi="宋体" w:eastAsia="仿宋_GB2312" w:cs="宋体"/>
          <w:sz w:val="24"/>
          <w:szCs w:val="24"/>
        </w:rPr>
        <w:t>3</w:t>
      </w:r>
      <w:r>
        <w:rPr>
          <w:rFonts w:hint="eastAsia" w:ascii="仿宋_GB2312" w:hAnsi="宋体" w:eastAsia="仿宋_GB2312" w:cs="宋体"/>
          <w:sz w:val="24"/>
          <w:szCs w:val="24"/>
        </w:rPr>
        <w:t>个二级指标，政策依据充分性、绩效目标合理性、绩效指标明确性、预算资金使用率、预算安排合规性</w:t>
      </w:r>
      <w:r>
        <w:rPr>
          <w:rFonts w:ascii="仿宋_GB2312" w:hAnsi="宋体" w:eastAsia="仿宋_GB2312" w:cs="宋体"/>
          <w:sz w:val="24"/>
          <w:szCs w:val="24"/>
        </w:rPr>
        <w:t>5</w:t>
      </w:r>
      <w:r>
        <w:rPr>
          <w:rFonts w:hint="eastAsia" w:ascii="仿宋_GB2312" w:hAnsi="宋体" w:eastAsia="仿宋_GB2312" w:cs="宋体"/>
          <w:sz w:val="24"/>
          <w:szCs w:val="24"/>
        </w:rPr>
        <w:t>个三级指标。根据评价指标内容，对应设置评价标准。投入指标权重分值</w:t>
      </w:r>
      <w:r>
        <w:rPr>
          <w:rFonts w:ascii="仿宋_GB2312" w:hAnsi="宋体" w:eastAsia="仿宋_GB2312" w:cs="宋体"/>
          <w:sz w:val="24"/>
          <w:szCs w:val="24"/>
        </w:rPr>
        <w:t>10.00</w:t>
      </w:r>
      <w:r>
        <w:rPr>
          <w:rFonts w:hint="eastAsia" w:ascii="仿宋_GB2312" w:hAnsi="宋体" w:eastAsia="仿宋_GB2312" w:cs="宋体"/>
          <w:sz w:val="24"/>
          <w:szCs w:val="24"/>
        </w:rPr>
        <w:t>分。</w:t>
      </w:r>
    </w:p>
    <w:p>
      <w:pPr>
        <w:pStyle w:val="56"/>
        <w:tabs>
          <w:tab w:val="left" w:pos="993"/>
        </w:tabs>
        <w:spacing w:line="360" w:lineRule="auto"/>
        <w:ind w:firstLine="480"/>
        <w:jc w:val="both"/>
        <w:rPr>
          <w:rFonts w:ascii="仿宋_GB2312" w:hAnsi="宋体" w:eastAsia="仿宋_GB2312" w:cs="宋体"/>
          <w:sz w:val="24"/>
          <w:szCs w:val="24"/>
        </w:rPr>
      </w:pPr>
      <w:r>
        <w:rPr>
          <w:rFonts w:hint="eastAsia" w:ascii="仿宋_GB2312" w:hAnsi="宋体" w:eastAsia="仿宋_GB2312" w:cs="宋体"/>
          <w:sz w:val="24"/>
          <w:szCs w:val="24"/>
        </w:rPr>
        <w:t>经执行绩效评价程序，项目投入评价实际得分</w:t>
      </w:r>
      <w:r>
        <w:rPr>
          <w:rFonts w:ascii="仿宋_GB2312" w:hAnsi="宋体" w:eastAsia="仿宋_GB2312" w:cs="宋体"/>
          <w:sz w:val="24"/>
          <w:szCs w:val="24"/>
        </w:rPr>
        <w:t>8.00</w:t>
      </w:r>
      <w:r>
        <w:rPr>
          <w:rFonts w:hint="eastAsia" w:ascii="仿宋_GB2312" w:hAnsi="宋体" w:eastAsia="仿宋_GB2312" w:cs="宋体"/>
          <w:sz w:val="24"/>
          <w:szCs w:val="24"/>
        </w:rPr>
        <w:t>分，扣分</w:t>
      </w:r>
      <w:r>
        <w:rPr>
          <w:rFonts w:ascii="仿宋_GB2312" w:hAnsi="宋体" w:eastAsia="仿宋_GB2312" w:cs="宋体"/>
          <w:sz w:val="24"/>
          <w:szCs w:val="24"/>
        </w:rPr>
        <w:t>2.00</w:t>
      </w:r>
      <w:r>
        <w:rPr>
          <w:rFonts w:hint="eastAsia" w:ascii="仿宋_GB2312" w:hAnsi="宋体" w:eastAsia="仿宋_GB2312" w:cs="宋体"/>
          <w:sz w:val="24"/>
          <w:szCs w:val="24"/>
        </w:rPr>
        <w:t>分，得分率</w:t>
      </w:r>
      <w:r>
        <w:rPr>
          <w:rFonts w:ascii="仿宋_GB2312" w:hAnsi="宋体" w:eastAsia="仿宋_GB2312" w:cs="宋体"/>
          <w:sz w:val="24"/>
          <w:szCs w:val="24"/>
        </w:rPr>
        <w:t>80.00%</w:t>
      </w:r>
      <w:r>
        <w:rPr>
          <w:rFonts w:hint="eastAsia" w:ascii="仿宋_GB2312" w:hAnsi="宋体" w:eastAsia="仿宋_GB2312" w:cs="宋体"/>
          <w:sz w:val="24"/>
          <w:szCs w:val="24"/>
        </w:rPr>
        <w:t>。扣分原因系项目绩效目标产出指标中缺失产出质量指标，设置的绩效指标不全面、与预算确定的项目资金未能完全匹配的情况。</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1.项目立项</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（1）政策依据充分性</w:t>
      </w:r>
    </w:p>
    <w:p>
      <w:pPr>
        <w:widowControl/>
        <w:spacing w:line="360" w:lineRule="auto"/>
        <w:ind w:firstLine="600" w:firstLineChars="250"/>
        <w:jc w:val="left"/>
        <w:rPr>
          <w:rFonts w:ascii="仿宋_GB2312" w:hAnsi="宋体" w:eastAsia="仿宋_GB2312" w:cs="宋体"/>
          <w:kern w:val="0"/>
          <w:sz w:val="24"/>
        </w:rPr>
      </w:pPr>
      <w:r>
        <w:rPr>
          <w:rFonts w:hint="eastAsia" w:ascii="仿宋_GB2312" w:hAnsi="宋体" w:eastAsia="仿宋_GB2312" w:cs="宋体"/>
          <w:kern w:val="0"/>
          <w:sz w:val="24"/>
        </w:rPr>
        <w:t>为全面落实习近平总书记关于推动高质量发展的重要论述，紧紧围绕“两点”定位、“两地”“两高”目标、发挥“三个作用”和营造良好政治生态的重要指示要求，进一步加大江津区研发经费投入和科技成果转化力度，以激发全社会创新活力和动力，推动江津区经济社会高质量发展，重庆市江津区人民政府发布了《关于印发江津区高质量发展激励政策的通知》（江津府发〔2019〕18号）与《</w:t>
      </w:r>
      <w:r>
        <w:rPr>
          <w:rFonts w:ascii="仿宋_GB2312" w:hAnsi="宋体" w:eastAsia="仿宋_GB2312" w:cs="宋体"/>
          <w:kern w:val="0"/>
          <w:sz w:val="24"/>
        </w:rPr>
        <w:t>关于印发江津区支持消费品工业高质量发展政策的通知</w:t>
      </w:r>
      <w:r>
        <w:rPr>
          <w:rFonts w:hint="eastAsia" w:ascii="仿宋_GB2312" w:hAnsi="宋体" w:eastAsia="仿宋_GB2312" w:cs="宋体"/>
          <w:kern w:val="0"/>
          <w:sz w:val="24"/>
        </w:rPr>
        <w:t>》（江津府办发〔</w:t>
      </w:r>
      <w:r>
        <w:rPr>
          <w:rFonts w:ascii="仿宋_GB2312" w:hAnsi="宋体" w:eastAsia="仿宋_GB2312" w:cs="宋体"/>
          <w:kern w:val="0"/>
          <w:sz w:val="24"/>
        </w:rPr>
        <w:t>2020</w:t>
      </w:r>
      <w:r>
        <w:rPr>
          <w:rFonts w:hint="eastAsia" w:ascii="仿宋_GB2312" w:hAnsi="宋体" w:eastAsia="仿宋_GB2312" w:cs="宋体"/>
          <w:kern w:val="0"/>
          <w:sz w:val="24"/>
        </w:rPr>
        <w:t>〕</w:t>
      </w:r>
      <w:r>
        <w:rPr>
          <w:rFonts w:ascii="仿宋_GB2312" w:hAnsi="宋体" w:eastAsia="仿宋_GB2312" w:cs="宋体"/>
          <w:kern w:val="0"/>
          <w:sz w:val="24"/>
        </w:rPr>
        <w:t>172</w:t>
      </w:r>
      <w:r>
        <w:rPr>
          <w:rFonts w:hint="eastAsia" w:ascii="仿宋_GB2312" w:hAnsi="宋体" w:eastAsia="仿宋_GB2312" w:cs="宋体"/>
          <w:kern w:val="0"/>
          <w:sz w:val="24"/>
        </w:rPr>
        <w:t>号）政策从鼓励加大研发投入、鼓励独立法人研发机构建设、鼓励研发平台建设、着力引进院士专家团队、大力发展高新技术企业、大力培育科技型企业、大力培育高成长性企业、加快促进科技成果转化、强化科技金融支撑、强化专利运营保障等多个方面对符合国家产业导向和本区产业规划，，且在江津区注册的组织（企业、高校、科研院所、党团组织等）和个人给予激励，项目政策依据充分。</w:t>
      </w:r>
    </w:p>
    <w:p>
      <w:pPr>
        <w:widowControl/>
        <w:spacing w:line="360" w:lineRule="auto"/>
        <w:ind w:firstLine="480" w:firstLineChars="200"/>
        <w:jc w:val="left"/>
        <w:rPr>
          <w:rFonts w:ascii="仿宋_GB2312" w:eastAsia="仿宋_GB2312"/>
          <w:sz w:val="24"/>
        </w:rPr>
      </w:pPr>
      <w:r>
        <w:rPr>
          <w:rFonts w:hint="eastAsia" w:ascii="仿宋_GB2312" w:hAnsi="宋体" w:eastAsia="仿宋_GB2312" w:cs="宋体"/>
          <w:kern w:val="0"/>
          <w:sz w:val="24"/>
        </w:rPr>
        <w:t>政策依据充分性</w:t>
      </w:r>
      <w:r>
        <w:rPr>
          <w:rFonts w:hint="eastAsia" w:ascii="仿宋_GB2312" w:hAnsi="Times New Roman" w:eastAsia="仿宋_GB2312"/>
          <w:sz w:val="24"/>
        </w:rPr>
        <w:t>总分1分，得分1分。</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（2）绩效目标的合理性</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根据区科技局申报的《2020年度科技创新激励扶持补助项目绩效目标表》，该项目的年度总体目标为引导全区加大研发投入，强化辖区内企事业单位（高校、科研院所）技术创新主体地位，提升地区自主创新能力。到2021年，全社会研发经费投入达到32亿元，占GDP比重达到2.4%。具体绩效指标方面，在产出指标方面设置了数量指标、时效指标，在效益指标方面设置了经济效益指标、社会效益指标、可持续影响指标，在满意度指标方面设置了服务对象满意度指标。</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区科技局设置的绩效目标与实际工作内容具有相关性，与项目目标任务相对应，但是项目申报的实施期绩效目标只反映了项目的部分产出数量，没有反映项目的产出质量等。</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Times New Roman" w:eastAsia="仿宋_GB2312"/>
          <w:sz w:val="24"/>
        </w:rPr>
        <w:t>绩效目标的合理性总分4分，得分3分，主要扣分原因为产出指标中缺失产出质量指标。</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（3）绩效指标的明确性</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区科技局设置的绩效目标细化分解为具体的绩效指标，并且通过可衡量的指标值予以体现，但存在设置绩效指标不全面、与预算确定的项目资金未能完全匹配的情况，如产出指标中数量指标中仅设置了科技型企业数量、高新技术企业数量、创新平台数量，未对研发投入、科技成果转化、科技金融支撑、专利转化运营等设置相应指标。</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绩效指标的明确性总分3分，得分2分，主要扣分原因为设置的绩效指标不全面、与预算确定的项目资金未能完全匹配的情况。</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（4）预算资金使用率</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Times New Roman" w:eastAsia="仿宋_GB2312"/>
          <w:sz w:val="24"/>
        </w:rPr>
        <w:t>项目预算下达</w:t>
      </w:r>
      <w:r>
        <w:rPr>
          <w:rFonts w:hint="eastAsia" w:ascii="仿宋_GB2312" w:hAnsi="宋体" w:eastAsia="仿宋_GB2312" w:cs="宋体"/>
          <w:kern w:val="0"/>
          <w:sz w:val="24"/>
        </w:rPr>
        <w:t>4,019.57万元，共计使用4,019.57万元，</w:t>
      </w:r>
      <w:r>
        <w:rPr>
          <w:rFonts w:hint="eastAsia" w:ascii="仿宋_GB2312" w:hAnsi="Times New Roman" w:eastAsia="仿宋_GB2312"/>
          <w:sz w:val="24"/>
        </w:rPr>
        <w:t>预算资金使用率100%</w:t>
      </w:r>
      <w:r>
        <w:rPr>
          <w:rFonts w:hint="eastAsia" w:ascii="仿宋_GB2312" w:hAnsi="宋体" w:eastAsia="仿宋_GB2312" w:cs="宋体"/>
          <w:kern w:val="0"/>
          <w:sz w:val="24"/>
        </w:rPr>
        <w:t>。</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预算资金使用率总分1分，得分1分。</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（5）预算安排合规性</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Times New Roman" w:eastAsia="仿宋_GB2312"/>
          <w:sz w:val="24"/>
        </w:rPr>
        <w:t>项目预算资金根据区政府对</w:t>
      </w:r>
      <w:r>
        <w:rPr>
          <w:rFonts w:hint="eastAsia" w:ascii="仿宋_GB2312" w:hAnsi="宋体" w:eastAsia="仿宋_GB2312" w:cs="宋体"/>
          <w:kern w:val="0"/>
          <w:sz w:val="24"/>
        </w:rPr>
        <w:t>区科技局上报《关于审定20</w:t>
      </w:r>
      <w:r>
        <w:rPr>
          <w:rFonts w:ascii="仿宋_GB2312" w:hAnsi="宋体" w:eastAsia="仿宋_GB2312" w:cs="宋体"/>
          <w:kern w:val="0"/>
          <w:sz w:val="24"/>
        </w:rPr>
        <w:t>20</w:t>
      </w:r>
      <w:r>
        <w:rPr>
          <w:rFonts w:hint="eastAsia" w:ascii="仿宋_GB2312" w:hAnsi="宋体" w:eastAsia="仿宋_GB2312" w:cs="宋体"/>
          <w:kern w:val="0"/>
          <w:sz w:val="24"/>
        </w:rPr>
        <w:t>年度科技创新促进高质量发展10条激励政策资金项目的请示》（</w:t>
      </w:r>
      <w:r>
        <w:rPr>
          <w:rFonts w:ascii="仿宋_GB2312" w:hAnsi="宋体" w:eastAsia="仿宋_GB2312" w:cs="宋体"/>
          <w:kern w:val="0"/>
          <w:sz w:val="24"/>
        </w:rPr>
        <w:t>津科文</w:t>
      </w:r>
      <w:r>
        <w:rPr>
          <w:rFonts w:hint="eastAsia" w:ascii="仿宋_GB2312" w:hAnsi="宋体" w:eastAsia="仿宋_GB2312" w:cs="宋体"/>
          <w:kern w:val="0"/>
          <w:sz w:val="24"/>
        </w:rPr>
        <w:t>〔2023〕2号）的批示进行安排，并且项目资金安排分配根据评审后的公示结果进行安排分配。</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项目预算资金安排合理，并且依据充分。</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预算安排合规性总分1分，得分1分。</w:t>
      </w:r>
    </w:p>
    <w:p>
      <w:pPr>
        <w:widowControl/>
        <w:spacing w:line="360" w:lineRule="auto"/>
        <w:ind w:firstLine="482" w:firstLineChars="200"/>
        <w:jc w:val="left"/>
        <w:rPr>
          <w:rFonts w:ascii="仿宋_GB2312" w:hAnsi="Times New Roman" w:eastAsia="仿宋_GB2312"/>
          <w:b/>
          <w:bCs/>
          <w:sz w:val="24"/>
        </w:rPr>
      </w:pPr>
      <w:r>
        <w:rPr>
          <w:rFonts w:hint="eastAsia" w:ascii="仿宋_GB2312" w:hAnsi="Times New Roman" w:eastAsia="仿宋_GB2312"/>
          <w:b/>
          <w:bCs/>
          <w:sz w:val="24"/>
        </w:rPr>
        <w:t>（二）管理</w:t>
      </w:r>
    </w:p>
    <w:p>
      <w:pPr>
        <w:widowControl/>
        <w:spacing w:line="360" w:lineRule="auto"/>
        <w:ind w:firstLine="480" w:firstLineChars="200"/>
        <w:jc w:val="left"/>
        <w:rPr>
          <w:rFonts w:ascii="仿宋_GB2312" w:eastAsia="仿宋_GB2312"/>
          <w:sz w:val="24"/>
        </w:rPr>
      </w:pPr>
      <w:r>
        <w:rPr>
          <w:rFonts w:hint="eastAsia" w:ascii="仿宋_GB2312" w:hAnsi="Times New Roman" w:eastAsia="仿宋_GB2312"/>
          <w:sz w:val="24"/>
        </w:rPr>
        <w:t>根据《</w:t>
      </w:r>
      <w:r>
        <w:rPr>
          <w:rFonts w:ascii="仿宋_GB2312" w:hAnsi="Times New Roman" w:eastAsia="仿宋_GB2312"/>
          <w:sz w:val="24"/>
        </w:rPr>
        <w:t>2020</w:t>
      </w:r>
      <w:r>
        <w:rPr>
          <w:rFonts w:hint="eastAsia" w:ascii="仿宋_GB2312" w:hAnsi="Times New Roman" w:eastAsia="仿宋_GB2312"/>
          <w:sz w:val="24"/>
        </w:rPr>
        <w:t>年科技创新高质量发展项目绩效评价指标》，管理指标下设业务管理、资金管理</w:t>
      </w:r>
      <w:r>
        <w:rPr>
          <w:rFonts w:ascii="仿宋_GB2312" w:hAnsi="Times New Roman" w:eastAsia="仿宋_GB2312"/>
          <w:sz w:val="24"/>
        </w:rPr>
        <w:t>2</w:t>
      </w:r>
      <w:r>
        <w:rPr>
          <w:rFonts w:hint="eastAsia" w:ascii="仿宋_GB2312" w:hAnsi="Times New Roman" w:eastAsia="仿宋_GB2312"/>
          <w:sz w:val="24"/>
        </w:rPr>
        <w:t>个二级指标，业务管理制度健全性、制度执行有效性、绩效自评、资金管理制度完整性、资金使用的合规性</w:t>
      </w:r>
      <w:r>
        <w:rPr>
          <w:rFonts w:ascii="仿宋_GB2312" w:hAnsi="Times New Roman" w:eastAsia="仿宋_GB2312"/>
          <w:sz w:val="24"/>
        </w:rPr>
        <w:t>5</w:t>
      </w:r>
      <w:r>
        <w:rPr>
          <w:rFonts w:hint="eastAsia" w:ascii="仿宋_GB2312" w:hAnsi="Times New Roman" w:eastAsia="仿宋_GB2312"/>
          <w:sz w:val="24"/>
        </w:rPr>
        <w:t>个三级指标。根据评价指标内容，对应设置评价标准。管理指标权重分值</w:t>
      </w:r>
      <w:r>
        <w:rPr>
          <w:rFonts w:ascii="仿宋_GB2312" w:hAnsi="Times New Roman" w:eastAsia="仿宋_GB2312"/>
          <w:sz w:val="24"/>
        </w:rPr>
        <w:t>20.00</w:t>
      </w:r>
      <w:r>
        <w:rPr>
          <w:rFonts w:hint="eastAsia" w:ascii="仿宋_GB2312" w:hAnsi="Times New Roman" w:eastAsia="仿宋_GB2312"/>
          <w:sz w:val="24"/>
        </w:rPr>
        <w:t>分。</w:t>
      </w:r>
    </w:p>
    <w:p>
      <w:pPr>
        <w:widowControl/>
        <w:spacing w:line="360" w:lineRule="auto"/>
        <w:ind w:firstLine="480" w:firstLineChars="200"/>
        <w:jc w:val="left"/>
        <w:rPr>
          <w:rFonts w:ascii="仿宋_GB2312" w:eastAsia="仿宋_GB2312"/>
          <w:sz w:val="24"/>
        </w:rPr>
      </w:pPr>
      <w:r>
        <w:rPr>
          <w:rFonts w:hint="eastAsia" w:ascii="仿宋_GB2312" w:hAnsi="Times New Roman" w:eastAsia="仿宋_GB2312"/>
          <w:sz w:val="24"/>
        </w:rPr>
        <w:t>经执行绩效评价程序，项目投入评价实际得分</w:t>
      </w:r>
      <w:r>
        <w:rPr>
          <w:rFonts w:ascii="仿宋_GB2312" w:hAnsi="Times New Roman" w:eastAsia="仿宋_GB2312"/>
          <w:sz w:val="24"/>
        </w:rPr>
        <w:t>15.50</w:t>
      </w:r>
      <w:r>
        <w:rPr>
          <w:rFonts w:hint="eastAsia" w:ascii="仿宋_GB2312" w:hAnsi="Times New Roman" w:eastAsia="仿宋_GB2312"/>
          <w:sz w:val="24"/>
        </w:rPr>
        <w:t>分，扣分</w:t>
      </w:r>
      <w:r>
        <w:rPr>
          <w:rFonts w:ascii="仿宋_GB2312" w:hAnsi="Times New Roman" w:eastAsia="仿宋_GB2312"/>
          <w:sz w:val="24"/>
        </w:rPr>
        <w:t>4.50</w:t>
      </w:r>
      <w:r>
        <w:rPr>
          <w:rFonts w:hint="eastAsia" w:ascii="仿宋_GB2312" w:hAnsi="Times New Roman" w:eastAsia="仿宋_GB2312"/>
          <w:sz w:val="24"/>
        </w:rPr>
        <w:t>分，得分率</w:t>
      </w:r>
      <w:r>
        <w:rPr>
          <w:rFonts w:ascii="仿宋_GB2312" w:hAnsi="Times New Roman" w:eastAsia="仿宋_GB2312"/>
          <w:sz w:val="24"/>
        </w:rPr>
        <w:t>77.5%</w:t>
      </w:r>
      <w:r>
        <w:rPr>
          <w:rFonts w:hint="eastAsia" w:ascii="仿宋_GB2312" w:hAnsi="Times New Roman" w:eastAsia="仿宋_GB2312"/>
          <w:sz w:val="24"/>
        </w:rPr>
        <w:t>。扣分原因系项目业务管理制度内容不完善、缺少对资金的事后监督、部分财务凭证未进行装订。</w:t>
      </w:r>
    </w:p>
    <w:p>
      <w:pPr>
        <w:widowControl/>
        <w:spacing w:line="360" w:lineRule="auto"/>
        <w:ind w:firstLine="480" w:firstLineChars="200"/>
        <w:jc w:val="left"/>
        <w:rPr>
          <w:rFonts w:ascii="仿宋_GB2312" w:hAnsi="Times New Roman" w:eastAsia="仿宋_GB2312"/>
          <w:sz w:val="24"/>
        </w:rPr>
      </w:pPr>
      <w:r>
        <w:rPr>
          <w:rFonts w:ascii="仿宋_GB2312" w:hAnsi="Times New Roman" w:eastAsia="仿宋_GB2312"/>
          <w:sz w:val="24"/>
        </w:rPr>
        <w:t>1</w:t>
      </w:r>
      <w:r>
        <w:rPr>
          <w:rFonts w:hint="eastAsia" w:ascii="仿宋_GB2312" w:hAnsi="Times New Roman" w:eastAsia="仿宋_GB2312"/>
          <w:sz w:val="24"/>
        </w:rPr>
        <w:t>.业务管理</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（1）业务管理制度健全性</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Times New Roman" w:eastAsia="仿宋_GB2312"/>
          <w:sz w:val="24"/>
        </w:rPr>
        <w:t>项目管理与评审根据</w:t>
      </w:r>
      <w:r>
        <w:rPr>
          <w:rFonts w:hint="eastAsia" w:ascii="仿宋_GB2312" w:hAnsi="宋体" w:eastAsia="仿宋_GB2312" w:cs="宋体"/>
          <w:kern w:val="0"/>
          <w:sz w:val="24"/>
        </w:rPr>
        <w:t>重庆市江津区人民政府办公室《</w:t>
      </w:r>
      <w:r>
        <w:rPr>
          <w:rFonts w:ascii="仿宋_GB2312" w:hAnsi="宋体" w:eastAsia="仿宋_GB2312" w:cs="宋体"/>
          <w:kern w:val="0"/>
          <w:sz w:val="24"/>
        </w:rPr>
        <w:t>关于印发江津区科技创新促进高质量发展10条激励政策实施细则（试行）的通知</w:t>
      </w:r>
      <w:r>
        <w:rPr>
          <w:rFonts w:hint="eastAsia" w:ascii="仿宋_GB2312" w:hAnsi="宋体" w:eastAsia="仿宋_GB2312" w:cs="宋体"/>
          <w:kern w:val="0"/>
          <w:sz w:val="24"/>
        </w:rPr>
        <w:t>》</w:t>
      </w:r>
      <w:r>
        <w:rPr>
          <w:rFonts w:ascii="仿宋_GB2312" w:hAnsi="宋体" w:eastAsia="仿宋_GB2312" w:cs="宋体"/>
          <w:kern w:val="0"/>
          <w:sz w:val="24"/>
        </w:rPr>
        <w:t>（</w:t>
      </w:r>
      <w:r>
        <w:rPr>
          <w:rFonts w:hint="eastAsia" w:ascii="仿宋_GB2312" w:hAnsi="宋体" w:eastAsia="仿宋_GB2312" w:cs="宋体"/>
          <w:kern w:val="0"/>
          <w:sz w:val="24"/>
        </w:rPr>
        <w:t>江津府办发〔201</w:t>
      </w:r>
      <w:r>
        <w:rPr>
          <w:rFonts w:ascii="仿宋_GB2312" w:hAnsi="宋体" w:eastAsia="仿宋_GB2312" w:cs="宋体"/>
          <w:kern w:val="0"/>
          <w:sz w:val="24"/>
        </w:rPr>
        <w:t>9</w:t>
      </w:r>
      <w:r>
        <w:rPr>
          <w:rFonts w:hint="eastAsia" w:ascii="仿宋_GB2312" w:hAnsi="宋体" w:eastAsia="仿宋_GB2312" w:cs="宋体"/>
          <w:kern w:val="0"/>
          <w:sz w:val="24"/>
        </w:rPr>
        <w:t>〕</w:t>
      </w:r>
      <w:r>
        <w:rPr>
          <w:rFonts w:ascii="仿宋_GB2312" w:hAnsi="宋体" w:eastAsia="仿宋_GB2312" w:cs="宋体"/>
          <w:kern w:val="0"/>
          <w:sz w:val="24"/>
        </w:rPr>
        <w:t>77</w:t>
      </w:r>
      <w:r>
        <w:rPr>
          <w:rFonts w:hint="eastAsia" w:ascii="仿宋_GB2312" w:hAnsi="宋体" w:eastAsia="仿宋_GB2312" w:cs="宋体"/>
          <w:kern w:val="0"/>
          <w:sz w:val="24"/>
        </w:rPr>
        <w:t>号</w:t>
      </w:r>
      <w:r>
        <w:rPr>
          <w:rFonts w:ascii="仿宋_GB2312" w:hAnsi="宋体" w:eastAsia="仿宋_GB2312" w:cs="宋体"/>
          <w:kern w:val="0"/>
          <w:sz w:val="24"/>
        </w:rPr>
        <w:t>）</w:t>
      </w:r>
      <w:r>
        <w:rPr>
          <w:rFonts w:hint="eastAsia" w:ascii="仿宋_GB2312" w:hAnsi="宋体" w:eastAsia="仿宋_GB2312" w:cs="宋体"/>
          <w:kern w:val="0"/>
          <w:sz w:val="24"/>
        </w:rPr>
        <w:t>，《</w:t>
      </w:r>
      <w:r>
        <w:rPr>
          <w:rFonts w:ascii="仿宋_GB2312" w:hAnsi="宋体" w:eastAsia="仿宋_GB2312" w:cs="宋体"/>
          <w:kern w:val="0"/>
          <w:sz w:val="24"/>
        </w:rPr>
        <w:t>关于印发江津区支持消费品工业高质量发展政策的通知</w:t>
      </w:r>
      <w:r>
        <w:rPr>
          <w:rFonts w:hint="eastAsia" w:ascii="仿宋_GB2312" w:hAnsi="宋体" w:eastAsia="仿宋_GB2312" w:cs="宋体"/>
          <w:kern w:val="0"/>
          <w:sz w:val="24"/>
        </w:rPr>
        <w:t>》（江津府办发〔</w:t>
      </w:r>
      <w:r>
        <w:rPr>
          <w:rFonts w:ascii="仿宋_GB2312" w:hAnsi="宋体" w:eastAsia="仿宋_GB2312" w:cs="宋体"/>
          <w:kern w:val="0"/>
          <w:sz w:val="24"/>
        </w:rPr>
        <w:t>2020</w:t>
      </w:r>
      <w:r>
        <w:rPr>
          <w:rFonts w:hint="eastAsia" w:ascii="仿宋_GB2312" w:hAnsi="宋体" w:eastAsia="仿宋_GB2312" w:cs="宋体"/>
          <w:kern w:val="0"/>
          <w:sz w:val="24"/>
        </w:rPr>
        <w:t>〕</w:t>
      </w:r>
      <w:r>
        <w:rPr>
          <w:rFonts w:ascii="仿宋_GB2312" w:hAnsi="宋体" w:eastAsia="仿宋_GB2312" w:cs="宋体"/>
          <w:kern w:val="0"/>
          <w:sz w:val="24"/>
        </w:rPr>
        <w:t>172</w:t>
      </w:r>
      <w:r>
        <w:rPr>
          <w:rFonts w:hint="eastAsia" w:ascii="仿宋_GB2312" w:hAnsi="宋体" w:eastAsia="仿宋_GB2312" w:cs="宋体"/>
          <w:kern w:val="0"/>
          <w:sz w:val="24"/>
        </w:rPr>
        <w:t>号）与重庆市江津区科技创新促进高质量发展</w:t>
      </w:r>
      <w:r>
        <w:rPr>
          <w:rFonts w:ascii="仿宋_GB2312" w:hAnsi="宋体" w:eastAsia="仿宋_GB2312" w:cs="宋体"/>
          <w:kern w:val="0"/>
          <w:sz w:val="24"/>
        </w:rPr>
        <w:t>政策</w:t>
      </w:r>
      <w:r>
        <w:rPr>
          <w:rFonts w:hint="eastAsia" w:ascii="仿宋_GB2312" w:hAnsi="宋体" w:eastAsia="仿宋_GB2312" w:cs="宋体"/>
          <w:kern w:val="0"/>
          <w:sz w:val="24"/>
        </w:rPr>
        <w:t>资金评审小组</w:t>
      </w:r>
      <w:r>
        <w:rPr>
          <w:rFonts w:ascii="仿宋_GB2312" w:hAnsi="宋体" w:eastAsia="仿宋_GB2312" w:cs="宋体"/>
          <w:kern w:val="0"/>
          <w:sz w:val="24"/>
        </w:rPr>
        <w:t>办公室</w:t>
      </w:r>
      <w:r>
        <w:rPr>
          <w:rFonts w:hint="eastAsia" w:ascii="仿宋_GB2312" w:hAnsi="宋体" w:eastAsia="仿宋_GB2312" w:cs="宋体"/>
          <w:kern w:val="0"/>
          <w:sz w:val="24"/>
        </w:rPr>
        <w:t>《关于</w:t>
      </w:r>
      <w:r>
        <w:rPr>
          <w:rFonts w:ascii="仿宋_GB2312" w:hAnsi="宋体" w:eastAsia="仿宋_GB2312" w:cs="宋体"/>
          <w:kern w:val="0"/>
          <w:sz w:val="24"/>
        </w:rPr>
        <w:t>开展</w:t>
      </w:r>
      <w:r>
        <w:rPr>
          <w:rFonts w:hint="eastAsia" w:ascii="仿宋_GB2312" w:hAnsi="宋体" w:eastAsia="仿宋_GB2312" w:cs="宋体"/>
          <w:kern w:val="0"/>
          <w:sz w:val="24"/>
        </w:rPr>
        <w:t>2</w:t>
      </w:r>
      <w:r>
        <w:rPr>
          <w:rFonts w:ascii="仿宋_GB2312" w:hAnsi="宋体" w:eastAsia="仿宋_GB2312" w:cs="宋体"/>
          <w:kern w:val="0"/>
          <w:sz w:val="24"/>
        </w:rPr>
        <w:t>020</w:t>
      </w:r>
      <w:r>
        <w:rPr>
          <w:rFonts w:hint="eastAsia" w:ascii="仿宋_GB2312" w:hAnsi="宋体" w:eastAsia="仿宋_GB2312" w:cs="宋体"/>
          <w:kern w:val="0"/>
          <w:sz w:val="24"/>
        </w:rPr>
        <w:t>年度科技创新促进高质量发展</w:t>
      </w:r>
      <w:r>
        <w:rPr>
          <w:rFonts w:ascii="仿宋_GB2312" w:hAnsi="宋体" w:eastAsia="仿宋_GB2312" w:cs="宋体"/>
          <w:kern w:val="0"/>
          <w:sz w:val="24"/>
        </w:rPr>
        <w:t>政策资金项目申报工作</w:t>
      </w:r>
      <w:r>
        <w:rPr>
          <w:rFonts w:hint="eastAsia" w:ascii="仿宋_GB2312" w:hAnsi="宋体" w:eastAsia="仿宋_GB2312" w:cs="宋体"/>
          <w:kern w:val="0"/>
          <w:sz w:val="24"/>
        </w:rPr>
        <w:t>的通知》文件内容。对项目申报评审、申请资料与核定、监督管理等方面进行了明确。</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但上述文件内容缺失部分重要条款，如：未明确在收到申报资料后多少工作日内开展评审工作，以及评审工作完成时间，后期监督中未明确如何开展监督工作等。</w:t>
      </w:r>
    </w:p>
    <w:p>
      <w:pPr>
        <w:widowControl/>
        <w:spacing w:line="360" w:lineRule="auto"/>
        <w:ind w:firstLine="470"/>
        <w:jc w:val="left"/>
        <w:rPr>
          <w:rFonts w:ascii="仿宋_GB2312" w:hAnsi="仿宋_GB2312" w:eastAsia="仿宋_GB2312" w:cs="仿宋_GB2312"/>
          <w:sz w:val="24"/>
        </w:rPr>
      </w:pPr>
      <w:r>
        <w:rPr>
          <w:rFonts w:hint="eastAsia" w:ascii="仿宋_GB2312" w:hAnsi="仿宋_GB2312" w:eastAsia="仿宋_GB2312" w:cs="仿宋_GB2312"/>
          <w:sz w:val="24"/>
        </w:rPr>
        <w:t>业务管理制度健全性</w:t>
      </w:r>
      <w:r>
        <w:rPr>
          <w:rFonts w:hint="eastAsia" w:ascii="仿宋_GB2312" w:hAnsi="宋体" w:eastAsia="仿宋_GB2312" w:cs="宋体"/>
          <w:kern w:val="0"/>
          <w:sz w:val="24"/>
        </w:rPr>
        <w:t>总分4分，得分2分，主要扣分原因相关制度文件缺少部分重要条款。</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（2）制度执行的有效性</w:t>
      </w:r>
    </w:p>
    <w:p>
      <w:pPr>
        <w:widowControl/>
        <w:spacing w:line="360" w:lineRule="auto"/>
        <w:ind w:firstLine="470"/>
        <w:jc w:val="left"/>
        <w:rPr>
          <w:rFonts w:ascii="仿宋_GB2312" w:hAnsi="仿宋_GB2312" w:eastAsia="仿宋_GB2312" w:cs="仿宋_GB2312"/>
          <w:sz w:val="24"/>
        </w:rPr>
      </w:pPr>
      <w:r>
        <w:rPr>
          <w:rFonts w:hint="eastAsia" w:ascii="仿宋_GB2312" w:hAnsi="仿宋_GB2312" w:eastAsia="仿宋_GB2312" w:cs="仿宋_GB2312"/>
          <w:sz w:val="24"/>
        </w:rPr>
        <w:t>根据</w:t>
      </w:r>
      <w:r>
        <w:rPr>
          <w:rFonts w:hint="eastAsia" w:ascii="仿宋_GB2312" w:hAnsi="宋体" w:eastAsia="仿宋_GB2312" w:cs="宋体"/>
          <w:kern w:val="0"/>
          <w:sz w:val="24"/>
        </w:rPr>
        <w:t>重庆市江津区人民政府办公室《</w:t>
      </w:r>
      <w:r>
        <w:rPr>
          <w:rFonts w:ascii="仿宋_GB2312" w:hAnsi="宋体" w:eastAsia="仿宋_GB2312" w:cs="宋体"/>
          <w:kern w:val="0"/>
          <w:sz w:val="24"/>
        </w:rPr>
        <w:t>关于印发江津区科技创新促进高质量发展10条激励政策实施细则（试行）的通知</w:t>
      </w:r>
      <w:r>
        <w:rPr>
          <w:rFonts w:hint="eastAsia" w:ascii="仿宋_GB2312" w:hAnsi="宋体" w:eastAsia="仿宋_GB2312" w:cs="宋体"/>
          <w:kern w:val="0"/>
          <w:sz w:val="24"/>
        </w:rPr>
        <w:t>》</w:t>
      </w:r>
      <w:r>
        <w:rPr>
          <w:rFonts w:ascii="仿宋_GB2312" w:hAnsi="宋体" w:eastAsia="仿宋_GB2312" w:cs="宋体"/>
          <w:kern w:val="0"/>
          <w:sz w:val="24"/>
        </w:rPr>
        <w:t>（</w:t>
      </w:r>
      <w:r>
        <w:rPr>
          <w:rFonts w:hint="eastAsia" w:ascii="仿宋_GB2312" w:hAnsi="宋体" w:eastAsia="仿宋_GB2312" w:cs="宋体"/>
          <w:kern w:val="0"/>
          <w:sz w:val="24"/>
        </w:rPr>
        <w:t>江津府办发〔201</w:t>
      </w:r>
      <w:r>
        <w:rPr>
          <w:rFonts w:ascii="仿宋_GB2312" w:hAnsi="宋体" w:eastAsia="仿宋_GB2312" w:cs="宋体"/>
          <w:kern w:val="0"/>
          <w:sz w:val="24"/>
        </w:rPr>
        <w:t>9</w:t>
      </w:r>
      <w:r>
        <w:rPr>
          <w:rFonts w:hint="eastAsia" w:ascii="仿宋_GB2312" w:hAnsi="宋体" w:eastAsia="仿宋_GB2312" w:cs="宋体"/>
          <w:kern w:val="0"/>
          <w:sz w:val="24"/>
        </w:rPr>
        <w:t>〕</w:t>
      </w:r>
      <w:r>
        <w:rPr>
          <w:rFonts w:ascii="仿宋_GB2312" w:hAnsi="宋体" w:eastAsia="仿宋_GB2312" w:cs="宋体"/>
          <w:kern w:val="0"/>
          <w:sz w:val="24"/>
        </w:rPr>
        <w:t>77</w:t>
      </w:r>
      <w:r>
        <w:rPr>
          <w:rFonts w:hint="eastAsia" w:ascii="仿宋_GB2312" w:hAnsi="宋体" w:eastAsia="仿宋_GB2312" w:cs="宋体"/>
          <w:kern w:val="0"/>
          <w:sz w:val="24"/>
        </w:rPr>
        <w:t>号</w:t>
      </w:r>
      <w:r>
        <w:rPr>
          <w:rFonts w:ascii="仿宋_GB2312" w:hAnsi="宋体" w:eastAsia="仿宋_GB2312" w:cs="宋体"/>
          <w:kern w:val="0"/>
          <w:sz w:val="24"/>
        </w:rPr>
        <w:t>）</w:t>
      </w:r>
      <w:r>
        <w:rPr>
          <w:rFonts w:hint="eastAsia" w:ascii="仿宋_GB2312" w:hAnsi="宋体" w:eastAsia="仿宋_GB2312" w:cs="宋体"/>
          <w:kern w:val="0"/>
          <w:sz w:val="24"/>
        </w:rPr>
        <w:t>第四章监督管理第十七条“补助资金专款专项用于研发投入。”，实际</w:t>
      </w:r>
      <w:r>
        <w:rPr>
          <w:rFonts w:hint="eastAsia" w:ascii="仿宋_GB2312" w:hAnsi="仿宋_GB2312" w:eastAsia="仿宋_GB2312" w:cs="仿宋_GB2312"/>
          <w:sz w:val="24"/>
        </w:rPr>
        <w:t>区科技局下设规划发展科对项目进行全程跟踪管理</w:t>
      </w:r>
      <w:r>
        <w:rPr>
          <w:rFonts w:hint="eastAsia" w:ascii="仿宋_GB2312" w:hAnsi="宋体" w:eastAsia="仿宋_GB2312" w:cs="宋体"/>
          <w:kern w:val="0"/>
          <w:sz w:val="24"/>
        </w:rPr>
        <w:t>，但未关注补助资金的后续使用情况，未对项目进行后期跟踪管理监督</w:t>
      </w:r>
      <w:r>
        <w:rPr>
          <w:rFonts w:hint="eastAsia" w:ascii="仿宋_GB2312" w:hAnsi="仿宋_GB2312" w:eastAsia="仿宋_GB2312" w:cs="仿宋_GB2312"/>
          <w:sz w:val="24"/>
        </w:rPr>
        <w:t>。</w:t>
      </w:r>
    </w:p>
    <w:p>
      <w:pPr>
        <w:widowControl/>
        <w:spacing w:line="360" w:lineRule="auto"/>
        <w:ind w:firstLine="470"/>
        <w:jc w:val="left"/>
        <w:rPr>
          <w:rFonts w:ascii="仿宋_GB2312" w:hAnsi="宋体" w:eastAsia="仿宋_GB2312" w:cs="宋体"/>
          <w:kern w:val="0"/>
          <w:sz w:val="24"/>
        </w:rPr>
      </w:pPr>
      <w:r>
        <w:rPr>
          <w:rFonts w:hint="eastAsia" w:ascii="仿宋_GB2312" w:hAnsi="宋体" w:eastAsia="仿宋_GB2312" w:cs="宋体"/>
          <w:kern w:val="0"/>
          <w:sz w:val="24"/>
        </w:rPr>
        <w:t>区科技局按照重庆市江津区人民政府办公室《</w:t>
      </w:r>
      <w:r>
        <w:rPr>
          <w:rFonts w:ascii="仿宋_GB2312" w:hAnsi="宋体" w:eastAsia="仿宋_GB2312" w:cs="宋体"/>
          <w:kern w:val="0"/>
          <w:sz w:val="24"/>
        </w:rPr>
        <w:t>关于印发江津区科技创新促进高质量发展10条激励政策实施细则（试行）的通知</w:t>
      </w:r>
      <w:r>
        <w:rPr>
          <w:rFonts w:hint="eastAsia" w:ascii="仿宋_GB2312" w:hAnsi="宋体" w:eastAsia="仿宋_GB2312" w:cs="宋体"/>
          <w:kern w:val="0"/>
          <w:sz w:val="24"/>
        </w:rPr>
        <w:t>》</w:t>
      </w:r>
      <w:r>
        <w:rPr>
          <w:rFonts w:ascii="仿宋_GB2312" w:hAnsi="宋体" w:eastAsia="仿宋_GB2312" w:cs="宋体"/>
          <w:kern w:val="0"/>
          <w:sz w:val="24"/>
        </w:rPr>
        <w:t>（</w:t>
      </w:r>
      <w:r>
        <w:rPr>
          <w:rFonts w:hint="eastAsia" w:ascii="仿宋_GB2312" w:hAnsi="宋体" w:eastAsia="仿宋_GB2312" w:cs="宋体"/>
          <w:kern w:val="0"/>
          <w:sz w:val="24"/>
        </w:rPr>
        <w:t>江津府办发〔201</w:t>
      </w:r>
      <w:r>
        <w:rPr>
          <w:rFonts w:ascii="仿宋_GB2312" w:hAnsi="宋体" w:eastAsia="仿宋_GB2312" w:cs="宋体"/>
          <w:kern w:val="0"/>
          <w:sz w:val="24"/>
        </w:rPr>
        <w:t>9</w:t>
      </w:r>
      <w:r>
        <w:rPr>
          <w:rFonts w:hint="eastAsia" w:ascii="仿宋_GB2312" w:hAnsi="宋体" w:eastAsia="仿宋_GB2312" w:cs="宋体"/>
          <w:kern w:val="0"/>
          <w:sz w:val="24"/>
        </w:rPr>
        <w:t>〕</w:t>
      </w:r>
      <w:r>
        <w:rPr>
          <w:rFonts w:ascii="仿宋_GB2312" w:hAnsi="宋体" w:eastAsia="仿宋_GB2312" w:cs="宋体"/>
          <w:kern w:val="0"/>
          <w:sz w:val="24"/>
        </w:rPr>
        <w:t>77</w:t>
      </w:r>
      <w:r>
        <w:rPr>
          <w:rFonts w:hint="eastAsia" w:ascii="仿宋_GB2312" w:hAnsi="宋体" w:eastAsia="仿宋_GB2312" w:cs="宋体"/>
          <w:kern w:val="0"/>
          <w:sz w:val="24"/>
        </w:rPr>
        <w:t>号</w:t>
      </w:r>
      <w:r>
        <w:rPr>
          <w:rFonts w:ascii="仿宋_GB2312" w:hAnsi="宋体" w:eastAsia="仿宋_GB2312" w:cs="宋体"/>
          <w:kern w:val="0"/>
          <w:sz w:val="24"/>
        </w:rPr>
        <w:t>）与</w:t>
      </w:r>
      <w:r>
        <w:rPr>
          <w:rFonts w:hint="eastAsia" w:ascii="仿宋_GB2312" w:hAnsi="宋体" w:eastAsia="仿宋_GB2312" w:cs="宋体"/>
          <w:kern w:val="0"/>
          <w:sz w:val="24"/>
        </w:rPr>
        <w:t>《</w:t>
      </w:r>
      <w:r>
        <w:rPr>
          <w:rFonts w:ascii="仿宋_GB2312" w:hAnsi="宋体" w:eastAsia="仿宋_GB2312" w:cs="宋体"/>
          <w:kern w:val="0"/>
          <w:sz w:val="24"/>
        </w:rPr>
        <w:t>关于印发江津区支持消费品工业高质量发展政策的通知</w:t>
      </w:r>
      <w:r>
        <w:rPr>
          <w:rFonts w:hint="eastAsia" w:ascii="仿宋_GB2312" w:hAnsi="宋体" w:eastAsia="仿宋_GB2312" w:cs="宋体"/>
          <w:kern w:val="0"/>
          <w:sz w:val="24"/>
        </w:rPr>
        <w:t>》（江津府办发〔</w:t>
      </w:r>
      <w:r>
        <w:rPr>
          <w:rFonts w:ascii="仿宋_GB2312" w:hAnsi="宋体" w:eastAsia="仿宋_GB2312" w:cs="宋体"/>
          <w:kern w:val="0"/>
          <w:sz w:val="24"/>
        </w:rPr>
        <w:t>2020</w:t>
      </w:r>
      <w:r>
        <w:rPr>
          <w:rFonts w:hint="eastAsia" w:ascii="仿宋_GB2312" w:hAnsi="宋体" w:eastAsia="仿宋_GB2312" w:cs="宋体"/>
          <w:kern w:val="0"/>
          <w:sz w:val="24"/>
        </w:rPr>
        <w:t>〕</w:t>
      </w:r>
      <w:r>
        <w:rPr>
          <w:rFonts w:ascii="仿宋_GB2312" w:hAnsi="宋体" w:eastAsia="仿宋_GB2312" w:cs="宋体"/>
          <w:kern w:val="0"/>
          <w:sz w:val="24"/>
        </w:rPr>
        <w:t>172</w:t>
      </w:r>
      <w:r>
        <w:rPr>
          <w:rFonts w:hint="eastAsia" w:ascii="仿宋_GB2312" w:hAnsi="宋体" w:eastAsia="仿宋_GB2312" w:cs="宋体"/>
          <w:kern w:val="0"/>
          <w:sz w:val="24"/>
        </w:rPr>
        <w:t>号）</w:t>
      </w:r>
      <w:r>
        <w:rPr>
          <w:rFonts w:ascii="仿宋_GB2312" w:hAnsi="宋体" w:eastAsia="仿宋_GB2312" w:cs="宋体"/>
          <w:kern w:val="0"/>
          <w:sz w:val="24"/>
        </w:rPr>
        <w:t>的要求成立江津区科技创新促进高质量发展补助资金评审小组</w:t>
      </w:r>
      <w:r>
        <w:rPr>
          <w:rFonts w:hint="eastAsia" w:ascii="仿宋_GB2312" w:hAnsi="宋体" w:eastAsia="仿宋_GB2312" w:cs="宋体"/>
          <w:kern w:val="0"/>
          <w:sz w:val="24"/>
        </w:rPr>
        <w:t>，</w:t>
      </w:r>
      <w:r>
        <w:rPr>
          <w:rFonts w:ascii="仿宋_GB2312" w:hAnsi="宋体" w:eastAsia="仿宋_GB2312" w:cs="宋体"/>
          <w:kern w:val="0"/>
          <w:sz w:val="24"/>
        </w:rPr>
        <w:t>评审小组于</w:t>
      </w:r>
      <w:r>
        <w:rPr>
          <w:rFonts w:hint="eastAsia" w:ascii="仿宋_GB2312" w:hAnsi="宋体" w:eastAsia="仿宋_GB2312" w:cs="宋体"/>
          <w:kern w:val="0"/>
          <w:sz w:val="24"/>
        </w:rPr>
        <w:t>2023年1月3日召开评审会议，并将评审结果在</w:t>
      </w:r>
      <w:r>
        <w:rPr>
          <w:rFonts w:ascii="仿宋_GB2312" w:hAnsi="宋体" w:eastAsia="仿宋_GB2312" w:cs="宋体"/>
          <w:kern w:val="0"/>
          <w:sz w:val="24"/>
        </w:rPr>
        <w:t>江津区人民政府网站</w:t>
      </w:r>
      <w:r>
        <w:rPr>
          <w:rFonts w:hint="eastAsia" w:ascii="仿宋_GB2312" w:hAnsi="宋体" w:eastAsia="仿宋_GB2312" w:cs="宋体"/>
          <w:kern w:val="0"/>
          <w:sz w:val="24"/>
        </w:rPr>
        <w:t>进行公示，公示天数为5天。</w:t>
      </w:r>
    </w:p>
    <w:p>
      <w:pPr>
        <w:widowControl/>
        <w:spacing w:line="360" w:lineRule="auto"/>
        <w:ind w:firstLine="470"/>
        <w:jc w:val="left"/>
        <w:rPr>
          <w:rFonts w:ascii="仿宋_GB2312" w:hAnsi="宋体" w:eastAsia="仿宋_GB2312" w:cs="宋体"/>
          <w:kern w:val="0"/>
          <w:sz w:val="24"/>
        </w:rPr>
      </w:pPr>
      <w:r>
        <w:rPr>
          <w:rFonts w:hint="eastAsia" w:ascii="仿宋_GB2312" w:hAnsi="宋体" w:eastAsia="仿宋_GB2312" w:cs="宋体"/>
          <w:kern w:val="0"/>
          <w:sz w:val="24"/>
        </w:rPr>
        <w:t>经对项目档案进行检查发现，档案资料齐全均按照重庆市江津区科技创新促进高质量发展</w:t>
      </w:r>
      <w:r>
        <w:rPr>
          <w:rFonts w:ascii="仿宋_GB2312" w:hAnsi="宋体" w:eastAsia="仿宋_GB2312" w:cs="宋体"/>
          <w:kern w:val="0"/>
          <w:sz w:val="24"/>
        </w:rPr>
        <w:t>政策</w:t>
      </w:r>
      <w:r>
        <w:rPr>
          <w:rFonts w:hint="eastAsia" w:ascii="仿宋_GB2312" w:hAnsi="宋体" w:eastAsia="仿宋_GB2312" w:cs="宋体"/>
          <w:kern w:val="0"/>
          <w:sz w:val="24"/>
        </w:rPr>
        <w:t>资金评审小组</w:t>
      </w:r>
      <w:r>
        <w:rPr>
          <w:rFonts w:ascii="仿宋_GB2312" w:hAnsi="宋体" w:eastAsia="仿宋_GB2312" w:cs="宋体"/>
          <w:kern w:val="0"/>
          <w:sz w:val="24"/>
        </w:rPr>
        <w:t>办公室</w:t>
      </w:r>
      <w:r>
        <w:rPr>
          <w:rFonts w:hint="eastAsia" w:ascii="仿宋_GB2312" w:hAnsi="宋体" w:eastAsia="仿宋_GB2312" w:cs="宋体"/>
          <w:kern w:val="0"/>
          <w:sz w:val="24"/>
        </w:rPr>
        <w:t>《关于</w:t>
      </w:r>
      <w:r>
        <w:rPr>
          <w:rFonts w:ascii="仿宋_GB2312" w:hAnsi="宋体" w:eastAsia="仿宋_GB2312" w:cs="宋体"/>
          <w:kern w:val="0"/>
          <w:sz w:val="24"/>
        </w:rPr>
        <w:t>开展</w:t>
      </w:r>
      <w:r>
        <w:rPr>
          <w:rFonts w:hint="eastAsia" w:ascii="仿宋_GB2312" w:hAnsi="宋体" w:eastAsia="仿宋_GB2312" w:cs="宋体"/>
          <w:kern w:val="0"/>
          <w:sz w:val="24"/>
        </w:rPr>
        <w:t>2</w:t>
      </w:r>
      <w:r>
        <w:rPr>
          <w:rFonts w:ascii="仿宋_GB2312" w:hAnsi="宋体" w:eastAsia="仿宋_GB2312" w:cs="宋体"/>
          <w:kern w:val="0"/>
          <w:sz w:val="24"/>
        </w:rPr>
        <w:t>020</w:t>
      </w:r>
      <w:r>
        <w:rPr>
          <w:rFonts w:hint="eastAsia" w:ascii="仿宋_GB2312" w:hAnsi="宋体" w:eastAsia="仿宋_GB2312" w:cs="宋体"/>
          <w:kern w:val="0"/>
          <w:sz w:val="24"/>
        </w:rPr>
        <w:t>年度科技创新促进高质量发展</w:t>
      </w:r>
      <w:r>
        <w:rPr>
          <w:rFonts w:ascii="仿宋_GB2312" w:hAnsi="宋体" w:eastAsia="仿宋_GB2312" w:cs="宋体"/>
          <w:kern w:val="0"/>
          <w:sz w:val="24"/>
        </w:rPr>
        <w:t>政策资金项目申报工作</w:t>
      </w:r>
      <w:r>
        <w:rPr>
          <w:rFonts w:hint="eastAsia" w:ascii="仿宋_GB2312" w:hAnsi="宋体" w:eastAsia="仿宋_GB2312" w:cs="宋体"/>
          <w:kern w:val="0"/>
          <w:sz w:val="24"/>
        </w:rPr>
        <w:t>的通知》进行装订。</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Times New Roman" w:eastAsia="仿宋_GB2312"/>
          <w:sz w:val="24"/>
        </w:rPr>
        <w:t>制度执行的有效性</w:t>
      </w:r>
      <w:r>
        <w:rPr>
          <w:rFonts w:hint="eastAsia" w:ascii="仿宋_GB2312" w:hAnsi="宋体" w:eastAsia="仿宋_GB2312" w:cs="宋体"/>
          <w:kern w:val="0"/>
          <w:sz w:val="24"/>
        </w:rPr>
        <w:t>总分</w:t>
      </w:r>
      <w:r>
        <w:rPr>
          <w:rFonts w:ascii="仿宋_GB2312" w:hAnsi="宋体" w:eastAsia="仿宋_GB2312" w:cs="宋体"/>
          <w:kern w:val="0"/>
          <w:sz w:val="24"/>
        </w:rPr>
        <w:t>9</w:t>
      </w:r>
      <w:r>
        <w:rPr>
          <w:rFonts w:hint="eastAsia" w:ascii="仿宋_GB2312" w:hAnsi="宋体" w:eastAsia="仿宋_GB2312" w:cs="宋体"/>
          <w:kern w:val="0"/>
          <w:sz w:val="24"/>
        </w:rPr>
        <w:t>分，得分</w:t>
      </w:r>
      <w:r>
        <w:rPr>
          <w:rFonts w:ascii="仿宋_GB2312" w:hAnsi="宋体" w:eastAsia="仿宋_GB2312" w:cs="宋体"/>
          <w:kern w:val="0"/>
          <w:sz w:val="24"/>
        </w:rPr>
        <w:t>7</w:t>
      </w:r>
      <w:r>
        <w:rPr>
          <w:rFonts w:hint="eastAsia" w:ascii="仿宋_GB2312" w:hAnsi="宋体" w:eastAsia="仿宋_GB2312" w:cs="宋体"/>
          <w:kern w:val="0"/>
          <w:sz w:val="24"/>
        </w:rPr>
        <w:t>分，扣分</w:t>
      </w:r>
      <w:r>
        <w:rPr>
          <w:rFonts w:ascii="仿宋_GB2312" w:hAnsi="宋体" w:eastAsia="仿宋_GB2312" w:cs="宋体"/>
          <w:kern w:val="0"/>
          <w:sz w:val="24"/>
        </w:rPr>
        <w:t>2</w:t>
      </w:r>
      <w:r>
        <w:rPr>
          <w:rFonts w:hint="eastAsia" w:ascii="仿宋_GB2312" w:hAnsi="宋体" w:eastAsia="仿宋_GB2312" w:cs="宋体"/>
          <w:kern w:val="0"/>
          <w:sz w:val="24"/>
        </w:rPr>
        <w:t>分，扣分主要原因为未对补助资金实施事后监督。</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（3）绩效自评</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区科技局对2020年度科技创新激励扶持补助项目资金绩效进行了自评，从产出数量、产出时效、经济效益、社会效益、可持续影响指标、服务对象满意度对项目资金进行了自评，自评得分</w:t>
      </w:r>
      <w:r>
        <w:rPr>
          <w:rFonts w:ascii="仿宋_GB2312" w:hAnsi="宋体" w:eastAsia="仿宋_GB2312" w:cs="宋体"/>
          <w:kern w:val="0"/>
          <w:sz w:val="24"/>
        </w:rPr>
        <w:t>97.34</w:t>
      </w:r>
      <w:r>
        <w:rPr>
          <w:rFonts w:hint="eastAsia" w:ascii="仿宋_GB2312" w:hAnsi="宋体" w:eastAsia="仿宋_GB2312" w:cs="宋体"/>
          <w:kern w:val="0"/>
          <w:sz w:val="24"/>
        </w:rPr>
        <w:t>分。</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绩效自评总分2分，得分2分。</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2</w:t>
      </w:r>
      <w:r>
        <w:rPr>
          <w:rFonts w:hint="eastAsia" w:ascii="仿宋_GB2312" w:hAnsi="宋体" w:eastAsia="仿宋_GB2312" w:cs="宋体"/>
          <w:kern w:val="0"/>
          <w:sz w:val="24"/>
        </w:rPr>
        <w:t>.资金管理</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（1）资金管理制度完整性</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区科技局根据</w:t>
      </w:r>
      <w:r>
        <w:rPr>
          <w:rFonts w:hint="eastAsia" w:ascii="仿宋_GB2312" w:hAnsi="宋体" w:eastAsia="仿宋_GB2312" w:cs="宋体"/>
          <w:kern w:val="0"/>
          <w:sz w:val="24"/>
        </w:rPr>
        <w:t>重庆市江津区人民政府办公室《</w:t>
      </w:r>
      <w:r>
        <w:rPr>
          <w:rFonts w:ascii="仿宋_GB2312" w:hAnsi="宋体" w:eastAsia="仿宋_GB2312" w:cs="宋体"/>
          <w:kern w:val="0"/>
          <w:sz w:val="24"/>
        </w:rPr>
        <w:t>关于印发江津区高质量发展激励专项资金管理办法的通知</w:t>
      </w:r>
      <w:r>
        <w:rPr>
          <w:rFonts w:hint="eastAsia" w:ascii="仿宋_GB2312" w:hAnsi="宋体" w:eastAsia="仿宋_GB2312" w:cs="宋体"/>
          <w:kern w:val="0"/>
          <w:sz w:val="24"/>
        </w:rPr>
        <w:t>》（江津府办发〔201</w:t>
      </w:r>
      <w:r>
        <w:rPr>
          <w:rFonts w:ascii="仿宋_GB2312" w:hAnsi="宋体" w:eastAsia="仿宋_GB2312" w:cs="宋体"/>
          <w:kern w:val="0"/>
          <w:sz w:val="24"/>
        </w:rPr>
        <w:t>9</w:t>
      </w:r>
      <w:r>
        <w:rPr>
          <w:rFonts w:hint="eastAsia" w:ascii="仿宋_GB2312" w:hAnsi="宋体" w:eastAsia="仿宋_GB2312" w:cs="宋体"/>
          <w:kern w:val="0"/>
          <w:sz w:val="24"/>
        </w:rPr>
        <w:t>〕</w:t>
      </w:r>
      <w:r>
        <w:rPr>
          <w:rFonts w:ascii="仿宋_GB2312" w:hAnsi="宋体" w:eastAsia="仿宋_GB2312" w:cs="宋体"/>
          <w:kern w:val="0"/>
          <w:sz w:val="24"/>
        </w:rPr>
        <w:t>75</w:t>
      </w:r>
      <w:r>
        <w:rPr>
          <w:rFonts w:hint="eastAsia" w:ascii="仿宋_GB2312" w:hAnsi="宋体" w:eastAsia="仿宋_GB2312" w:cs="宋体"/>
          <w:kern w:val="0"/>
          <w:sz w:val="24"/>
        </w:rPr>
        <w:t>号）</w:t>
      </w:r>
      <w:r>
        <w:rPr>
          <w:rFonts w:hint="eastAsia" w:ascii="仿宋_GB2312" w:hAnsi="仿宋_GB2312" w:eastAsia="仿宋_GB2312" w:cs="仿宋_GB2312"/>
          <w:sz w:val="24"/>
        </w:rPr>
        <w:t>对本项目支出的报销流程及程序的规定进行执行。</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宋体" w:eastAsia="仿宋_GB2312" w:cs="宋体"/>
          <w:kern w:val="0"/>
          <w:sz w:val="24"/>
        </w:rPr>
        <w:t>资金管理制度完整性总分1分，得分1分。</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（2）资金使用合规性</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仿宋_GB2312" w:eastAsia="仿宋_GB2312" w:cs="仿宋_GB2312"/>
          <w:sz w:val="24"/>
        </w:rPr>
        <w:t>区科技局</w:t>
      </w:r>
      <w:r>
        <w:rPr>
          <w:rFonts w:hint="eastAsia" w:ascii="仿宋_GB2312" w:hAnsi="宋体" w:eastAsia="仿宋_GB2312" w:cs="宋体"/>
          <w:kern w:val="0"/>
          <w:sz w:val="24"/>
        </w:rPr>
        <w:t>资金使用履行了审批程序，审批手续到位；资金拨付程序规范，拨付及时并且方式符合规定；符合项目预算批复与规定的用途；未发现截留、挤占、挪用、虚列支出等情况，区科技局项目资金支付凭据合规，但财务凭证尚未进行装订，凭证不完整；</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资金使用合规性总分</w:t>
      </w:r>
      <w:r>
        <w:rPr>
          <w:rFonts w:ascii="仿宋_GB2312" w:hAnsi="宋体" w:eastAsia="仿宋_GB2312" w:cs="宋体"/>
          <w:kern w:val="0"/>
          <w:sz w:val="24"/>
        </w:rPr>
        <w:t>4</w:t>
      </w:r>
      <w:r>
        <w:rPr>
          <w:rFonts w:hint="eastAsia" w:ascii="仿宋_GB2312" w:hAnsi="宋体" w:eastAsia="仿宋_GB2312" w:cs="宋体"/>
          <w:kern w:val="0"/>
          <w:sz w:val="24"/>
        </w:rPr>
        <w:t>分，得分3.5分，扣分主要原因为财务凭证未装订。</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（三）产出</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根据《</w:t>
      </w:r>
      <w:r>
        <w:rPr>
          <w:rFonts w:ascii="仿宋_GB2312" w:hAnsi="仿宋_GB2312" w:eastAsia="仿宋_GB2312" w:cs="仿宋_GB2312"/>
          <w:sz w:val="24"/>
        </w:rPr>
        <w:t>2020</w:t>
      </w:r>
      <w:r>
        <w:rPr>
          <w:rFonts w:hint="eastAsia" w:ascii="仿宋_GB2312" w:hAnsi="仿宋_GB2312" w:eastAsia="仿宋_GB2312" w:cs="仿宋_GB2312"/>
          <w:sz w:val="24"/>
        </w:rPr>
        <w:t>年科技创新高质量发展项目绩效评价指标》，产出指标下设产出数量、产出质量、产出时效</w:t>
      </w:r>
      <w:r>
        <w:rPr>
          <w:rFonts w:ascii="仿宋_GB2312" w:hAnsi="仿宋_GB2312" w:eastAsia="仿宋_GB2312" w:cs="仿宋_GB2312"/>
          <w:sz w:val="24"/>
        </w:rPr>
        <w:t>3</w:t>
      </w:r>
      <w:r>
        <w:rPr>
          <w:rFonts w:hint="eastAsia" w:ascii="仿宋_GB2312" w:hAnsi="仿宋_GB2312" w:eastAsia="仿宋_GB2312" w:cs="仿宋_GB2312"/>
          <w:sz w:val="24"/>
        </w:rPr>
        <w:t>个二级指标，激励数量、科技型企业数量、高新技术企业数量、创新平台数量、激励企业的精准度、研发投入的转换性、企业永续经营情况、项目完成及时性</w:t>
      </w:r>
      <w:r>
        <w:rPr>
          <w:rFonts w:ascii="仿宋_GB2312" w:hAnsi="仿宋_GB2312" w:eastAsia="仿宋_GB2312" w:cs="仿宋_GB2312"/>
          <w:sz w:val="24"/>
        </w:rPr>
        <w:t>8</w:t>
      </w:r>
      <w:r>
        <w:rPr>
          <w:rFonts w:hint="eastAsia" w:ascii="仿宋_GB2312" w:hAnsi="仿宋_GB2312" w:eastAsia="仿宋_GB2312" w:cs="仿宋_GB2312"/>
          <w:sz w:val="24"/>
        </w:rPr>
        <w:t>个三级指标。根据评价指标内容，对应设置评价标准。产出指标权重分值</w:t>
      </w:r>
      <w:r>
        <w:rPr>
          <w:rFonts w:ascii="仿宋_GB2312" w:hAnsi="仿宋_GB2312" w:eastAsia="仿宋_GB2312" w:cs="仿宋_GB2312"/>
          <w:sz w:val="24"/>
        </w:rPr>
        <w:t>35.00</w:t>
      </w:r>
      <w:r>
        <w:rPr>
          <w:rFonts w:hint="eastAsia" w:ascii="仿宋_GB2312" w:hAnsi="仿宋_GB2312" w:eastAsia="仿宋_GB2312" w:cs="仿宋_GB2312"/>
          <w:sz w:val="24"/>
        </w:rPr>
        <w:t>分。</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经执行绩效评价程序，项目产出评价实际得分</w:t>
      </w:r>
      <w:r>
        <w:rPr>
          <w:rFonts w:ascii="仿宋_GB2312" w:hAnsi="仿宋_GB2312" w:eastAsia="仿宋_GB2312" w:cs="仿宋_GB2312"/>
          <w:sz w:val="24"/>
        </w:rPr>
        <w:t>31.50</w:t>
      </w:r>
      <w:r>
        <w:rPr>
          <w:rFonts w:hint="eastAsia" w:ascii="仿宋_GB2312" w:hAnsi="仿宋_GB2312" w:eastAsia="仿宋_GB2312" w:cs="仿宋_GB2312"/>
          <w:sz w:val="24"/>
        </w:rPr>
        <w:t>分，扣分</w:t>
      </w:r>
      <w:r>
        <w:rPr>
          <w:rFonts w:ascii="仿宋_GB2312" w:hAnsi="仿宋_GB2312" w:eastAsia="仿宋_GB2312" w:cs="仿宋_GB2312"/>
          <w:sz w:val="24"/>
        </w:rPr>
        <w:t>3.50</w:t>
      </w:r>
      <w:r>
        <w:rPr>
          <w:rFonts w:hint="eastAsia" w:ascii="仿宋_GB2312" w:hAnsi="仿宋_GB2312" w:eastAsia="仿宋_GB2312" w:cs="仿宋_GB2312"/>
          <w:sz w:val="24"/>
        </w:rPr>
        <w:t>分，得分率</w:t>
      </w:r>
      <w:r>
        <w:rPr>
          <w:rFonts w:ascii="仿宋_GB2312" w:hAnsi="仿宋_GB2312" w:eastAsia="仿宋_GB2312" w:cs="仿宋_GB2312"/>
          <w:sz w:val="24"/>
        </w:rPr>
        <w:t>90%</w:t>
      </w:r>
      <w:r>
        <w:rPr>
          <w:rFonts w:hint="eastAsia" w:ascii="仿宋_GB2312" w:hAnsi="仿宋_GB2312" w:eastAsia="仿宋_GB2312" w:cs="仿宋_GB2312"/>
          <w:sz w:val="24"/>
        </w:rPr>
        <w:t>。扣分原因系项目评审通过企业存在已注销情况、项目评审及资金拨付期间过长。</w:t>
      </w:r>
    </w:p>
    <w:p>
      <w:pPr>
        <w:widowControl/>
        <w:spacing w:line="360" w:lineRule="auto"/>
        <w:ind w:firstLine="480" w:firstLineChars="200"/>
        <w:jc w:val="left"/>
        <w:rPr>
          <w:rFonts w:ascii="仿宋_GB2312" w:hAnsi="Times New Roman" w:eastAsia="仿宋_GB2312"/>
          <w:sz w:val="24"/>
        </w:rPr>
      </w:pPr>
      <w:r>
        <w:rPr>
          <w:rFonts w:ascii="仿宋_GB2312" w:hAnsi="Times New Roman" w:eastAsia="仿宋_GB2312"/>
          <w:sz w:val="24"/>
        </w:rPr>
        <w:t>1</w:t>
      </w:r>
      <w:r>
        <w:rPr>
          <w:rFonts w:hint="eastAsia" w:ascii="仿宋_GB2312" w:hAnsi="Times New Roman" w:eastAsia="仿宋_GB2312"/>
          <w:sz w:val="24"/>
        </w:rPr>
        <w:t>.产出数量</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（1）激励企业数量</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2021年提交申报资料企业及院校共计415家，2023年评审通过351家，但重庆树百获教育信息咨询有限公司已进行注销登记，实际应补助企业及院校共计350家，2023年已发放补助给企业及院校共计350家，激励企业数量发放率100%。</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激励企业数量</w:t>
      </w:r>
      <w:r>
        <w:rPr>
          <w:rFonts w:hint="eastAsia" w:ascii="仿宋_GB2312" w:hAnsi="宋体" w:eastAsia="仿宋_GB2312" w:cs="宋体"/>
          <w:kern w:val="0"/>
          <w:sz w:val="24"/>
        </w:rPr>
        <w:t>总分</w:t>
      </w:r>
      <w:r>
        <w:rPr>
          <w:rFonts w:ascii="仿宋_GB2312" w:hAnsi="宋体" w:eastAsia="仿宋_GB2312" w:cs="宋体"/>
          <w:kern w:val="0"/>
          <w:sz w:val="24"/>
        </w:rPr>
        <w:t>4</w:t>
      </w:r>
      <w:r>
        <w:rPr>
          <w:rFonts w:hint="eastAsia" w:ascii="仿宋_GB2312" w:hAnsi="宋体" w:eastAsia="仿宋_GB2312" w:cs="宋体"/>
          <w:kern w:val="0"/>
          <w:sz w:val="24"/>
        </w:rPr>
        <w:t>分，得分</w:t>
      </w:r>
      <w:r>
        <w:rPr>
          <w:rFonts w:ascii="仿宋_GB2312" w:hAnsi="宋体" w:eastAsia="仿宋_GB2312" w:cs="宋体"/>
          <w:kern w:val="0"/>
          <w:sz w:val="24"/>
        </w:rPr>
        <w:t>4</w:t>
      </w:r>
      <w:r>
        <w:rPr>
          <w:rFonts w:hint="eastAsia" w:ascii="仿宋_GB2312" w:hAnsi="宋体" w:eastAsia="仿宋_GB2312" w:cs="宋体"/>
          <w:kern w:val="0"/>
          <w:sz w:val="24"/>
        </w:rPr>
        <w:t>分。</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（2）科技型企业数量</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区科技局设置绩效目标全区2022年科技型企业达到1400家，2022实际达到1678家。</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科技型企业数量</w:t>
      </w:r>
      <w:r>
        <w:rPr>
          <w:rFonts w:hint="eastAsia" w:ascii="仿宋_GB2312" w:hAnsi="宋体" w:eastAsia="仿宋_GB2312" w:cs="宋体"/>
          <w:kern w:val="0"/>
          <w:sz w:val="24"/>
        </w:rPr>
        <w:t>总分</w:t>
      </w:r>
      <w:r>
        <w:rPr>
          <w:rFonts w:ascii="仿宋_GB2312" w:hAnsi="宋体" w:eastAsia="仿宋_GB2312" w:cs="宋体"/>
          <w:kern w:val="0"/>
          <w:sz w:val="24"/>
        </w:rPr>
        <w:t>4</w:t>
      </w:r>
      <w:r>
        <w:rPr>
          <w:rFonts w:hint="eastAsia" w:ascii="仿宋_GB2312" w:hAnsi="宋体" w:eastAsia="仿宋_GB2312" w:cs="宋体"/>
          <w:kern w:val="0"/>
          <w:sz w:val="24"/>
        </w:rPr>
        <w:t>分，得分</w:t>
      </w:r>
      <w:r>
        <w:rPr>
          <w:rFonts w:ascii="仿宋_GB2312" w:hAnsi="宋体" w:eastAsia="仿宋_GB2312" w:cs="宋体"/>
          <w:kern w:val="0"/>
          <w:sz w:val="24"/>
        </w:rPr>
        <w:t>4</w:t>
      </w:r>
      <w:r>
        <w:rPr>
          <w:rFonts w:hint="eastAsia" w:ascii="仿宋_GB2312" w:hAnsi="宋体" w:eastAsia="仿宋_GB2312" w:cs="宋体"/>
          <w:kern w:val="0"/>
          <w:sz w:val="24"/>
        </w:rPr>
        <w:t>分。</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（3）高新技术企业数量</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区科技局设置绩效目标全区2022年高新技术企业达到280家，2022年实际达到351家。</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高新技术企业数量</w:t>
      </w:r>
      <w:r>
        <w:rPr>
          <w:rFonts w:hint="eastAsia" w:ascii="仿宋_GB2312" w:hAnsi="宋体" w:eastAsia="仿宋_GB2312" w:cs="宋体"/>
          <w:kern w:val="0"/>
          <w:sz w:val="24"/>
        </w:rPr>
        <w:t>总分</w:t>
      </w:r>
      <w:r>
        <w:rPr>
          <w:rFonts w:ascii="仿宋_GB2312" w:hAnsi="宋体" w:eastAsia="仿宋_GB2312" w:cs="宋体"/>
          <w:kern w:val="0"/>
          <w:sz w:val="24"/>
        </w:rPr>
        <w:t>4</w:t>
      </w:r>
      <w:r>
        <w:rPr>
          <w:rFonts w:hint="eastAsia" w:ascii="仿宋_GB2312" w:hAnsi="宋体" w:eastAsia="仿宋_GB2312" w:cs="宋体"/>
          <w:kern w:val="0"/>
          <w:sz w:val="24"/>
        </w:rPr>
        <w:t>分，得分</w:t>
      </w:r>
      <w:r>
        <w:rPr>
          <w:rFonts w:ascii="仿宋_GB2312" w:hAnsi="宋体" w:eastAsia="仿宋_GB2312" w:cs="宋体"/>
          <w:kern w:val="0"/>
          <w:sz w:val="24"/>
        </w:rPr>
        <w:t>4</w:t>
      </w:r>
      <w:r>
        <w:rPr>
          <w:rFonts w:hint="eastAsia" w:ascii="仿宋_GB2312" w:hAnsi="宋体" w:eastAsia="仿宋_GB2312" w:cs="宋体"/>
          <w:kern w:val="0"/>
          <w:sz w:val="24"/>
        </w:rPr>
        <w:t>分。</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（4）创新平台数量</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区科技局设置绩效目标全区2022年新增创新平台10个，2022年实际新增16个。</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Times New Roman" w:eastAsia="仿宋_GB2312"/>
          <w:sz w:val="24"/>
        </w:rPr>
        <w:t>创新平台数量</w:t>
      </w:r>
      <w:r>
        <w:rPr>
          <w:rFonts w:hint="eastAsia" w:ascii="仿宋_GB2312" w:hAnsi="宋体" w:eastAsia="仿宋_GB2312" w:cs="宋体"/>
          <w:kern w:val="0"/>
          <w:sz w:val="24"/>
        </w:rPr>
        <w:t>总分</w:t>
      </w:r>
      <w:r>
        <w:rPr>
          <w:rFonts w:ascii="仿宋_GB2312" w:hAnsi="宋体" w:eastAsia="仿宋_GB2312" w:cs="宋体"/>
          <w:kern w:val="0"/>
          <w:sz w:val="24"/>
        </w:rPr>
        <w:t>4</w:t>
      </w:r>
      <w:r>
        <w:rPr>
          <w:rFonts w:hint="eastAsia" w:ascii="仿宋_GB2312" w:hAnsi="宋体" w:eastAsia="仿宋_GB2312" w:cs="宋体"/>
          <w:kern w:val="0"/>
          <w:sz w:val="24"/>
        </w:rPr>
        <w:t>分，得分</w:t>
      </w:r>
      <w:r>
        <w:rPr>
          <w:rFonts w:ascii="仿宋_GB2312" w:hAnsi="宋体" w:eastAsia="仿宋_GB2312" w:cs="宋体"/>
          <w:kern w:val="0"/>
          <w:sz w:val="24"/>
        </w:rPr>
        <w:t>4</w:t>
      </w:r>
      <w:r>
        <w:rPr>
          <w:rFonts w:hint="eastAsia" w:ascii="仿宋_GB2312" w:hAnsi="宋体" w:eastAsia="仿宋_GB2312" w:cs="宋体"/>
          <w:kern w:val="0"/>
          <w:sz w:val="24"/>
        </w:rPr>
        <w:t>分。</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2.产出质量</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（1）激励企业的精准度</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经评审小组评审后</w:t>
      </w:r>
      <w:r>
        <w:rPr>
          <w:rFonts w:hint="eastAsia" w:ascii="仿宋_GB2312" w:hAnsi="Times New Roman" w:eastAsia="仿宋_GB2312"/>
          <w:sz w:val="24"/>
        </w:rPr>
        <w:t>350家企业及院校按照</w:t>
      </w:r>
      <w:r>
        <w:rPr>
          <w:rFonts w:hint="eastAsia" w:ascii="仿宋_GB2312" w:hAnsi="宋体" w:eastAsia="仿宋_GB2312" w:cs="宋体"/>
          <w:kern w:val="0"/>
          <w:sz w:val="24"/>
        </w:rPr>
        <w:t>重庆市江津区人民政府《</w:t>
      </w:r>
      <w:r>
        <w:rPr>
          <w:rFonts w:ascii="仿宋_GB2312" w:hAnsi="宋体" w:eastAsia="仿宋_GB2312" w:cs="宋体"/>
          <w:kern w:val="0"/>
          <w:sz w:val="24"/>
        </w:rPr>
        <w:t>关于印发江津区高质量发展激励政策的通知</w:t>
      </w:r>
      <w:r>
        <w:rPr>
          <w:rFonts w:hint="eastAsia" w:ascii="仿宋_GB2312" w:hAnsi="宋体" w:eastAsia="仿宋_GB2312" w:cs="宋体"/>
          <w:kern w:val="0"/>
          <w:sz w:val="24"/>
        </w:rPr>
        <w:t>》</w:t>
      </w:r>
      <w:r>
        <w:rPr>
          <w:rFonts w:ascii="仿宋_GB2312" w:hAnsi="宋体" w:eastAsia="仿宋_GB2312" w:cs="宋体"/>
          <w:kern w:val="0"/>
          <w:sz w:val="24"/>
        </w:rPr>
        <w:t>（</w:t>
      </w:r>
      <w:r>
        <w:rPr>
          <w:rFonts w:hint="eastAsia" w:ascii="仿宋_GB2312" w:hAnsi="宋体" w:eastAsia="仿宋_GB2312" w:cs="宋体"/>
          <w:kern w:val="0"/>
          <w:sz w:val="24"/>
        </w:rPr>
        <w:t>江津府发〔2019〕</w:t>
      </w:r>
      <w:r>
        <w:rPr>
          <w:rFonts w:ascii="仿宋_GB2312" w:hAnsi="宋体" w:eastAsia="仿宋_GB2312" w:cs="宋体"/>
          <w:kern w:val="0"/>
          <w:sz w:val="24"/>
        </w:rPr>
        <w:t>18</w:t>
      </w:r>
      <w:r>
        <w:rPr>
          <w:rFonts w:hint="eastAsia" w:ascii="仿宋_GB2312" w:hAnsi="宋体" w:eastAsia="仿宋_GB2312" w:cs="宋体"/>
          <w:kern w:val="0"/>
          <w:sz w:val="24"/>
        </w:rPr>
        <w:t>号</w:t>
      </w:r>
      <w:r>
        <w:rPr>
          <w:rFonts w:ascii="仿宋_GB2312" w:hAnsi="宋体" w:eastAsia="仿宋_GB2312" w:cs="宋体"/>
          <w:kern w:val="0"/>
          <w:sz w:val="24"/>
        </w:rPr>
        <w:t>）与</w:t>
      </w:r>
      <w:r>
        <w:rPr>
          <w:rFonts w:hint="eastAsia" w:ascii="仿宋_GB2312" w:hAnsi="宋体" w:eastAsia="仿宋_GB2312" w:cs="宋体"/>
          <w:kern w:val="0"/>
          <w:sz w:val="24"/>
        </w:rPr>
        <w:t>《</w:t>
      </w:r>
      <w:r>
        <w:rPr>
          <w:rFonts w:ascii="仿宋_GB2312" w:hAnsi="宋体" w:eastAsia="仿宋_GB2312" w:cs="宋体"/>
          <w:kern w:val="0"/>
          <w:sz w:val="24"/>
        </w:rPr>
        <w:t>关于印发江津区支持消费品工业高质量发展政策的通知</w:t>
      </w:r>
      <w:r>
        <w:rPr>
          <w:rFonts w:hint="eastAsia" w:ascii="仿宋_GB2312" w:hAnsi="宋体" w:eastAsia="仿宋_GB2312" w:cs="宋体"/>
          <w:kern w:val="0"/>
          <w:sz w:val="24"/>
        </w:rPr>
        <w:t>》（江津府办发〔</w:t>
      </w:r>
      <w:r>
        <w:rPr>
          <w:rFonts w:ascii="仿宋_GB2312" w:hAnsi="宋体" w:eastAsia="仿宋_GB2312" w:cs="宋体"/>
          <w:kern w:val="0"/>
          <w:sz w:val="24"/>
        </w:rPr>
        <w:t>2020</w:t>
      </w:r>
      <w:r>
        <w:rPr>
          <w:rFonts w:hint="eastAsia" w:ascii="仿宋_GB2312" w:hAnsi="宋体" w:eastAsia="仿宋_GB2312" w:cs="宋体"/>
          <w:kern w:val="0"/>
          <w:sz w:val="24"/>
        </w:rPr>
        <w:t>〕</w:t>
      </w:r>
      <w:r>
        <w:rPr>
          <w:rFonts w:ascii="仿宋_GB2312" w:hAnsi="宋体" w:eastAsia="仿宋_GB2312" w:cs="宋体"/>
          <w:kern w:val="0"/>
          <w:sz w:val="24"/>
        </w:rPr>
        <w:t>172</w:t>
      </w:r>
      <w:r>
        <w:rPr>
          <w:rFonts w:hint="eastAsia" w:ascii="仿宋_GB2312" w:hAnsi="宋体" w:eastAsia="仿宋_GB2312" w:cs="宋体"/>
          <w:kern w:val="0"/>
          <w:sz w:val="24"/>
        </w:rPr>
        <w:t>号）</w:t>
      </w:r>
      <w:r>
        <w:rPr>
          <w:rFonts w:ascii="仿宋_GB2312" w:hAnsi="宋体" w:eastAsia="仿宋_GB2312" w:cs="宋体"/>
          <w:kern w:val="0"/>
          <w:sz w:val="24"/>
        </w:rPr>
        <w:t>的补助要求</w:t>
      </w:r>
      <w:r>
        <w:rPr>
          <w:rFonts w:hint="eastAsia" w:ascii="仿宋_GB2312" w:hAnsi="宋体" w:eastAsia="仿宋_GB2312" w:cs="宋体"/>
          <w:kern w:val="0"/>
          <w:sz w:val="24"/>
        </w:rPr>
        <w:t>共计需发放补助资金4,019.57万元，区科技局实际发放补助资金4,019.57万元。</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Times New Roman" w:eastAsia="仿宋_GB2312"/>
          <w:sz w:val="24"/>
        </w:rPr>
        <w:t>经检查评审通过的350家企业均符合</w:t>
      </w:r>
      <w:r>
        <w:rPr>
          <w:rFonts w:hint="eastAsia" w:ascii="仿宋_GB2312" w:hAnsi="宋体" w:eastAsia="仿宋_GB2312" w:cs="宋体"/>
          <w:kern w:val="0"/>
          <w:sz w:val="24"/>
        </w:rPr>
        <w:t>重庆市江津区人民政府《</w:t>
      </w:r>
      <w:r>
        <w:rPr>
          <w:rFonts w:ascii="仿宋_GB2312" w:hAnsi="宋体" w:eastAsia="仿宋_GB2312" w:cs="宋体"/>
          <w:kern w:val="0"/>
          <w:sz w:val="24"/>
        </w:rPr>
        <w:t>关于印发江津区高质量发展激励政策的通知</w:t>
      </w:r>
      <w:r>
        <w:rPr>
          <w:rFonts w:hint="eastAsia" w:ascii="仿宋_GB2312" w:hAnsi="宋体" w:eastAsia="仿宋_GB2312" w:cs="宋体"/>
          <w:kern w:val="0"/>
          <w:sz w:val="24"/>
        </w:rPr>
        <w:t>》</w:t>
      </w:r>
      <w:r>
        <w:rPr>
          <w:rFonts w:ascii="仿宋_GB2312" w:hAnsi="宋体" w:eastAsia="仿宋_GB2312" w:cs="宋体"/>
          <w:kern w:val="0"/>
          <w:sz w:val="24"/>
        </w:rPr>
        <w:t>（</w:t>
      </w:r>
      <w:r>
        <w:rPr>
          <w:rFonts w:hint="eastAsia" w:ascii="仿宋_GB2312" w:hAnsi="宋体" w:eastAsia="仿宋_GB2312" w:cs="宋体"/>
          <w:kern w:val="0"/>
          <w:sz w:val="24"/>
        </w:rPr>
        <w:t>江津府发〔2019〕</w:t>
      </w:r>
      <w:r>
        <w:rPr>
          <w:rFonts w:ascii="仿宋_GB2312" w:hAnsi="宋体" w:eastAsia="仿宋_GB2312" w:cs="宋体"/>
          <w:kern w:val="0"/>
          <w:sz w:val="24"/>
        </w:rPr>
        <w:t>18</w:t>
      </w:r>
      <w:r>
        <w:rPr>
          <w:rFonts w:hint="eastAsia" w:ascii="仿宋_GB2312" w:hAnsi="宋体" w:eastAsia="仿宋_GB2312" w:cs="宋体"/>
          <w:kern w:val="0"/>
          <w:sz w:val="24"/>
        </w:rPr>
        <w:t>号</w:t>
      </w:r>
      <w:r>
        <w:rPr>
          <w:rFonts w:ascii="仿宋_GB2312" w:hAnsi="宋体" w:eastAsia="仿宋_GB2312" w:cs="宋体"/>
          <w:kern w:val="0"/>
          <w:sz w:val="24"/>
        </w:rPr>
        <w:t>）规定的申报要求</w:t>
      </w:r>
      <w:r>
        <w:rPr>
          <w:rFonts w:hint="eastAsia" w:ascii="仿宋_GB2312" w:hAnsi="宋体" w:eastAsia="仿宋_GB2312" w:cs="宋体"/>
          <w:kern w:val="0"/>
          <w:sz w:val="24"/>
        </w:rPr>
        <w:t>。</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Times New Roman" w:eastAsia="仿宋_GB2312"/>
          <w:sz w:val="24"/>
        </w:rPr>
        <w:t>激励企业的精准度</w:t>
      </w:r>
      <w:r>
        <w:rPr>
          <w:rFonts w:hint="eastAsia" w:ascii="仿宋_GB2312" w:hAnsi="宋体" w:eastAsia="仿宋_GB2312" w:cs="宋体"/>
          <w:kern w:val="0"/>
          <w:sz w:val="24"/>
        </w:rPr>
        <w:t>总分</w:t>
      </w:r>
      <w:r>
        <w:rPr>
          <w:rFonts w:ascii="仿宋_GB2312" w:hAnsi="宋体" w:eastAsia="仿宋_GB2312" w:cs="宋体"/>
          <w:kern w:val="0"/>
          <w:sz w:val="24"/>
        </w:rPr>
        <w:t>8</w:t>
      </w:r>
      <w:r>
        <w:rPr>
          <w:rFonts w:hint="eastAsia" w:ascii="仿宋_GB2312" w:hAnsi="宋体" w:eastAsia="仿宋_GB2312" w:cs="宋体"/>
          <w:kern w:val="0"/>
          <w:sz w:val="24"/>
        </w:rPr>
        <w:t>分，得分</w:t>
      </w:r>
      <w:r>
        <w:rPr>
          <w:rFonts w:ascii="仿宋_GB2312" w:hAnsi="宋体" w:eastAsia="仿宋_GB2312" w:cs="宋体"/>
          <w:kern w:val="0"/>
          <w:sz w:val="24"/>
        </w:rPr>
        <w:t>8</w:t>
      </w:r>
      <w:r>
        <w:rPr>
          <w:rFonts w:hint="eastAsia" w:ascii="仿宋_GB2312" w:hAnsi="宋体" w:eastAsia="仿宋_GB2312" w:cs="宋体"/>
          <w:kern w:val="0"/>
          <w:sz w:val="24"/>
        </w:rPr>
        <w:t>分。</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（2）研发投入的转换性</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经对抽查企业进行现场勘察，勘察发现研发成功的企业均将成果用于江津区工厂的生产。</w:t>
      </w:r>
    </w:p>
    <w:p>
      <w:pPr>
        <w:widowControl/>
        <w:spacing w:line="360" w:lineRule="auto"/>
        <w:ind w:firstLine="480" w:firstLineChars="200"/>
        <w:jc w:val="left"/>
        <w:rPr>
          <w:rFonts w:ascii="仿宋_GB2312" w:hAnsi="Times New Roman" w:eastAsia="仿宋_GB2312"/>
          <w:sz w:val="24"/>
        </w:rPr>
      </w:pPr>
      <w:r>
        <w:rPr>
          <w:rFonts w:hint="eastAsia" w:ascii="仿宋_GB2312" w:hAnsi="宋体" w:eastAsia="仿宋_GB2312" w:cs="宋体"/>
          <w:kern w:val="0"/>
          <w:sz w:val="24"/>
        </w:rPr>
        <w:t>研发投入的转换性总分</w:t>
      </w:r>
      <w:r>
        <w:rPr>
          <w:rFonts w:ascii="仿宋_GB2312" w:hAnsi="宋体" w:eastAsia="仿宋_GB2312" w:cs="宋体"/>
          <w:kern w:val="0"/>
          <w:sz w:val="24"/>
        </w:rPr>
        <w:t>4</w:t>
      </w:r>
      <w:r>
        <w:rPr>
          <w:rFonts w:hint="eastAsia" w:ascii="仿宋_GB2312" w:hAnsi="宋体" w:eastAsia="仿宋_GB2312" w:cs="宋体"/>
          <w:kern w:val="0"/>
          <w:sz w:val="24"/>
        </w:rPr>
        <w:t>分，得分</w:t>
      </w:r>
      <w:r>
        <w:rPr>
          <w:rFonts w:ascii="仿宋_GB2312" w:hAnsi="宋体" w:eastAsia="仿宋_GB2312" w:cs="宋体"/>
          <w:kern w:val="0"/>
          <w:sz w:val="24"/>
        </w:rPr>
        <w:t>4</w:t>
      </w:r>
      <w:r>
        <w:rPr>
          <w:rFonts w:hint="eastAsia" w:ascii="仿宋_GB2312" w:hAnsi="宋体" w:eastAsia="仿宋_GB2312" w:cs="宋体"/>
          <w:kern w:val="0"/>
          <w:sz w:val="24"/>
        </w:rPr>
        <w:t>分。</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（3）企业永续经营情况</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经对审核通过的企业及院校的经营情况进行查询，其中重庆树百获教育信息咨询有限公司已于2022年9月进行工商注销登记，故存在评审通过但企业未持续经营的情况。</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企业永续经营情况总分</w:t>
      </w:r>
      <w:r>
        <w:rPr>
          <w:rFonts w:ascii="仿宋_GB2312" w:hAnsi="Times New Roman" w:eastAsia="仿宋_GB2312"/>
          <w:sz w:val="24"/>
        </w:rPr>
        <w:t>4</w:t>
      </w:r>
      <w:r>
        <w:rPr>
          <w:rFonts w:hint="eastAsia" w:ascii="仿宋_GB2312" w:hAnsi="Times New Roman" w:eastAsia="仿宋_GB2312"/>
          <w:sz w:val="24"/>
        </w:rPr>
        <w:t>分，得分</w:t>
      </w:r>
      <w:r>
        <w:rPr>
          <w:rFonts w:ascii="仿宋_GB2312" w:hAnsi="Times New Roman" w:eastAsia="仿宋_GB2312"/>
          <w:sz w:val="24"/>
        </w:rPr>
        <w:t>3</w:t>
      </w:r>
      <w:r>
        <w:rPr>
          <w:rFonts w:hint="eastAsia" w:ascii="仿宋_GB2312" w:hAnsi="Times New Roman" w:eastAsia="仿宋_GB2312"/>
          <w:sz w:val="24"/>
        </w:rPr>
        <w:t>.5分，扣分主要原因为2023年评审时未发现重庆树百获教育信息咨询有限公司已于2022年9月进行工商注销登记。</w:t>
      </w:r>
    </w:p>
    <w:p>
      <w:pPr>
        <w:widowControl/>
        <w:spacing w:line="360" w:lineRule="auto"/>
        <w:ind w:firstLine="480" w:firstLineChars="200"/>
        <w:jc w:val="left"/>
        <w:rPr>
          <w:rFonts w:ascii="仿宋_GB2312" w:hAnsi="Times New Roman" w:eastAsia="仿宋_GB2312"/>
          <w:sz w:val="24"/>
        </w:rPr>
      </w:pPr>
      <w:r>
        <w:rPr>
          <w:rFonts w:ascii="仿宋_GB2312" w:hAnsi="Times New Roman" w:eastAsia="仿宋_GB2312"/>
          <w:sz w:val="24"/>
        </w:rPr>
        <w:t>3.</w:t>
      </w:r>
      <w:r>
        <w:rPr>
          <w:rFonts w:hint="eastAsia" w:ascii="仿宋_GB2312" w:hAnsi="Times New Roman" w:eastAsia="仿宋_GB2312"/>
          <w:sz w:val="24"/>
        </w:rPr>
        <w:t>产出时效</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区科技局项目评审及资金拨付期间过长。根据重庆市江津区科技创新促进高质量发展政策资金评审小组办公室《关于开展2020年度科技创新促进高质量发展政策资金项目申报工作的通知》，“四、申报流程（一）公开申报。符合条件的单位填写《江津区科技创新促进高质量发展政策资金项目申请表》，经所在园区（镇、街、主管部门）签署意见并加盖公章后，申报材料纸质文档按顺序装订（一式一份）和申报表电子文档于2021年10月9日前报送至区科技局规划发展科。”，但评审小组于2023年1月3日召开评审会议完成评审，2</w:t>
      </w:r>
      <w:r>
        <w:rPr>
          <w:rFonts w:ascii="仿宋_GB2312" w:hAnsi="宋体" w:eastAsia="仿宋_GB2312" w:cs="宋体"/>
          <w:kern w:val="0"/>
          <w:sz w:val="24"/>
        </w:rPr>
        <w:t>023</w:t>
      </w:r>
      <w:r>
        <w:rPr>
          <w:rFonts w:hint="eastAsia" w:ascii="仿宋_GB2312" w:hAnsi="宋体" w:eastAsia="仿宋_GB2312" w:cs="宋体"/>
          <w:kern w:val="0"/>
          <w:sz w:val="24"/>
        </w:rPr>
        <w:t>年1月28日陆续拨付资金，从项目申报到资金拨付期间超1年，对比其他区企业</w:t>
      </w:r>
      <w:r>
        <w:rPr>
          <w:rFonts w:ascii="仿宋_GB2312" w:hAnsi="宋体" w:eastAsia="仿宋_GB2312" w:cs="宋体"/>
          <w:kern w:val="0"/>
          <w:sz w:val="24"/>
        </w:rPr>
        <w:t>2020</w:t>
      </w:r>
      <w:r>
        <w:rPr>
          <w:rFonts w:hint="eastAsia" w:ascii="仿宋_GB2312" w:hAnsi="宋体" w:eastAsia="仿宋_GB2312" w:cs="宋体"/>
          <w:kern w:val="0"/>
          <w:sz w:val="24"/>
        </w:rPr>
        <w:t>年申报的科技创新政策补贴资金项目，于2</w:t>
      </w:r>
      <w:r>
        <w:rPr>
          <w:rFonts w:ascii="仿宋_GB2312" w:hAnsi="宋体" w:eastAsia="仿宋_GB2312" w:cs="宋体"/>
          <w:kern w:val="0"/>
          <w:sz w:val="24"/>
        </w:rPr>
        <w:t>021</w:t>
      </w:r>
      <w:r>
        <w:rPr>
          <w:rFonts w:hint="eastAsia" w:ascii="仿宋_GB2312" w:hAnsi="宋体" w:eastAsia="仿宋_GB2312" w:cs="宋体"/>
          <w:kern w:val="0"/>
          <w:sz w:val="24"/>
        </w:rPr>
        <w:t>年完成评审，2</w:t>
      </w:r>
      <w:r>
        <w:rPr>
          <w:rFonts w:ascii="仿宋_GB2312" w:hAnsi="宋体" w:eastAsia="仿宋_GB2312" w:cs="宋体"/>
          <w:kern w:val="0"/>
          <w:sz w:val="24"/>
        </w:rPr>
        <w:t>021</w:t>
      </w:r>
      <w:r>
        <w:rPr>
          <w:rFonts w:hint="eastAsia" w:ascii="仿宋_GB2312" w:hAnsi="宋体" w:eastAsia="仿宋_GB2312" w:cs="宋体"/>
          <w:kern w:val="0"/>
          <w:sz w:val="24"/>
        </w:rPr>
        <w:t>年支付，评审及资金拨款期间过长，同时，在对受益对象问卷调查中也提出项目评审周期过长的问题，影响企业科技创新及高质量发展的积极性。</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产出时效总分3分，得分0分，扣分3分，扣分原因为项目评审及资金拨付期间过长。</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（四）效果</w:t>
      </w:r>
    </w:p>
    <w:p>
      <w:pPr>
        <w:widowControl/>
        <w:spacing w:line="360" w:lineRule="auto"/>
        <w:ind w:firstLine="480" w:firstLineChars="200"/>
        <w:jc w:val="left"/>
        <w:rPr>
          <w:rFonts w:ascii="仿宋_GB2312" w:eastAsia="仿宋_GB2312"/>
          <w:sz w:val="24"/>
        </w:rPr>
      </w:pPr>
      <w:r>
        <w:rPr>
          <w:rFonts w:hint="eastAsia" w:ascii="仿宋_GB2312" w:hAnsi="Times New Roman" w:eastAsia="仿宋_GB2312"/>
          <w:sz w:val="24"/>
        </w:rPr>
        <w:t>根据《</w:t>
      </w:r>
      <w:r>
        <w:rPr>
          <w:rFonts w:ascii="仿宋_GB2312" w:hAnsi="Times New Roman" w:eastAsia="仿宋_GB2312"/>
          <w:sz w:val="24"/>
        </w:rPr>
        <w:t>2020</w:t>
      </w:r>
      <w:r>
        <w:rPr>
          <w:rFonts w:hint="eastAsia" w:ascii="仿宋_GB2312" w:hAnsi="Times New Roman" w:eastAsia="仿宋_GB2312"/>
          <w:sz w:val="24"/>
        </w:rPr>
        <w:t>年科技创新高质量发展项目绩效评价指标》，效果指标下设社会效益、经济效益、可持续影响、满意度</w:t>
      </w:r>
      <w:r>
        <w:rPr>
          <w:rFonts w:ascii="仿宋_GB2312" w:hAnsi="Times New Roman" w:eastAsia="仿宋_GB2312"/>
          <w:sz w:val="24"/>
        </w:rPr>
        <w:t>4</w:t>
      </w:r>
      <w:r>
        <w:rPr>
          <w:rFonts w:hint="eastAsia" w:ascii="仿宋_GB2312" w:hAnsi="Times New Roman" w:eastAsia="仿宋_GB2312"/>
          <w:sz w:val="24"/>
        </w:rPr>
        <w:t>个二级指标，创新平台增长的数量、高新技术企业和科技型企业的增长数量、专利的增长数量、科技创新指数提升、税收收入增长情况、</w:t>
      </w:r>
      <w:r>
        <w:rPr>
          <w:rFonts w:ascii="仿宋_GB2312" w:hAnsi="Times New Roman" w:eastAsia="仿宋_GB2312"/>
          <w:sz w:val="24"/>
        </w:rPr>
        <w:t>R&amp;D</w:t>
      </w:r>
      <w:r>
        <w:rPr>
          <w:rFonts w:hint="eastAsia" w:ascii="仿宋_GB2312" w:hAnsi="Times New Roman" w:eastAsia="仿宋_GB2312"/>
          <w:sz w:val="24"/>
        </w:rPr>
        <w:t>投入占全区</w:t>
      </w:r>
      <w:r>
        <w:rPr>
          <w:rFonts w:ascii="仿宋_GB2312" w:hAnsi="Times New Roman" w:eastAsia="仿宋_GB2312"/>
          <w:sz w:val="24"/>
        </w:rPr>
        <w:t>GDP</w:t>
      </w:r>
      <w:r>
        <w:rPr>
          <w:rFonts w:hint="eastAsia" w:ascii="仿宋_GB2312" w:hAnsi="Times New Roman" w:eastAsia="仿宋_GB2312"/>
          <w:sz w:val="24"/>
        </w:rPr>
        <w:t>的比重、项目运行的可持续性、政策产生效果的可持续性、受益对象满意度</w:t>
      </w:r>
      <w:r>
        <w:rPr>
          <w:rFonts w:ascii="仿宋_GB2312" w:hAnsi="Times New Roman" w:eastAsia="仿宋_GB2312"/>
          <w:sz w:val="24"/>
        </w:rPr>
        <w:t>9</w:t>
      </w:r>
      <w:r>
        <w:rPr>
          <w:rFonts w:hint="eastAsia" w:ascii="仿宋_GB2312" w:hAnsi="Times New Roman" w:eastAsia="仿宋_GB2312"/>
          <w:sz w:val="24"/>
        </w:rPr>
        <w:t>个三级指标。根据评价指标内容，对应设置评价标准。效果指标权重分值</w:t>
      </w:r>
      <w:r>
        <w:rPr>
          <w:rFonts w:ascii="仿宋_GB2312" w:hAnsi="Times New Roman" w:eastAsia="仿宋_GB2312"/>
          <w:sz w:val="24"/>
        </w:rPr>
        <w:t>35.00</w:t>
      </w:r>
      <w:r>
        <w:rPr>
          <w:rFonts w:hint="eastAsia" w:ascii="仿宋_GB2312" w:hAnsi="Times New Roman" w:eastAsia="仿宋_GB2312"/>
          <w:sz w:val="24"/>
        </w:rPr>
        <w:t>分。</w:t>
      </w:r>
    </w:p>
    <w:p>
      <w:pPr>
        <w:widowControl/>
        <w:spacing w:line="360" w:lineRule="auto"/>
        <w:ind w:firstLine="480" w:firstLineChars="200"/>
        <w:jc w:val="left"/>
        <w:rPr>
          <w:rFonts w:ascii="仿宋_GB2312" w:eastAsia="仿宋_GB2312"/>
          <w:sz w:val="24"/>
        </w:rPr>
      </w:pPr>
      <w:r>
        <w:rPr>
          <w:rFonts w:hint="eastAsia" w:ascii="仿宋_GB2312" w:hAnsi="Times New Roman" w:eastAsia="仿宋_GB2312"/>
          <w:sz w:val="24"/>
        </w:rPr>
        <w:t>经执行绩效评价程序，项目产出评价实际得分</w:t>
      </w:r>
      <w:r>
        <w:rPr>
          <w:rFonts w:ascii="仿宋_GB2312" w:hAnsi="Times New Roman" w:eastAsia="仿宋_GB2312"/>
          <w:sz w:val="24"/>
        </w:rPr>
        <w:t>28</w:t>
      </w:r>
      <w:r>
        <w:rPr>
          <w:rFonts w:hint="eastAsia" w:ascii="仿宋_GB2312" w:hAnsi="Times New Roman" w:eastAsia="仿宋_GB2312"/>
          <w:sz w:val="24"/>
        </w:rPr>
        <w:t>分，扣分</w:t>
      </w:r>
      <w:r>
        <w:rPr>
          <w:rFonts w:ascii="仿宋_GB2312" w:hAnsi="Times New Roman" w:eastAsia="仿宋_GB2312"/>
          <w:sz w:val="24"/>
        </w:rPr>
        <w:t>7</w:t>
      </w:r>
      <w:r>
        <w:rPr>
          <w:rFonts w:hint="eastAsia" w:ascii="仿宋_GB2312" w:hAnsi="Times New Roman" w:eastAsia="仿宋_GB2312"/>
          <w:sz w:val="24"/>
        </w:rPr>
        <w:t>分，得分率</w:t>
      </w:r>
      <w:r>
        <w:rPr>
          <w:rFonts w:ascii="仿宋_GB2312" w:hAnsi="Times New Roman" w:eastAsia="仿宋_GB2312"/>
          <w:sz w:val="24"/>
        </w:rPr>
        <w:t>80%</w:t>
      </w:r>
      <w:r>
        <w:rPr>
          <w:rFonts w:hint="eastAsia" w:ascii="仿宋_GB2312" w:hAnsi="Times New Roman" w:eastAsia="仿宋_GB2312"/>
          <w:sz w:val="24"/>
        </w:rPr>
        <w:t>。扣分原因系江津区</w:t>
      </w:r>
      <w:r>
        <w:rPr>
          <w:rFonts w:ascii="仿宋_GB2312" w:hAnsi="Times New Roman" w:eastAsia="仿宋_GB2312"/>
          <w:sz w:val="24"/>
        </w:rPr>
        <w:t>2022</w:t>
      </w:r>
      <w:r>
        <w:rPr>
          <w:rFonts w:hint="eastAsia" w:ascii="仿宋_GB2312" w:hAnsi="Times New Roman" w:eastAsia="仿宋_GB2312"/>
          <w:sz w:val="24"/>
        </w:rPr>
        <w:t>年全区税收较</w:t>
      </w:r>
      <w:r>
        <w:rPr>
          <w:rFonts w:ascii="仿宋_GB2312" w:hAnsi="Times New Roman" w:eastAsia="仿宋_GB2312"/>
          <w:sz w:val="24"/>
        </w:rPr>
        <w:t>2020</w:t>
      </w:r>
      <w:r>
        <w:rPr>
          <w:rFonts w:hint="eastAsia" w:ascii="仿宋_GB2312" w:hAnsi="Times New Roman" w:eastAsia="仿宋_GB2312"/>
          <w:sz w:val="24"/>
        </w:rPr>
        <w:t>年下滑、仅取得科技型企业认定项目奖励的企业产生的效果持续性不足。</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1</w:t>
      </w:r>
      <w:r>
        <w:rPr>
          <w:rFonts w:hint="eastAsia" w:ascii="仿宋_GB2312" w:hAnsi="宋体" w:eastAsia="仿宋_GB2312" w:cs="宋体"/>
          <w:kern w:val="0"/>
          <w:sz w:val="24"/>
        </w:rPr>
        <w:t>.社会效益</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（1）创新平台的增长数量</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江津区2020年创新平台累计160个，2021年创新平台累计170个，2022年创新平台累计186个，三年均呈持续增长状态。</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创新平台的增长数量总分</w:t>
      </w:r>
      <w:r>
        <w:rPr>
          <w:rFonts w:ascii="仿宋_GB2312" w:hAnsi="宋体" w:eastAsia="仿宋_GB2312" w:cs="宋体"/>
          <w:kern w:val="0"/>
          <w:sz w:val="24"/>
        </w:rPr>
        <w:t>4</w:t>
      </w:r>
      <w:r>
        <w:rPr>
          <w:rFonts w:hint="eastAsia" w:ascii="仿宋_GB2312" w:hAnsi="宋体" w:eastAsia="仿宋_GB2312" w:cs="宋体"/>
          <w:kern w:val="0"/>
          <w:sz w:val="24"/>
        </w:rPr>
        <w:t>分，得分</w:t>
      </w:r>
      <w:r>
        <w:rPr>
          <w:rFonts w:ascii="仿宋_GB2312" w:hAnsi="宋体" w:eastAsia="仿宋_GB2312" w:cs="宋体"/>
          <w:kern w:val="0"/>
          <w:sz w:val="24"/>
        </w:rPr>
        <w:t>4</w:t>
      </w:r>
      <w:r>
        <w:rPr>
          <w:rFonts w:hint="eastAsia" w:ascii="仿宋_GB2312" w:hAnsi="宋体" w:eastAsia="仿宋_GB2312" w:cs="宋体"/>
          <w:kern w:val="0"/>
          <w:sz w:val="24"/>
        </w:rPr>
        <w:t>分。</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（2）高新技术企业和科技型企业的增长数量</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江津区2020年高新技术企业累计211家、科技型企业累计1125家，2021年高新技术企业累计285家、科技型企业累计1478家，2022年高新技术企业累计351家、科技型企业累计1678家，三年均呈持续增长状态。</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高新技术企业和科技型企业的增长数量总分</w:t>
      </w:r>
      <w:r>
        <w:rPr>
          <w:rFonts w:ascii="仿宋_GB2312" w:hAnsi="宋体" w:eastAsia="仿宋_GB2312" w:cs="宋体"/>
          <w:kern w:val="0"/>
          <w:sz w:val="24"/>
        </w:rPr>
        <w:t>4</w:t>
      </w:r>
      <w:r>
        <w:rPr>
          <w:rFonts w:hint="eastAsia" w:ascii="仿宋_GB2312" w:hAnsi="宋体" w:eastAsia="仿宋_GB2312" w:cs="宋体"/>
          <w:kern w:val="0"/>
          <w:sz w:val="24"/>
        </w:rPr>
        <w:t>分，得分</w:t>
      </w:r>
      <w:r>
        <w:rPr>
          <w:rFonts w:ascii="仿宋_GB2312" w:hAnsi="宋体" w:eastAsia="仿宋_GB2312" w:cs="宋体"/>
          <w:kern w:val="0"/>
          <w:sz w:val="24"/>
        </w:rPr>
        <w:t>4</w:t>
      </w:r>
      <w:r>
        <w:rPr>
          <w:rFonts w:hint="eastAsia" w:ascii="仿宋_GB2312" w:hAnsi="宋体" w:eastAsia="仿宋_GB2312" w:cs="宋体"/>
          <w:kern w:val="0"/>
          <w:sz w:val="24"/>
        </w:rPr>
        <w:t>分。</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（3）专利的增长数量</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江津区2020年授权发明专利累计1498个，2021年授权发明专利累计1928个，2022年授权发明专利累计2325个，三年均呈持续增长状态。</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专利的增长数量总分</w:t>
      </w:r>
      <w:r>
        <w:rPr>
          <w:rFonts w:ascii="仿宋_GB2312" w:hAnsi="宋体" w:eastAsia="仿宋_GB2312" w:cs="宋体"/>
          <w:kern w:val="0"/>
          <w:sz w:val="24"/>
        </w:rPr>
        <w:t>4</w:t>
      </w:r>
      <w:r>
        <w:rPr>
          <w:rFonts w:hint="eastAsia" w:ascii="仿宋_GB2312" w:hAnsi="宋体" w:eastAsia="仿宋_GB2312" w:cs="宋体"/>
          <w:kern w:val="0"/>
          <w:sz w:val="24"/>
        </w:rPr>
        <w:t>分，得分</w:t>
      </w:r>
      <w:r>
        <w:rPr>
          <w:rFonts w:ascii="仿宋_GB2312" w:hAnsi="宋体" w:eastAsia="仿宋_GB2312" w:cs="宋体"/>
          <w:kern w:val="0"/>
          <w:sz w:val="24"/>
        </w:rPr>
        <w:t>4</w:t>
      </w:r>
      <w:r>
        <w:rPr>
          <w:rFonts w:hint="eastAsia" w:ascii="仿宋_GB2312" w:hAnsi="宋体" w:eastAsia="仿宋_GB2312" w:cs="宋体"/>
          <w:kern w:val="0"/>
          <w:sz w:val="24"/>
        </w:rPr>
        <w:t>分。</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（4）</w:t>
      </w:r>
      <w:r>
        <w:rPr>
          <w:rFonts w:ascii="仿宋_GB2312" w:hAnsi="宋体" w:eastAsia="仿宋_GB2312" w:cs="宋体"/>
          <w:kern w:val="0"/>
          <w:sz w:val="24"/>
        </w:rPr>
        <w:t>科技创新指数提升</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根据重庆市科技发展战略院研究官网（重科智库）的重庆双创指数报告，江津区双创指数从2020年第2季度的6</w:t>
      </w:r>
      <w:r>
        <w:rPr>
          <w:rFonts w:ascii="仿宋_GB2312" w:hAnsi="宋体" w:eastAsia="仿宋_GB2312" w:cs="宋体"/>
          <w:kern w:val="0"/>
          <w:sz w:val="24"/>
        </w:rPr>
        <w:t>1.84</w:t>
      </w:r>
      <w:r>
        <w:rPr>
          <w:rFonts w:hint="eastAsia" w:ascii="仿宋_GB2312" w:hAnsi="宋体" w:eastAsia="仿宋_GB2312" w:cs="宋体"/>
          <w:kern w:val="0"/>
          <w:sz w:val="24"/>
        </w:rPr>
        <w:t>提升至2</w:t>
      </w:r>
      <w:r>
        <w:rPr>
          <w:rFonts w:ascii="仿宋_GB2312" w:hAnsi="宋体" w:eastAsia="仿宋_GB2312" w:cs="宋体"/>
          <w:kern w:val="0"/>
          <w:sz w:val="24"/>
        </w:rPr>
        <w:t>021</w:t>
      </w:r>
      <w:r>
        <w:rPr>
          <w:rFonts w:hint="eastAsia" w:ascii="仿宋_GB2312" w:hAnsi="宋体" w:eastAsia="仿宋_GB2312" w:cs="宋体"/>
          <w:kern w:val="0"/>
          <w:sz w:val="24"/>
        </w:rPr>
        <w:t>年第4季度的6</w:t>
      </w:r>
      <w:r>
        <w:rPr>
          <w:rFonts w:ascii="仿宋_GB2312" w:hAnsi="宋体" w:eastAsia="仿宋_GB2312" w:cs="宋体"/>
          <w:kern w:val="0"/>
          <w:sz w:val="24"/>
        </w:rPr>
        <w:t>5.1</w:t>
      </w:r>
      <w:r>
        <w:rPr>
          <w:rFonts w:hint="eastAsia" w:ascii="仿宋_GB2312" w:hAnsi="宋体" w:eastAsia="仿宋_GB2312" w:cs="宋体"/>
          <w:kern w:val="0"/>
          <w:sz w:val="24"/>
        </w:rPr>
        <w:t>，创新创业环境持续改善，创新创业主体日益多元创新创业社会氛围更加浓厚。</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科技创新指数提升总分3分，得分3分。</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2.经济效益</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（1）企业营收增长情况</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2021年抽查企业营收收入2,694,061.10万元，2022年抽查企业营收收入2,693,019.90万元。</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企业营收增长情况</w:t>
      </w:r>
      <w:r>
        <w:rPr>
          <w:rFonts w:hint="eastAsia" w:ascii="仿宋_GB2312" w:hAnsi="宋体" w:eastAsia="仿宋_GB2312" w:cs="宋体"/>
          <w:kern w:val="0"/>
          <w:sz w:val="24"/>
        </w:rPr>
        <w:t>总分5分，得分0分，扣分主要原因为2022年的税收收入下降</w:t>
      </w:r>
      <w:r>
        <w:rPr>
          <w:rFonts w:hint="eastAsia" w:ascii="仿宋_GB2312" w:hAnsi="Times New Roman" w:eastAsia="仿宋_GB2312"/>
          <w:sz w:val="24"/>
        </w:rPr>
        <w:t>14.26亿元</w:t>
      </w:r>
      <w:r>
        <w:rPr>
          <w:rFonts w:hint="eastAsia" w:ascii="仿宋_GB2312" w:hAnsi="宋体" w:eastAsia="仿宋_GB2312" w:cs="宋体"/>
          <w:kern w:val="0"/>
          <w:sz w:val="24"/>
        </w:rPr>
        <w:t>。</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（2）R&amp;D投入占全区GDP的比重</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江津区2022年上报统计局的R&amp;D研发投入49.16亿元，占2022年全年GDP的3.75%，2021年区统计局公布的R&amp;D研发投入26.39亿元，占2021年全年GDP的2.32%，2022年与2021年相比较呈增长趋势。</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R&amp;D投入占全区GDP的比重指标总分5分，得分5分。</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3</w:t>
      </w:r>
      <w:r>
        <w:rPr>
          <w:rFonts w:ascii="仿宋_GB2312" w:hAnsi="Times New Roman" w:eastAsia="仿宋_GB2312"/>
          <w:sz w:val="24"/>
        </w:rPr>
        <w:t>.</w:t>
      </w:r>
      <w:r>
        <w:rPr>
          <w:rFonts w:hint="eastAsia" w:ascii="仿宋_GB2312" w:hAnsi="Times New Roman" w:eastAsia="仿宋_GB2312"/>
          <w:sz w:val="24"/>
        </w:rPr>
        <w:t>可持续影响</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（1）项目运行的可持续性</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科技创新政策补贴资料由区科技局下设的各科室负责各项目的申报、审查、验收、公示、发放等各环节的工作。项目运行具有可持续性。</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（2）政策产生效果的可持续性</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科技创新高质量发展项目中仅取得科技型企业认定项目奖励的企业共1</w:t>
      </w:r>
      <w:r>
        <w:rPr>
          <w:rFonts w:ascii="仿宋_GB2312" w:hAnsi="Times New Roman" w:eastAsia="仿宋_GB2312"/>
          <w:sz w:val="24"/>
        </w:rPr>
        <w:t>21</w:t>
      </w:r>
      <w:r>
        <w:rPr>
          <w:rFonts w:hint="eastAsia" w:ascii="仿宋_GB2312" w:hAnsi="Times New Roman" w:eastAsia="仿宋_GB2312"/>
          <w:sz w:val="24"/>
        </w:rPr>
        <w:t>家，占奖补企业的</w:t>
      </w:r>
      <w:r>
        <w:rPr>
          <w:rFonts w:ascii="仿宋_GB2312" w:hAnsi="Times New Roman" w:eastAsia="仿宋_GB2312"/>
          <w:sz w:val="24"/>
        </w:rPr>
        <w:t>34.57%</w:t>
      </w:r>
      <w:r>
        <w:rPr>
          <w:rFonts w:hint="eastAsia" w:ascii="仿宋_GB2312" w:hAnsi="Times New Roman" w:eastAsia="仿宋_GB2312"/>
          <w:sz w:val="24"/>
        </w:rPr>
        <w:t>，科技型企业认定项目奖励的企业共取得奖励6</w:t>
      </w:r>
      <w:r>
        <w:rPr>
          <w:rFonts w:ascii="仿宋_GB2312" w:hAnsi="Times New Roman" w:eastAsia="仿宋_GB2312"/>
          <w:sz w:val="24"/>
        </w:rPr>
        <w:t>1.5</w:t>
      </w:r>
      <w:r>
        <w:rPr>
          <w:rFonts w:hint="eastAsia" w:ascii="仿宋_GB2312" w:hAnsi="Times New Roman" w:eastAsia="仿宋_GB2312"/>
          <w:sz w:val="24"/>
        </w:rPr>
        <w:t>0万，占总奖补金额的1</w:t>
      </w:r>
      <w:r>
        <w:rPr>
          <w:rFonts w:ascii="仿宋_GB2312" w:hAnsi="Times New Roman" w:eastAsia="仿宋_GB2312"/>
          <w:sz w:val="24"/>
        </w:rPr>
        <w:t>.53%</w:t>
      </w:r>
      <w:r>
        <w:rPr>
          <w:rFonts w:hint="eastAsia" w:ascii="仿宋_GB2312" w:hAnsi="Times New Roman" w:eastAsia="仿宋_GB2312"/>
          <w:sz w:val="24"/>
        </w:rPr>
        <w:t>，其中补贴资金0</w:t>
      </w:r>
      <w:r>
        <w:rPr>
          <w:rFonts w:ascii="仿宋_GB2312" w:hAnsi="Times New Roman" w:eastAsia="仿宋_GB2312"/>
          <w:sz w:val="24"/>
        </w:rPr>
        <w:t>.5</w:t>
      </w:r>
      <w:r>
        <w:rPr>
          <w:rFonts w:hint="eastAsia" w:ascii="仿宋_GB2312" w:hAnsi="Times New Roman" w:eastAsia="仿宋_GB2312"/>
          <w:sz w:val="24"/>
        </w:rPr>
        <w:t>0万元的1</w:t>
      </w:r>
      <w:r>
        <w:rPr>
          <w:rFonts w:ascii="仿宋_GB2312" w:hAnsi="Times New Roman" w:eastAsia="仿宋_GB2312"/>
          <w:sz w:val="24"/>
        </w:rPr>
        <w:t>09</w:t>
      </w:r>
      <w:r>
        <w:rPr>
          <w:rFonts w:hint="eastAsia" w:ascii="仿宋_GB2312" w:hAnsi="Times New Roman" w:eastAsia="仿宋_GB2312"/>
          <w:sz w:val="24"/>
        </w:rPr>
        <w:t>家，补贴资金1.00万元的2家。经调查上述类型奖补资金对企业的研发投入占比较少，提升企业的积极性较低，科技型企业认定项目奖励产生的效果持续性不足。</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经对“鼓励加大研发投入”“鼓励独立法人研发机构建设”等研发类型企业进行抽查，根据企业提供的报表显示在申报企业均在继续投入研发事项。</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可持续影响指标总分5分，得分3分，扣分2分，主要的扣分原因为仅取得科技型企业认定项目奖励的企业产生的效果持续性不足。</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（五）满意度调查</w:t>
      </w:r>
    </w:p>
    <w:p>
      <w:pPr>
        <w:widowControl/>
        <w:spacing w:line="360" w:lineRule="auto"/>
        <w:ind w:firstLine="480" w:firstLineChars="200"/>
        <w:jc w:val="left"/>
        <w:rPr>
          <w:rFonts w:ascii="仿宋_GB2312" w:hAnsi="Times New Roman" w:eastAsia="仿宋_GB2312"/>
          <w:sz w:val="24"/>
        </w:rPr>
      </w:pPr>
      <w:r>
        <w:rPr>
          <w:rFonts w:hint="eastAsia" w:ascii="仿宋_GB2312" w:hAnsi="宋体" w:eastAsia="仿宋_GB2312" w:cs="宋体"/>
          <w:kern w:val="0"/>
          <w:sz w:val="24"/>
        </w:rPr>
        <w:t>根据本次绩效评价对抽查的</w:t>
      </w:r>
      <w:r>
        <w:rPr>
          <w:rFonts w:hint="eastAsia" w:ascii="仿宋_GB2312" w:hAnsi="仿宋_GB2312" w:eastAsia="仿宋_GB2312" w:cs="仿宋_GB2312"/>
          <w:sz w:val="24"/>
        </w:rPr>
        <w:t>企业进行问卷发放，共计发放问卷100份，收回有效问卷80份</w:t>
      </w:r>
      <w:r>
        <w:rPr>
          <w:rFonts w:hint="eastAsia" w:ascii="仿宋_GB2312" w:hAnsi="Times New Roman" w:eastAsia="仿宋_GB2312"/>
          <w:sz w:val="24"/>
        </w:rPr>
        <w:t>，从政策宣传满意度、政策审核程序满意度、政策实施的满意度等方面对奖补企业进行了问卷调查，经统计后采用加权平均的方式计算满意度调查结果为92.72%。满意度未达到100%的原因为评审时间较长。</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Times New Roman" w:eastAsia="仿宋_GB2312"/>
          <w:sz w:val="24"/>
        </w:rPr>
        <w:t>满意度调查</w:t>
      </w:r>
      <w:r>
        <w:rPr>
          <w:rFonts w:hint="eastAsia" w:ascii="仿宋_GB2312" w:hAnsi="宋体" w:eastAsia="仿宋_GB2312" w:cs="宋体"/>
          <w:kern w:val="0"/>
          <w:sz w:val="24"/>
        </w:rPr>
        <w:t>总分</w:t>
      </w:r>
      <w:r>
        <w:rPr>
          <w:rFonts w:ascii="仿宋_GB2312" w:hAnsi="宋体" w:eastAsia="仿宋_GB2312" w:cs="宋体"/>
          <w:kern w:val="0"/>
          <w:sz w:val="24"/>
        </w:rPr>
        <w:t>5</w:t>
      </w:r>
      <w:r>
        <w:rPr>
          <w:rFonts w:hint="eastAsia" w:ascii="仿宋_GB2312" w:hAnsi="宋体" w:eastAsia="仿宋_GB2312" w:cs="宋体"/>
          <w:kern w:val="0"/>
          <w:sz w:val="24"/>
        </w:rPr>
        <w:t>分，得分</w:t>
      </w:r>
      <w:r>
        <w:rPr>
          <w:rFonts w:ascii="仿宋_GB2312" w:hAnsi="宋体" w:eastAsia="仿宋_GB2312" w:cs="宋体"/>
          <w:kern w:val="0"/>
          <w:sz w:val="24"/>
        </w:rPr>
        <w:t>5</w:t>
      </w:r>
      <w:r>
        <w:rPr>
          <w:rFonts w:hint="eastAsia" w:ascii="仿宋_GB2312" w:hAnsi="宋体" w:eastAsia="仿宋_GB2312" w:cs="宋体"/>
          <w:kern w:val="0"/>
          <w:sz w:val="24"/>
        </w:rPr>
        <w:t>分。</w:t>
      </w:r>
    </w:p>
    <w:p>
      <w:pPr>
        <w:widowControl/>
        <w:spacing w:line="360" w:lineRule="auto"/>
        <w:ind w:firstLine="482" w:firstLineChars="200"/>
        <w:jc w:val="left"/>
        <w:rPr>
          <w:rFonts w:ascii="仿宋_GB2312" w:hAnsi="Times New Roman" w:eastAsia="仿宋_GB2312"/>
          <w:b/>
          <w:sz w:val="24"/>
        </w:rPr>
      </w:pPr>
      <w:r>
        <w:rPr>
          <w:rFonts w:hint="eastAsia" w:ascii="仿宋_GB2312" w:hAnsi="Times New Roman" w:eastAsia="仿宋_GB2312"/>
          <w:b/>
          <w:sz w:val="24"/>
        </w:rPr>
        <w:t>五</w:t>
      </w:r>
      <w:r>
        <w:rPr>
          <w:rFonts w:hint="eastAsia" w:ascii="仿宋_GB2312" w:hAnsi="Times New Roman" w:eastAsia="仿宋_GB2312"/>
          <w:sz w:val="24"/>
        </w:rPr>
        <w:t>、</w:t>
      </w:r>
      <w:r>
        <w:rPr>
          <w:rFonts w:hint="eastAsia" w:ascii="仿宋_GB2312" w:hAnsi="Times New Roman" w:eastAsia="仿宋_GB2312"/>
          <w:b/>
          <w:sz w:val="24"/>
        </w:rPr>
        <w:t>发现的主要问题</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（一）</w:t>
      </w:r>
      <w:r>
        <w:rPr>
          <w:rFonts w:hint="eastAsia" w:ascii="仿宋_GB2312" w:eastAsia="仿宋_GB2312"/>
          <w:sz w:val="24"/>
        </w:rPr>
        <w:t>绩效目标设置不完整</w:t>
      </w:r>
      <w:r>
        <w:rPr>
          <w:rFonts w:hint="eastAsia" w:ascii="仿宋_GB2312" w:hAnsi="宋体" w:eastAsia="仿宋_GB2312" w:cs="宋体"/>
          <w:kern w:val="0"/>
          <w:sz w:val="24"/>
        </w:rPr>
        <w:t>，且与预算确定的项目资金未能完全匹配</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评价发现，区科技局设置的绩效目标存在设置绩效指标不完整，部分重要绩效指标未设置、且与预算确定的项目资金未能完全匹配的情况，如区科技局设置的绩效目标-产出指标中未设置质量指标，质量指标的缺失无法衡量项目审核的严谨性。产出指标中数量指标中仅设置了科技型企业数量、高新技术企业数量、创新平台数量，未对研发投入、科技成果转化、科技金融支撑、专利的运用等设置相应指标。</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（二）项目管理方面</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Times New Roman" w:eastAsia="仿宋_GB2312"/>
          <w:sz w:val="24"/>
        </w:rPr>
        <w:t>1</w:t>
      </w:r>
      <w:r>
        <w:rPr>
          <w:rFonts w:ascii="仿宋_GB2312" w:hAnsi="Times New Roman" w:eastAsia="仿宋_GB2312"/>
          <w:sz w:val="24"/>
        </w:rPr>
        <w:t>.</w:t>
      </w:r>
      <w:r>
        <w:rPr>
          <w:rFonts w:hint="eastAsia" w:ascii="仿宋_GB2312" w:hAnsi="宋体" w:eastAsia="仿宋_GB2312" w:cs="宋体"/>
          <w:kern w:val="0"/>
          <w:sz w:val="24"/>
        </w:rPr>
        <w:t>项目制度文件缺失重要政策条款，且部分条款或标准存在不一致的情况</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评价发现，</w:t>
      </w:r>
      <w:r>
        <w:rPr>
          <w:rFonts w:ascii="仿宋_GB2312" w:hAnsi="宋体" w:eastAsia="仿宋_GB2312" w:cs="宋体"/>
          <w:kern w:val="0"/>
          <w:sz w:val="24"/>
        </w:rPr>
        <w:t>区科技局上报</w:t>
      </w:r>
      <w:r>
        <w:rPr>
          <w:rFonts w:hint="eastAsia" w:ascii="仿宋_GB2312" w:hAnsi="宋体" w:eastAsia="仿宋_GB2312" w:cs="宋体"/>
          <w:kern w:val="0"/>
          <w:sz w:val="24"/>
        </w:rPr>
        <w:t>重庆市江津区人民政府办公室设立的《</w:t>
      </w:r>
      <w:r>
        <w:rPr>
          <w:rFonts w:ascii="仿宋_GB2312" w:hAnsi="宋体" w:eastAsia="仿宋_GB2312" w:cs="宋体"/>
          <w:kern w:val="0"/>
          <w:sz w:val="24"/>
        </w:rPr>
        <w:t>关于印发江津区科技创新促进高质量发展10条激励政策实施细则（试行）的通知</w:t>
      </w:r>
      <w:r>
        <w:rPr>
          <w:rFonts w:hint="eastAsia" w:ascii="仿宋_GB2312" w:hAnsi="宋体" w:eastAsia="仿宋_GB2312" w:cs="宋体"/>
          <w:kern w:val="0"/>
          <w:sz w:val="24"/>
        </w:rPr>
        <w:t>》</w:t>
      </w:r>
      <w:r>
        <w:rPr>
          <w:rFonts w:ascii="仿宋_GB2312" w:hAnsi="宋体" w:eastAsia="仿宋_GB2312" w:cs="宋体"/>
          <w:kern w:val="0"/>
          <w:sz w:val="24"/>
        </w:rPr>
        <w:t>（</w:t>
      </w:r>
      <w:r>
        <w:rPr>
          <w:rFonts w:hint="eastAsia" w:ascii="仿宋_GB2312" w:hAnsi="宋体" w:eastAsia="仿宋_GB2312" w:cs="宋体"/>
          <w:kern w:val="0"/>
          <w:sz w:val="24"/>
        </w:rPr>
        <w:t>江津府办发〔201</w:t>
      </w:r>
      <w:r>
        <w:rPr>
          <w:rFonts w:ascii="仿宋_GB2312" w:hAnsi="宋体" w:eastAsia="仿宋_GB2312" w:cs="宋体"/>
          <w:kern w:val="0"/>
          <w:sz w:val="24"/>
        </w:rPr>
        <w:t>9</w:t>
      </w:r>
      <w:r>
        <w:rPr>
          <w:rFonts w:hint="eastAsia" w:ascii="仿宋_GB2312" w:hAnsi="宋体" w:eastAsia="仿宋_GB2312" w:cs="宋体"/>
          <w:kern w:val="0"/>
          <w:sz w:val="24"/>
        </w:rPr>
        <w:t>〕</w:t>
      </w:r>
      <w:r>
        <w:rPr>
          <w:rFonts w:ascii="仿宋_GB2312" w:hAnsi="宋体" w:eastAsia="仿宋_GB2312" w:cs="宋体"/>
          <w:kern w:val="0"/>
          <w:sz w:val="24"/>
        </w:rPr>
        <w:t>77</w:t>
      </w:r>
      <w:r>
        <w:rPr>
          <w:rFonts w:hint="eastAsia" w:ascii="仿宋_GB2312" w:hAnsi="宋体" w:eastAsia="仿宋_GB2312" w:cs="宋体"/>
          <w:kern w:val="0"/>
          <w:sz w:val="24"/>
        </w:rPr>
        <w:t>号</w:t>
      </w:r>
      <w:r>
        <w:rPr>
          <w:rFonts w:ascii="仿宋_GB2312" w:hAnsi="宋体" w:eastAsia="仿宋_GB2312" w:cs="宋体"/>
          <w:kern w:val="0"/>
          <w:sz w:val="24"/>
        </w:rPr>
        <w:t>）</w:t>
      </w:r>
      <w:r>
        <w:rPr>
          <w:rFonts w:hint="eastAsia" w:ascii="仿宋_GB2312" w:hAnsi="宋体" w:eastAsia="仿宋_GB2312" w:cs="宋体"/>
          <w:kern w:val="0"/>
          <w:sz w:val="24"/>
        </w:rPr>
        <w:t>和《关于印发江津区支持消费品工业高质量发展政策的通知》（江津府办发〔2020〕172号）文件中明确了奖补金额、奖补类型和奖补条件，但</w:t>
      </w:r>
      <w:r>
        <w:rPr>
          <w:rFonts w:ascii="仿宋_GB2312" w:hAnsi="宋体" w:eastAsia="仿宋_GB2312" w:cs="宋体"/>
          <w:kern w:val="0"/>
          <w:sz w:val="24"/>
        </w:rPr>
        <w:t>文件中缺失区科技局收到企业提交的申报材料</w:t>
      </w:r>
      <w:r>
        <w:rPr>
          <w:rFonts w:hint="eastAsia" w:ascii="仿宋_GB2312" w:hAnsi="宋体" w:eastAsia="仿宋_GB2312" w:cs="宋体"/>
          <w:kern w:val="0"/>
          <w:sz w:val="24"/>
        </w:rPr>
        <w:t>到最终</w:t>
      </w:r>
      <w:r>
        <w:rPr>
          <w:rFonts w:ascii="仿宋_GB2312" w:hAnsi="宋体" w:eastAsia="仿宋_GB2312" w:cs="宋体"/>
          <w:kern w:val="0"/>
          <w:sz w:val="24"/>
        </w:rPr>
        <w:t>评审</w:t>
      </w:r>
      <w:r>
        <w:rPr>
          <w:rFonts w:hint="eastAsia" w:ascii="仿宋_GB2312" w:hAnsi="宋体" w:eastAsia="仿宋_GB2312" w:cs="宋体"/>
          <w:kern w:val="0"/>
          <w:sz w:val="24"/>
        </w:rPr>
        <w:t>的时间节点和期限，并且后期监管的相关条款中</w:t>
      </w:r>
      <w:r>
        <w:rPr>
          <w:rFonts w:ascii="仿宋_GB2312" w:hAnsi="宋体" w:eastAsia="仿宋_GB2312" w:cs="宋体"/>
          <w:kern w:val="0"/>
          <w:sz w:val="24"/>
        </w:rPr>
        <w:t>未明确后期监督管理事项的牵头单位</w:t>
      </w:r>
      <w:r>
        <w:rPr>
          <w:rFonts w:hint="eastAsia" w:ascii="仿宋_GB2312" w:hAnsi="宋体" w:eastAsia="仿宋_GB2312" w:cs="宋体"/>
          <w:kern w:val="0"/>
          <w:sz w:val="24"/>
        </w:rPr>
        <w:t>与</w:t>
      </w:r>
      <w:r>
        <w:rPr>
          <w:rFonts w:ascii="仿宋_GB2312" w:hAnsi="宋体" w:eastAsia="仿宋_GB2312" w:cs="宋体"/>
          <w:kern w:val="0"/>
          <w:sz w:val="24"/>
        </w:rPr>
        <w:t>监督管理程序</w:t>
      </w:r>
      <w:r>
        <w:rPr>
          <w:rFonts w:hint="eastAsia" w:ascii="仿宋_GB2312" w:hAnsi="宋体" w:eastAsia="仿宋_GB2312" w:cs="宋体"/>
          <w:kern w:val="0"/>
          <w:sz w:val="24"/>
        </w:rPr>
        <w:t>、未明确企业或高校收到的补助资金的使用范围。</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同时，评价发现上述两个政策通知存在部分条款或标准不一致的情况，如：《</w:t>
      </w:r>
      <w:r>
        <w:rPr>
          <w:rFonts w:ascii="仿宋_GB2312" w:hAnsi="宋体" w:eastAsia="仿宋_GB2312" w:cs="宋体"/>
          <w:kern w:val="0"/>
          <w:sz w:val="24"/>
        </w:rPr>
        <w:t>关于印发江津区科技创新促进高质量发展10条激励政策实施细则（试行）的通知</w:t>
      </w:r>
      <w:r>
        <w:rPr>
          <w:rFonts w:hint="eastAsia" w:ascii="仿宋_GB2312" w:hAnsi="宋体" w:eastAsia="仿宋_GB2312" w:cs="宋体"/>
          <w:kern w:val="0"/>
          <w:sz w:val="24"/>
        </w:rPr>
        <w:t>》</w:t>
      </w:r>
      <w:r>
        <w:rPr>
          <w:rFonts w:ascii="仿宋_GB2312" w:hAnsi="宋体" w:eastAsia="仿宋_GB2312" w:cs="宋体"/>
          <w:kern w:val="0"/>
          <w:sz w:val="24"/>
        </w:rPr>
        <w:t>（</w:t>
      </w:r>
      <w:r>
        <w:rPr>
          <w:rFonts w:hint="eastAsia" w:ascii="仿宋_GB2312" w:hAnsi="宋体" w:eastAsia="仿宋_GB2312" w:cs="宋体"/>
          <w:kern w:val="0"/>
          <w:sz w:val="24"/>
        </w:rPr>
        <w:t>江津府办发〔201</w:t>
      </w:r>
      <w:r>
        <w:rPr>
          <w:rFonts w:ascii="仿宋_GB2312" w:hAnsi="宋体" w:eastAsia="仿宋_GB2312" w:cs="宋体"/>
          <w:kern w:val="0"/>
          <w:sz w:val="24"/>
        </w:rPr>
        <w:t>9</w:t>
      </w:r>
      <w:r>
        <w:rPr>
          <w:rFonts w:hint="eastAsia" w:ascii="仿宋_GB2312" w:hAnsi="宋体" w:eastAsia="仿宋_GB2312" w:cs="宋体"/>
          <w:kern w:val="0"/>
          <w:sz w:val="24"/>
        </w:rPr>
        <w:t>〕</w:t>
      </w:r>
      <w:r>
        <w:rPr>
          <w:rFonts w:ascii="仿宋_GB2312" w:hAnsi="宋体" w:eastAsia="仿宋_GB2312" w:cs="宋体"/>
          <w:kern w:val="0"/>
          <w:sz w:val="24"/>
        </w:rPr>
        <w:t>77</w:t>
      </w:r>
      <w:r>
        <w:rPr>
          <w:rFonts w:hint="eastAsia" w:ascii="仿宋_GB2312" w:hAnsi="宋体" w:eastAsia="仿宋_GB2312" w:cs="宋体"/>
          <w:kern w:val="0"/>
          <w:sz w:val="24"/>
        </w:rPr>
        <w:t>号</w:t>
      </w:r>
      <w:r>
        <w:rPr>
          <w:rFonts w:ascii="仿宋_GB2312" w:hAnsi="宋体" w:eastAsia="仿宋_GB2312" w:cs="宋体"/>
          <w:kern w:val="0"/>
          <w:sz w:val="24"/>
        </w:rPr>
        <w:t>）</w:t>
      </w:r>
      <w:r>
        <w:rPr>
          <w:rFonts w:hint="eastAsia" w:ascii="仿宋_GB2312" w:hAnsi="宋体" w:eastAsia="仿宋_GB2312" w:cs="宋体"/>
          <w:kern w:val="0"/>
          <w:sz w:val="24"/>
        </w:rPr>
        <w:t>和《关于印发江津区支持消费品工业高质量发展政策的通知》（江津府办发〔2020〕172号）均设有“</w:t>
      </w:r>
      <w:r>
        <w:rPr>
          <w:rFonts w:ascii="仿宋_GB2312" w:hAnsi="宋体" w:eastAsia="仿宋_GB2312" w:cs="宋体"/>
          <w:kern w:val="0"/>
          <w:sz w:val="24"/>
        </w:rPr>
        <w:t>新认定入库的科技型企业</w:t>
      </w:r>
      <w:r>
        <w:rPr>
          <w:rFonts w:hint="eastAsia" w:ascii="仿宋_GB2312" w:hAnsi="宋体" w:eastAsia="仿宋_GB2312" w:cs="宋体"/>
          <w:kern w:val="0"/>
          <w:sz w:val="24"/>
        </w:rPr>
        <w:t>”的补助类型，但</w:t>
      </w:r>
      <w:r>
        <w:rPr>
          <w:rFonts w:ascii="仿宋_GB2312" w:hAnsi="宋体" w:eastAsia="仿宋_GB2312" w:cs="宋体"/>
          <w:kern w:val="0"/>
          <w:sz w:val="24"/>
        </w:rPr>
        <w:t>（</w:t>
      </w:r>
      <w:r>
        <w:rPr>
          <w:rFonts w:hint="eastAsia" w:ascii="仿宋_GB2312" w:hAnsi="宋体" w:eastAsia="仿宋_GB2312" w:cs="宋体"/>
          <w:kern w:val="0"/>
          <w:sz w:val="24"/>
        </w:rPr>
        <w:t>江津府办发〔201</w:t>
      </w:r>
      <w:r>
        <w:rPr>
          <w:rFonts w:ascii="仿宋_GB2312" w:hAnsi="宋体" w:eastAsia="仿宋_GB2312" w:cs="宋体"/>
          <w:kern w:val="0"/>
          <w:sz w:val="24"/>
        </w:rPr>
        <w:t>9</w:t>
      </w:r>
      <w:r>
        <w:rPr>
          <w:rFonts w:hint="eastAsia" w:ascii="仿宋_GB2312" w:hAnsi="宋体" w:eastAsia="仿宋_GB2312" w:cs="宋体"/>
          <w:kern w:val="0"/>
          <w:sz w:val="24"/>
        </w:rPr>
        <w:t>〕</w:t>
      </w:r>
      <w:r>
        <w:rPr>
          <w:rFonts w:ascii="仿宋_GB2312" w:hAnsi="宋体" w:eastAsia="仿宋_GB2312" w:cs="宋体"/>
          <w:kern w:val="0"/>
          <w:sz w:val="24"/>
        </w:rPr>
        <w:t>77</w:t>
      </w:r>
      <w:r>
        <w:rPr>
          <w:rFonts w:hint="eastAsia" w:ascii="仿宋_GB2312" w:hAnsi="宋体" w:eastAsia="仿宋_GB2312" w:cs="宋体"/>
          <w:kern w:val="0"/>
          <w:sz w:val="24"/>
        </w:rPr>
        <w:t>号</w:t>
      </w:r>
      <w:r>
        <w:rPr>
          <w:rFonts w:ascii="仿宋_GB2312" w:hAnsi="宋体" w:eastAsia="仿宋_GB2312" w:cs="宋体"/>
          <w:kern w:val="0"/>
          <w:sz w:val="24"/>
        </w:rPr>
        <w:t>）</w:t>
      </w:r>
      <w:r>
        <w:rPr>
          <w:rFonts w:hint="eastAsia" w:ascii="仿宋_GB2312" w:hAnsi="宋体" w:eastAsia="仿宋_GB2312" w:cs="宋体"/>
          <w:kern w:val="0"/>
          <w:sz w:val="24"/>
        </w:rPr>
        <w:t>奖补标准为0</w:t>
      </w:r>
      <w:r>
        <w:rPr>
          <w:rFonts w:ascii="仿宋_GB2312" w:hAnsi="宋体" w:eastAsia="仿宋_GB2312" w:cs="宋体"/>
          <w:kern w:val="0"/>
          <w:sz w:val="24"/>
        </w:rPr>
        <w:t>.5</w:t>
      </w:r>
      <w:r>
        <w:rPr>
          <w:rFonts w:hint="eastAsia" w:ascii="仿宋_GB2312" w:hAnsi="宋体" w:eastAsia="仿宋_GB2312" w:cs="宋体"/>
          <w:kern w:val="0"/>
          <w:sz w:val="24"/>
        </w:rPr>
        <w:t>0万，（江津府办发〔2020〕172号）奖补标准为</w:t>
      </w:r>
      <w:r>
        <w:rPr>
          <w:rFonts w:ascii="仿宋_GB2312" w:hAnsi="宋体" w:eastAsia="仿宋_GB2312" w:cs="宋体"/>
          <w:kern w:val="0"/>
          <w:sz w:val="24"/>
        </w:rPr>
        <w:t>1</w:t>
      </w:r>
      <w:r>
        <w:rPr>
          <w:rFonts w:hint="eastAsia" w:ascii="仿宋_GB2312" w:hAnsi="宋体" w:eastAsia="仿宋_GB2312" w:cs="宋体"/>
          <w:kern w:val="0"/>
          <w:sz w:val="24"/>
        </w:rPr>
        <w:t>.00万。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2</w:t>
      </w:r>
      <w:r>
        <w:rPr>
          <w:rFonts w:hint="eastAsia" w:ascii="仿宋_GB2312" w:hAnsi="宋体" w:eastAsia="仿宋_GB2312" w:cs="宋体"/>
          <w:kern w:val="0"/>
          <w:sz w:val="24"/>
        </w:rPr>
        <w:t>.区科技局政策执行不到位</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根据</w:t>
      </w:r>
      <w:r>
        <w:rPr>
          <w:rFonts w:hint="eastAsia" w:ascii="仿宋_GB2312" w:hAnsi="宋体" w:eastAsia="仿宋_GB2312" w:cs="宋体"/>
          <w:kern w:val="0"/>
          <w:sz w:val="24"/>
        </w:rPr>
        <w:t>重庆市江津区人民政府办公室《</w:t>
      </w:r>
      <w:r>
        <w:rPr>
          <w:rFonts w:ascii="仿宋_GB2312" w:hAnsi="宋体" w:eastAsia="仿宋_GB2312" w:cs="宋体"/>
          <w:kern w:val="0"/>
          <w:sz w:val="24"/>
        </w:rPr>
        <w:t>关于印发江津区科技创新促进高质量发展10条激励政策实施细则（试行）的通知</w:t>
      </w:r>
      <w:r>
        <w:rPr>
          <w:rFonts w:hint="eastAsia" w:ascii="仿宋_GB2312" w:hAnsi="宋体" w:eastAsia="仿宋_GB2312" w:cs="宋体"/>
          <w:kern w:val="0"/>
          <w:sz w:val="24"/>
        </w:rPr>
        <w:t>》</w:t>
      </w:r>
      <w:r>
        <w:rPr>
          <w:rFonts w:ascii="仿宋_GB2312" w:hAnsi="宋体" w:eastAsia="仿宋_GB2312" w:cs="宋体"/>
          <w:kern w:val="0"/>
          <w:sz w:val="24"/>
        </w:rPr>
        <w:t>（</w:t>
      </w:r>
      <w:r>
        <w:rPr>
          <w:rFonts w:hint="eastAsia" w:ascii="仿宋_GB2312" w:hAnsi="宋体" w:eastAsia="仿宋_GB2312" w:cs="宋体"/>
          <w:kern w:val="0"/>
          <w:sz w:val="24"/>
        </w:rPr>
        <w:t>江津府办发〔201</w:t>
      </w:r>
      <w:r>
        <w:rPr>
          <w:rFonts w:ascii="仿宋_GB2312" w:hAnsi="宋体" w:eastAsia="仿宋_GB2312" w:cs="宋体"/>
          <w:kern w:val="0"/>
          <w:sz w:val="24"/>
        </w:rPr>
        <w:t>9</w:t>
      </w:r>
      <w:r>
        <w:rPr>
          <w:rFonts w:hint="eastAsia" w:ascii="仿宋_GB2312" w:hAnsi="宋体" w:eastAsia="仿宋_GB2312" w:cs="宋体"/>
          <w:kern w:val="0"/>
          <w:sz w:val="24"/>
        </w:rPr>
        <w:t>〕</w:t>
      </w:r>
      <w:r>
        <w:rPr>
          <w:rFonts w:ascii="仿宋_GB2312" w:hAnsi="宋体" w:eastAsia="仿宋_GB2312" w:cs="宋体"/>
          <w:kern w:val="0"/>
          <w:sz w:val="24"/>
        </w:rPr>
        <w:t>77</w:t>
      </w:r>
      <w:r>
        <w:rPr>
          <w:rFonts w:hint="eastAsia" w:ascii="仿宋_GB2312" w:hAnsi="宋体" w:eastAsia="仿宋_GB2312" w:cs="宋体"/>
          <w:kern w:val="0"/>
          <w:sz w:val="24"/>
        </w:rPr>
        <w:t>号</w:t>
      </w:r>
      <w:r>
        <w:rPr>
          <w:rFonts w:ascii="仿宋_GB2312" w:hAnsi="宋体" w:eastAsia="仿宋_GB2312" w:cs="宋体"/>
          <w:kern w:val="0"/>
          <w:sz w:val="24"/>
        </w:rPr>
        <w:t>）</w:t>
      </w:r>
      <w:r>
        <w:rPr>
          <w:rFonts w:hint="eastAsia" w:ascii="仿宋_GB2312" w:hAnsi="宋体" w:eastAsia="仿宋_GB2312" w:cs="宋体"/>
          <w:kern w:val="0"/>
          <w:sz w:val="24"/>
        </w:rPr>
        <w:t>第四章监督管理第十七条“补助资金专款专项用于研发投入”，实际</w:t>
      </w:r>
      <w:r>
        <w:rPr>
          <w:rFonts w:hint="eastAsia" w:ascii="仿宋_GB2312" w:hAnsi="仿宋_GB2312" w:eastAsia="仿宋_GB2312" w:cs="仿宋_GB2312"/>
          <w:sz w:val="24"/>
        </w:rPr>
        <w:t>区科技局下设规划发展科对项目进行全程跟踪管理</w:t>
      </w:r>
      <w:r>
        <w:rPr>
          <w:rFonts w:hint="eastAsia" w:ascii="仿宋_GB2312" w:hAnsi="宋体" w:eastAsia="仿宋_GB2312" w:cs="宋体"/>
          <w:kern w:val="0"/>
          <w:sz w:val="24"/>
        </w:rPr>
        <w:t>，但未关注补助资金的后续使用情况，未对项目进行后期跟踪管理监督</w:t>
      </w:r>
      <w:r>
        <w:rPr>
          <w:rFonts w:hint="eastAsia" w:ascii="仿宋_GB2312" w:hAnsi="仿宋_GB2312" w:eastAsia="仿宋_GB2312" w:cs="仿宋_GB2312"/>
          <w:sz w:val="24"/>
        </w:rPr>
        <w:t>。</w:t>
      </w:r>
    </w:p>
    <w:p>
      <w:pPr>
        <w:widowControl/>
        <w:spacing w:line="360" w:lineRule="auto"/>
        <w:ind w:firstLine="480" w:firstLineChars="200"/>
        <w:jc w:val="left"/>
        <w:rPr>
          <w:rFonts w:ascii="仿宋_GB2312" w:hAnsi="宋体" w:eastAsia="仿宋_GB2312" w:cs="宋体"/>
          <w:kern w:val="0"/>
          <w:sz w:val="24"/>
        </w:rPr>
      </w:pPr>
      <w:r>
        <w:rPr>
          <w:rFonts w:ascii="仿宋_GB2312" w:hAnsi="仿宋_GB2312" w:eastAsia="仿宋_GB2312" w:cs="仿宋_GB2312"/>
          <w:sz w:val="24"/>
        </w:rPr>
        <w:t>3</w:t>
      </w:r>
      <w:r>
        <w:rPr>
          <w:rFonts w:hint="eastAsia" w:ascii="仿宋_GB2312" w:hAnsi="仿宋_GB2312" w:eastAsia="仿宋_GB2312" w:cs="仿宋_GB2312"/>
          <w:sz w:val="24"/>
        </w:rPr>
        <w:t>.</w:t>
      </w:r>
      <w:r>
        <w:rPr>
          <w:rFonts w:hint="eastAsia" w:ascii="仿宋_GB2312" w:hAnsi="宋体" w:eastAsia="仿宋_GB2312" w:cs="宋体"/>
          <w:kern w:val="0"/>
          <w:sz w:val="24"/>
        </w:rPr>
        <w:t>财务凭证未装订</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绩效评价项目于2023年7月对区科技局科技创新高质量发展项目进行绩效评价，评价时发现2023年1月支付的财务凭证未进行装订。</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（三）项目评审及资金拨付期间过长，并且项目评审不严谨</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1</w:t>
      </w:r>
      <w:r>
        <w:rPr>
          <w:rFonts w:ascii="仿宋_GB2312" w:hAnsi="宋体" w:eastAsia="仿宋_GB2312" w:cs="宋体"/>
          <w:kern w:val="0"/>
          <w:sz w:val="24"/>
        </w:rPr>
        <w:t>.</w:t>
      </w:r>
      <w:r>
        <w:rPr>
          <w:rFonts w:hint="eastAsia" w:ascii="仿宋_GB2312" w:hAnsi="宋体" w:eastAsia="仿宋_GB2312" w:cs="宋体"/>
          <w:kern w:val="0"/>
          <w:sz w:val="24"/>
        </w:rPr>
        <w:t>项目评审及资金拨付期间过长</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根据重庆市江津区科技创新促进高质量发展政策资金评审小组办公室《关于开展2020年度科技创新促进高质量发展政策资金项目申报工作的通知》，“四、申报流程（一）公开申报。符合条件的单位填写《江津区科技创新促进高质量发展政策资金项目申请表》，经所在园区（镇、街、主管部门）签署意见并加盖公章后，申报材料纸质文档按顺序装订（一式一份）和申报表电子文档于2021年10月9日前报送至区科技局规划发展科。”，但评审小组于2023年1月3日召开评审会议完成评审，2023年1月28日陆续拨付资金，从项目申报到资金拨付期间超1年，经查询渝北区</w:t>
      </w:r>
      <w:r>
        <w:rPr>
          <w:rFonts w:eastAsia="仿宋_GB2312"/>
          <w:sz w:val="24"/>
        </w:rPr>
        <w:t>《推动科技创新政策》（渝北府办发</w:t>
      </w:r>
      <w:r>
        <w:rPr>
          <w:rFonts w:ascii="仿宋_GB2312" w:hAnsi="宋体" w:eastAsia="仿宋_GB2312" w:cs="宋体"/>
          <w:kern w:val="0"/>
          <w:sz w:val="24"/>
        </w:rPr>
        <w:t>〔2020〕36</w:t>
      </w:r>
      <w:r>
        <w:rPr>
          <w:rFonts w:eastAsia="仿宋_GB2312"/>
          <w:sz w:val="24"/>
        </w:rPr>
        <w:t>号）</w:t>
      </w:r>
      <w:r>
        <w:rPr>
          <w:rFonts w:hint="eastAsia" w:eastAsia="仿宋_GB2312"/>
          <w:sz w:val="24"/>
        </w:rPr>
        <w:t>，</w:t>
      </w:r>
      <w:r>
        <w:rPr>
          <w:rFonts w:eastAsia="仿宋_GB2312"/>
          <w:sz w:val="24"/>
        </w:rPr>
        <w:t>渝北</w:t>
      </w:r>
      <w:r>
        <w:rPr>
          <w:rFonts w:hint="eastAsia" w:ascii="仿宋_GB2312" w:hAnsi="宋体" w:eastAsia="仿宋_GB2312" w:cs="宋体"/>
          <w:kern w:val="0"/>
          <w:sz w:val="24"/>
        </w:rPr>
        <w:t>区企业2020年申报的科技创新政策补贴资金，渝北区于2021年完成评审并在当年完成支付，经对比江津区科技局的“科技创新高质量发展项目”评审及资金拨款期间过长，同时，在对受益对象问卷调查中也提出项目评审周期过长的问题，影响企业科技创新及高质量发展的积极性。</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2</w:t>
      </w:r>
      <w:r>
        <w:rPr>
          <w:rFonts w:ascii="仿宋_GB2312" w:hAnsi="宋体" w:eastAsia="仿宋_GB2312" w:cs="宋体"/>
          <w:kern w:val="0"/>
          <w:sz w:val="24"/>
        </w:rPr>
        <w:t>.</w:t>
      </w:r>
      <w:r>
        <w:rPr>
          <w:rFonts w:hint="eastAsia" w:ascii="仿宋_GB2312" w:hAnsi="宋体" w:eastAsia="仿宋_GB2312" w:cs="宋体"/>
          <w:kern w:val="0"/>
          <w:sz w:val="24"/>
        </w:rPr>
        <w:t>项目评审不严谨</w:t>
      </w:r>
    </w:p>
    <w:p>
      <w:pPr>
        <w:widowControl/>
        <w:spacing w:line="360" w:lineRule="auto"/>
        <w:ind w:firstLine="480" w:firstLineChars="200"/>
        <w:jc w:val="left"/>
        <w:rPr>
          <w:rFonts w:ascii="仿宋_GB2312" w:hAnsi="Times New Roman" w:eastAsia="仿宋_GB2312"/>
          <w:sz w:val="24"/>
        </w:rPr>
      </w:pPr>
      <w:r>
        <w:rPr>
          <w:rFonts w:hint="eastAsia" w:ascii="仿宋_GB2312" w:hAnsi="宋体" w:eastAsia="仿宋_GB2312" w:cs="宋体"/>
          <w:kern w:val="0"/>
          <w:sz w:val="24"/>
        </w:rPr>
        <w:t>经评价发现</w:t>
      </w:r>
      <w:r>
        <w:rPr>
          <w:rFonts w:hint="eastAsia" w:ascii="仿宋_GB2312" w:hAnsi="Times New Roman" w:eastAsia="仿宋_GB2312"/>
          <w:sz w:val="24"/>
        </w:rPr>
        <w:t>重庆树百获教育信息咨询有限公司于2021年保送申请到区科技局，但于2022年9月重庆树百获教育信息咨询有限公司进行工商注销登记，项目评审小组于2023年评审时通过了对重庆树百获教育信息咨询有限公司的补助资质。</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Times New Roman" w:eastAsia="仿宋_GB2312"/>
          <w:sz w:val="24"/>
        </w:rPr>
        <w:t>（四）项目实施效果方面</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1</w:t>
      </w:r>
      <w:r>
        <w:rPr>
          <w:rFonts w:ascii="仿宋_GB2312" w:hAnsi="Times New Roman" w:eastAsia="仿宋_GB2312"/>
          <w:sz w:val="24"/>
        </w:rPr>
        <w:t>.</w:t>
      </w:r>
      <w:r>
        <w:rPr>
          <w:rFonts w:hint="eastAsia" w:ascii="仿宋_GB2312" w:hAnsi="Times New Roman" w:eastAsia="仿宋_GB2312"/>
          <w:sz w:val="24"/>
        </w:rPr>
        <w:t>区相关企业的营业收入有待提高。评价发现，抽查的企业2021年营业收入2,694,061.10万元，2022年营业收入2,693,019.90万元，企业营业收入无增长。</w:t>
      </w:r>
    </w:p>
    <w:p>
      <w:pPr>
        <w:widowControl/>
        <w:spacing w:line="360" w:lineRule="auto"/>
        <w:ind w:firstLine="480" w:firstLineChars="200"/>
        <w:jc w:val="left"/>
        <w:rPr>
          <w:rFonts w:ascii="仿宋_GB2312" w:hAnsi="Times New Roman" w:eastAsia="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w:t>
      </w:r>
      <w:r>
        <w:rPr>
          <w:rFonts w:hint="eastAsia" w:ascii="仿宋_GB2312" w:hAnsi="仿宋_GB2312" w:eastAsia="仿宋_GB2312" w:cs="仿宋_GB2312"/>
          <w:sz w:val="24"/>
        </w:rPr>
        <w:t>项目可持续性有待提升。评价发现，申报</w:t>
      </w:r>
      <w:r>
        <w:rPr>
          <w:rFonts w:hint="eastAsia" w:ascii="仿宋_GB2312" w:hAnsi="Times New Roman" w:eastAsia="仿宋_GB2312"/>
          <w:sz w:val="24"/>
        </w:rPr>
        <w:t>本项目</w:t>
      </w:r>
      <w:r>
        <w:rPr>
          <w:rFonts w:hint="eastAsia" w:ascii="仿宋_GB2312" w:hAnsi="仿宋_GB2312" w:eastAsia="仿宋_GB2312" w:cs="仿宋_GB2312"/>
          <w:sz w:val="24"/>
        </w:rPr>
        <w:t>并通过审核发放补助的企业及高校共计350家，其中：取得“</w:t>
      </w:r>
      <w:r>
        <w:rPr>
          <w:rFonts w:hint="eastAsia" w:ascii="仿宋_GB2312" w:hAnsi="Times New Roman" w:eastAsia="仿宋_GB2312"/>
          <w:sz w:val="24"/>
        </w:rPr>
        <w:t>科技型企业认定</w:t>
      </w:r>
      <w:r>
        <w:rPr>
          <w:rFonts w:hint="eastAsia" w:ascii="仿宋_GB2312" w:hAnsi="仿宋_GB2312" w:eastAsia="仿宋_GB2312" w:cs="仿宋_GB2312"/>
          <w:sz w:val="24"/>
        </w:rPr>
        <w:t>”</w:t>
      </w:r>
      <w:r>
        <w:rPr>
          <w:rFonts w:hint="eastAsia" w:ascii="仿宋_GB2312" w:hAnsi="Times New Roman" w:eastAsia="仿宋_GB2312"/>
          <w:sz w:val="24"/>
        </w:rPr>
        <w:t>奖补的企业共1</w:t>
      </w:r>
      <w:r>
        <w:rPr>
          <w:rFonts w:ascii="仿宋_GB2312" w:hAnsi="Times New Roman" w:eastAsia="仿宋_GB2312"/>
          <w:sz w:val="24"/>
        </w:rPr>
        <w:t>21</w:t>
      </w:r>
      <w:r>
        <w:rPr>
          <w:rFonts w:hint="eastAsia" w:ascii="仿宋_GB2312" w:hAnsi="Times New Roman" w:eastAsia="仿宋_GB2312"/>
          <w:sz w:val="24"/>
        </w:rPr>
        <w:t>家，占奖补企业的</w:t>
      </w:r>
      <w:r>
        <w:rPr>
          <w:rFonts w:ascii="仿宋_GB2312" w:hAnsi="Times New Roman" w:eastAsia="仿宋_GB2312"/>
          <w:sz w:val="24"/>
        </w:rPr>
        <w:t>34.57%</w:t>
      </w:r>
      <w:r>
        <w:rPr>
          <w:rFonts w:hint="eastAsia" w:ascii="仿宋_GB2312" w:hAnsi="Times New Roman" w:eastAsia="仿宋_GB2312"/>
          <w:sz w:val="24"/>
        </w:rPr>
        <w:t>；取得“科技型企业认定”项目奖励的企业共取得奖励6</w:t>
      </w:r>
      <w:r>
        <w:rPr>
          <w:rFonts w:ascii="仿宋_GB2312" w:hAnsi="Times New Roman" w:eastAsia="仿宋_GB2312"/>
          <w:sz w:val="24"/>
        </w:rPr>
        <w:t>1.5</w:t>
      </w:r>
      <w:r>
        <w:rPr>
          <w:rFonts w:hint="eastAsia" w:ascii="仿宋_GB2312" w:hAnsi="Times New Roman" w:eastAsia="仿宋_GB2312"/>
          <w:sz w:val="24"/>
        </w:rPr>
        <w:t>0万元，占总奖补金额的1</w:t>
      </w:r>
      <w:r>
        <w:rPr>
          <w:rFonts w:ascii="仿宋_GB2312" w:hAnsi="Times New Roman" w:eastAsia="仿宋_GB2312"/>
          <w:sz w:val="24"/>
        </w:rPr>
        <w:t>.53%</w:t>
      </w:r>
      <w:r>
        <w:rPr>
          <w:rFonts w:hint="eastAsia" w:ascii="仿宋_GB2312" w:hAnsi="Times New Roman" w:eastAsia="仿宋_GB2312"/>
          <w:sz w:val="24"/>
        </w:rPr>
        <w:t>，其中：补贴资金0</w:t>
      </w:r>
      <w:r>
        <w:rPr>
          <w:rFonts w:ascii="仿宋_GB2312" w:hAnsi="Times New Roman" w:eastAsia="仿宋_GB2312"/>
          <w:sz w:val="24"/>
        </w:rPr>
        <w:t>.5</w:t>
      </w:r>
      <w:r>
        <w:rPr>
          <w:rFonts w:hint="eastAsia" w:ascii="仿宋_GB2312" w:hAnsi="Times New Roman" w:eastAsia="仿宋_GB2312"/>
          <w:sz w:val="24"/>
        </w:rPr>
        <w:t>0万元的1</w:t>
      </w:r>
      <w:r>
        <w:rPr>
          <w:rFonts w:ascii="仿宋_GB2312" w:hAnsi="Times New Roman" w:eastAsia="仿宋_GB2312"/>
          <w:sz w:val="24"/>
        </w:rPr>
        <w:t>09</w:t>
      </w:r>
      <w:r>
        <w:rPr>
          <w:rFonts w:hint="eastAsia" w:ascii="仿宋_GB2312" w:hAnsi="Times New Roman" w:eastAsia="仿宋_GB2312"/>
          <w:sz w:val="24"/>
        </w:rPr>
        <w:t>家，补贴资金1.00万元的2家。经调查上述类型奖补资金对企业的研发投入占比较少，该奖励对提升企业研发积极性的激励作用较小，产生的效果持续性不足。</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Times New Roman" w:eastAsia="仿宋_GB2312"/>
          <w:sz w:val="24"/>
        </w:rPr>
        <w:t>3</w:t>
      </w:r>
      <w:r>
        <w:rPr>
          <w:rFonts w:ascii="仿宋_GB2312" w:hAnsi="Times New Roman" w:eastAsia="仿宋_GB2312"/>
          <w:sz w:val="24"/>
        </w:rPr>
        <w:t>.</w:t>
      </w:r>
      <w:r>
        <w:rPr>
          <w:rFonts w:hint="eastAsia" w:ascii="仿宋_GB2312" w:hAnsi="Times New Roman" w:eastAsia="仿宋_GB2312"/>
          <w:sz w:val="24"/>
        </w:rPr>
        <w:t>部分激励政策未达成。评价发现</w:t>
      </w:r>
      <w:r>
        <w:rPr>
          <w:rFonts w:hint="eastAsia" w:ascii="仿宋_GB2312" w:hAnsi="宋体" w:eastAsia="仿宋_GB2312" w:cs="宋体"/>
          <w:kern w:val="0"/>
          <w:sz w:val="24"/>
        </w:rPr>
        <w:t>《关于印发江津区高质量发展激励政策的通知》（江津府发〔2019〕18号）共计</w:t>
      </w:r>
      <w:r>
        <w:rPr>
          <w:rFonts w:ascii="仿宋_GB2312" w:hAnsi="宋体" w:eastAsia="仿宋_GB2312" w:cs="宋体"/>
          <w:kern w:val="0"/>
          <w:sz w:val="24"/>
        </w:rPr>
        <w:t>10条激励政策</w:t>
      </w:r>
      <w:r>
        <w:rPr>
          <w:rFonts w:hint="eastAsia" w:ascii="仿宋_GB2312" w:hAnsi="宋体" w:eastAsia="仿宋_GB2312" w:cs="宋体"/>
          <w:kern w:val="0"/>
          <w:sz w:val="24"/>
        </w:rPr>
        <w:t>，2021年江津区全区满足申报条件企业及高校只满足其中9条激励政策，其中“着力引进院士专家团队”江津区2021年无满足条件的企业与高校。</w:t>
      </w:r>
    </w:p>
    <w:p>
      <w:pPr>
        <w:widowControl/>
        <w:spacing w:line="360" w:lineRule="auto"/>
        <w:ind w:firstLine="482" w:firstLineChars="200"/>
        <w:jc w:val="left"/>
        <w:rPr>
          <w:rFonts w:ascii="仿宋_GB2312" w:hAnsi="Times New Roman" w:eastAsia="仿宋_GB2312"/>
          <w:b/>
          <w:bCs/>
          <w:sz w:val="24"/>
        </w:rPr>
      </w:pPr>
      <w:r>
        <w:rPr>
          <w:rFonts w:hint="eastAsia" w:ascii="仿宋_GB2312" w:hAnsi="Times New Roman" w:eastAsia="仿宋_GB2312"/>
          <w:b/>
          <w:bCs/>
          <w:sz w:val="24"/>
        </w:rPr>
        <w:t>六、相关建议</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（一）完善绩效目标的设置</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区科技局在设置绩效目标时应根据重庆市财政局《重庆市市级政策和项目预算绩效管理办法（试行）》（渝财绩〔2019〕19号）的要求，并结合项目的实际情况设置绩效目标，保证绩效目标的完整性，并且将对应的转化的成果按资金量的比例设置绩效目标。</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（二）项目管理方面</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区科技局根据江津区政府的相关政策文件制定具体的实施细则，完善评审的时间节点和期限、后期监管细节、明确补助资金的使用范围。对于《关于印发江津区高质量发展激励政策的通知》（江津府发〔2019〕18号）与《</w:t>
      </w:r>
      <w:r>
        <w:rPr>
          <w:rFonts w:ascii="仿宋_GB2312" w:hAnsi="宋体" w:eastAsia="仿宋_GB2312" w:cs="宋体"/>
          <w:kern w:val="0"/>
          <w:sz w:val="24"/>
        </w:rPr>
        <w:t>关于印发江津区支持消费品工业高质量发展政策的通知</w:t>
      </w:r>
      <w:r>
        <w:rPr>
          <w:rFonts w:hint="eastAsia" w:ascii="仿宋_GB2312" w:hAnsi="宋体" w:eastAsia="仿宋_GB2312" w:cs="宋体"/>
          <w:kern w:val="0"/>
          <w:sz w:val="24"/>
        </w:rPr>
        <w:t>》（江津府办发〔</w:t>
      </w:r>
      <w:r>
        <w:rPr>
          <w:rFonts w:ascii="仿宋_GB2312" w:hAnsi="宋体" w:eastAsia="仿宋_GB2312" w:cs="宋体"/>
          <w:kern w:val="0"/>
          <w:sz w:val="24"/>
        </w:rPr>
        <w:t>2020</w:t>
      </w:r>
      <w:r>
        <w:rPr>
          <w:rFonts w:hint="eastAsia" w:ascii="仿宋_GB2312" w:hAnsi="宋体" w:eastAsia="仿宋_GB2312" w:cs="宋体"/>
          <w:kern w:val="0"/>
          <w:sz w:val="24"/>
        </w:rPr>
        <w:t>〕</w:t>
      </w:r>
      <w:r>
        <w:rPr>
          <w:rFonts w:ascii="仿宋_GB2312" w:hAnsi="宋体" w:eastAsia="仿宋_GB2312" w:cs="宋体"/>
          <w:kern w:val="0"/>
          <w:sz w:val="24"/>
        </w:rPr>
        <w:t>172</w:t>
      </w:r>
      <w:r>
        <w:rPr>
          <w:rFonts w:hint="eastAsia" w:ascii="仿宋_GB2312" w:hAnsi="宋体" w:eastAsia="仿宋_GB2312" w:cs="宋体"/>
          <w:kern w:val="0"/>
          <w:sz w:val="24"/>
        </w:rPr>
        <w:t>号）政策条款存在条款或标准存在不一致的，应进行充分调研和内部讨论，做到条款明确，补助标准一致无争议。后续按照政策文件的要求，加强对</w:t>
      </w:r>
      <w:r>
        <w:rPr>
          <w:rFonts w:ascii="仿宋_GB2312" w:hAnsi="宋体" w:eastAsia="仿宋_GB2312" w:cs="宋体"/>
          <w:kern w:val="0"/>
          <w:sz w:val="24"/>
        </w:rPr>
        <w:t>补助资金</w:t>
      </w:r>
      <w:r>
        <w:rPr>
          <w:rFonts w:hint="eastAsia" w:ascii="仿宋_GB2312" w:hAnsi="宋体" w:eastAsia="仿宋_GB2312" w:cs="宋体"/>
          <w:kern w:val="0"/>
          <w:sz w:val="24"/>
        </w:rPr>
        <w:t>的</w:t>
      </w:r>
      <w:r>
        <w:rPr>
          <w:rFonts w:ascii="仿宋_GB2312" w:hAnsi="宋体" w:eastAsia="仿宋_GB2312" w:cs="宋体"/>
          <w:kern w:val="0"/>
          <w:sz w:val="24"/>
        </w:rPr>
        <w:t>事后监督跟踪管理</w:t>
      </w:r>
      <w:r>
        <w:rPr>
          <w:rFonts w:hint="eastAsia" w:ascii="仿宋_GB2312" w:hAnsi="宋体" w:eastAsia="仿宋_GB2312" w:cs="宋体"/>
          <w:kern w:val="0"/>
          <w:sz w:val="24"/>
        </w:rPr>
        <w:t>，定期或不定期对补助企业或学校进行检查。加强财务管理，财务凭证应尽快装订，避免财务凭证附件丢失等情况。</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（三）及时完成项目评审，并且保证评审环节的严谨性</w:t>
      </w:r>
    </w:p>
    <w:p>
      <w:pPr>
        <w:widowControl/>
        <w:spacing w:line="360" w:lineRule="auto"/>
        <w:ind w:firstLine="480" w:firstLineChars="200"/>
        <w:jc w:val="left"/>
        <w:rPr>
          <w:rFonts w:ascii="仿宋_GB2312" w:hAnsi="Times New Roman" w:eastAsia="仿宋_GB2312"/>
          <w:sz w:val="24"/>
        </w:rPr>
      </w:pPr>
      <w:r>
        <w:rPr>
          <w:rFonts w:hint="eastAsia" w:ascii="仿宋_GB2312" w:hAnsi="宋体" w:eastAsia="仿宋_GB2312" w:cs="宋体"/>
          <w:kern w:val="0"/>
          <w:sz w:val="24"/>
        </w:rPr>
        <w:t>区科技局应优化审核环节，对项目申报的企业及时召开评审会议，及时拨付补助资金，避免企业产生消极情绪，并且</w:t>
      </w:r>
      <w:r>
        <w:rPr>
          <w:rFonts w:hint="eastAsia" w:ascii="仿宋_GB2312" w:hAnsi="Times New Roman" w:eastAsia="仿宋_GB2312"/>
          <w:sz w:val="24"/>
        </w:rPr>
        <w:t>在因特殊情况延后进行评审时，需加强对企业的持续经营资质进行复查，对于不满足条件的企业尽早剔除。</w:t>
      </w:r>
    </w:p>
    <w:p>
      <w:pPr>
        <w:widowControl/>
        <w:spacing w:line="360" w:lineRule="auto"/>
        <w:ind w:firstLine="480" w:firstLineChars="200"/>
        <w:jc w:val="left"/>
        <w:rPr>
          <w:rFonts w:ascii="仿宋_GB2312" w:hAnsi="Times New Roman" w:eastAsia="仿宋_GB2312"/>
          <w:sz w:val="24"/>
        </w:rPr>
      </w:pPr>
      <w:r>
        <w:rPr>
          <w:rFonts w:hint="eastAsia" w:ascii="仿宋_GB2312" w:hAnsi="Times New Roman" w:eastAsia="仿宋_GB2312"/>
          <w:sz w:val="24"/>
        </w:rPr>
        <w:t>（四）加强项目的实施效果</w:t>
      </w:r>
    </w:p>
    <w:p>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宋体" w:eastAsia="仿宋_GB2312" w:cs="宋体"/>
          <w:kern w:val="0"/>
          <w:sz w:val="24"/>
        </w:rPr>
        <w:t>建议区科技局</w:t>
      </w:r>
      <w:r>
        <w:rPr>
          <w:rFonts w:hint="eastAsia" w:ascii="仿宋_GB2312" w:hAnsi="仿宋_GB2312" w:eastAsia="仿宋_GB2312" w:cs="仿宋_GB2312"/>
          <w:sz w:val="24"/>
        </w:rPr>
        <w:t>可以通过拓宽与其他相关部门、机构的沟通渠道，深入了解</w:t>
      </w:r>
      <w:r>
        <w:rPr>
          <w:rFonts w:hint="eastAsia" w:ascii="仿宋_GB2312" w:hAnsi="Times New Roman" w:eastAsia="仿宋_GB2312"/>
          <w:sz w:val="24"/>
        </w:rPr>
        <w:t>调研</w:t>
      </w:r>
      <w:r>
        <w:rPr>
          <w:rFonts w:hint="eastAsia" w:ascii="仿宋_GB2312" w:hAnsi="仿宋_GB2312" w:eastAsia="仿宋_GB2312" w:cs="仿宋_GB2312"/>
          <w:sz w:val="24"/>
        </w:rPr>
        <w:t>相关行业、机构的难处，优化补助政策，从而帮助相关企业及机构进行生产与研发，提升相关企业的营业收入才能提升研发行业的税收收入。</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仿宋_GB2312" w:eastAsia="仿宋_GB2312" w:cs="仿宋_GB2312"/>
          <w:sz w:val="24"/>
        </w:rPr>
        <w:t>对于奖补金额较小，后续未持续投入研发的企业，建议不再奖补，将有限的奖补资金集中投入到研发和科技创新投入较多的企业或学校，</w:t>
      </w:r>
      <w:r>
        <w:rPr>
          <w:rFonts w:hint="eastAsia" w:ascii="仿宋_GB2312" w:hAnsi="Times New Roman" w:eastAsia="仿宋_GB2312"/>
          <w:sz w:val="24"/>
        </w:rPr>
        <w:t>最大化的发挥补助资金的促进作用，吸引优质的专家团队入驻江津区</w:t>
      </w:r>
      <w:r>
        <w:rPr>
          <w:rFonts w:hint="eastAsia" w:ascii="仿宋_GB2312" w:hAnsi="仿宋_GB2312" w:eastAsia="仿宋_GB2312" w:cs="仿宋_GB2312"/>
          <w:sz w:val="24"/>
        </w:rPr>
        <w:t>。</w:t>
      </w:r>
    </w:p>
    <w:p>
      <w:pPr>
        <w:widowControl/>
        <w:spacing w:line="360" w:lineRule="auto"/>
        <w:ind w:firstLine="480" w:firstLineChars="200"/>
        <w:jc w:val="left"/>
        <w:rPr>
          <w:rFonts w:ascii="仿宋_GB2312" w:hAnsi="宋体" w:eastAsia="仿宋_GB2312" w:cs="宋体"/>
          <w:kern w:val="0"/>
          <w:sz w:val="24"/>
        </w:rPr>
      </w:pPr>
    </w:p>
    <w:p>
      <w:pPr>
        <w:widowControl/>
        <w:spacing w:line="360" w:lineRule="auto"/>
        <w:ind w:firstLine="482" w:firstLineChars="200"/>
        <w:jc w:val="left"/>
        <w:rPr>
          <w:rFonts w:ascii="仿宋_GB2312" w:hAnsi="宋体" w:eastAsia="仿宋_GB2312" w:cs="宋体"/>
          <w:b/>
          <w:kern w:val="0"/>
          <w:sz w:val="24"/>
        </w:rPr>
      </w:pPr>
      <w:r>
        <w:rPr>
          <w:rFonts w:hint="eastAsia" w:ascii="仿宋_GB2312" w:hAnsi="Times New Roman" w:eastAsia="仿宋_GB2312"/>
          <w:b/>
          <w:sz w:val="24"/>
        </w:rPr>
        <w:t>七</w:t>
      </w:r>
      <w:r>
        <w:rPr>
          <w:rFonts w:hint="eastAsia" w:ascii="仿宋_GB2312" w:hAnsi="Times New Roman" w:eastAsia="仿宋_GB2312"/>
          <w:sz w:val="24"/>
        </w:rPr>
        <w:t>、</w:t>
      </w:r>
      <w:r>
        <w:rPr>
          <w:rFonts w:hint="eastAsia" w:ascii="仿宋_GB2312" w:hAnsi="宋体" w:eastAsia="仿宋_GB2312" w:cs="宋体"/>
          <w:b/>
          <w:kern w:val="0"/>
          <w:sz w:val="24"/>
        </w:rPr>
        <w:t>其他事项</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本报告仅为本次绩效评价目的使用，不得另作他用，因使用本报告不当所造成的后果，与本所及其执行本业务的注册会计师无关。</w:t>
      </w:r>
    </w:p>
    <w:p>
      <w:pPr>
        <w:widowControl/>
        <w:spacing w:line="360" w:lineRule="auto"/>
        <w:ind w:firstLine="360" w:firstLineChars="150"/>
        <w:jc w:val="left"/>
        <w:rPr>
          <w:rFonts w:ascii="仿宋_GB2312" w:hAnsi="宋体" w:eastAsia="仿宋_GB2312" w:cs="宋体"/>
          <w:kern w:val="0"/>
          <w:sz w:val="24"/>
        </w:rPr>
      </w:pPr>
      <w:bookmarkStart w:id="2" w:name="_Toc313438282"/>
    </w:p>
    <w:p>
      <w:pPr>
        <w:widowControl/>
        <w:spacing w:line="360" w:lineRule="auto"/>
        <w:ind w:firstLine="360" w:firstLineChars="150"/>
        <w:jc w:val="left"/>
        <w:rPr>
          <w:rFonts w:ascii="仿宋_GB2312" w:hAnsi="宋体" w:eastAsia="仿宋_GB2312" w:cs="宋体"/>
          <w:kern w:val="0"/>
          <w:sz w:val="24"/>
        </w:rPr>
      </w:pPr>
    </w:p>
    <w:p>
      <w:pPr>
        <w:widowControl/>
        <w:spacing w:line="360" w:lineRule="auto"/>
        <w:ind w:firstLine="360" w:firstLineChars="150"/>
        <w:jc w:val="left"/>
        <w:rPr>
          <w:rFonts w:ascii="仿宋_GB2312" w:hAnsi="宋体" w:eastAsia="仿宋_GB2312" w:cs="宋体"/>
          <w:kern w:val="0"/>
          <w:sz w:val="24"/>
        </w:rPr>
      </w:pPr>
    </w:p>
    <w:p>
      <w:pPr>
        <w:widowControl/>
        <w:spacing w:line="360" w:lineRule="auto"/>
        <w:ind w:firstLine="360" w:firstLineChars="150"/>
        <w:jc w:val="left"/>
        <w:rPr>
          <w:rFonts w:ascii="仿宋_GB2312" w:hAnsi="宋体" w:eastAsia="仿宋_GB2312" w:cs="宋体"/>
          <w:kern w:val="0"/>
          <w:sz w:val="24"/>
        </w:rPr>
      </w:pPr>
    </w:p>
    <w:p>
      <w:pPr>
        <w:widowControl/>
        <w:spacing w:line="360" w:lineRule="auto"/>
        <w:ind w:firstLine="360" w:firstLineChars="150"/>
        <w:jc w:val="left"/>
        <w:rPr>
          <w:rFonts w:ascii="仿宋_GB2312" w:hAnsi="宋体" w:eastAsia="仿宋_GB2312" w:cs="宋体"/>
          <w:kern w:val="0"/>
          <w:sz w:val="24"/>
        </w:rPr>
      </w:pPr>
    </w:p>
    <w:p>
      <w:pPr>
        <w:widowControl/>
        <w:spacing w:line="360" w:lineRule="auto"/>
        <w:ind w:firstLine="360" w:firstLineChars="150"/>
        <w:jc w:val="left"/>
        <w:rPr>
          <w:rFonts w:ascii="仿宋_GB2312" w:hAnsi="宋体" w:eastAsia="仿宋_GB2312" w:cs="宋体"/>
          <w:kern w:val="0"/>
          <w:sz w:val="24"/>
        </w:rPr>
      </w:pPr>
      <w:r>
        <w:rPr>
          <w:rFonts w:hint="eastAsia" w:ascii="仿宋_GB2312" w:hAnsi="宋体" w:eastAsia="仿宋_GB2312" w:cs="宋体"/>
          <w:kern w:val="0"/>
          <w:sz w:val="24"/>
        </w:rPr>
        <w:t>附件</w:t>
      </w:r>
      <w:bookmarkEnd w:id="2"/>
      <w:r>
        <w:rPr>
          <w:rFonts w:hint="eastAsia" w:ascii="仿宋_GB2312" w:hAnsi="宋体" w:eastAsia="仿宋_GB2312" w:cs="宋体"/>
          <w:kern w:val="0"/>
          <w:sz w:val="24"/>
        </w:rPr>
        <w:t>：</w:t>
      </w:r>
    </w:p>
    <w:p>
      <w:pPr>
        <w:widowControl/>
        <w:spacing w:line="360" w:lineRule="auto"/>
        <w:ind w:firstLine="360" w:firstLineChars="150"/>
        <w:jc w:val="left"/>
        <w:rPr>
          <w:rFonts w:ascii="仿宋_GB2312" w:hAnsi="宋体" w:eastAsia="仿宋_GB2312" w:cs="宋体"/>
          <w:kern w:val="0"/>
          <w:sz w:val="24"/>
        </w:rPr>
      </w:pPr>
      <w:r>
        <w:rPr>
          <w:rFonts w:hint="eastAsia" w:ascii="仿宋_GB2312" w:hAnsi="宋体" w:eastAsia="仿宋_GB2312" w:cs="宋体"/>
          <w:kern w:val="0"/>
          <w:sz w:val="24"/>
        </w:rPr>
        <w:t>1</w:t>
      </w:r>
      <w:r>
        <w:rPr>
          <w:rFonts w:hint="eastAsia" w:ascii="仿宋_GB2312" w:hAnsi="Times New Roman" w:eastAsia="仿宋_GB2312"/>
          <w:sz w:val="24"/>
        </w:rPr>
        <w:t>.</w:t>
      </w:r>
      <w:r>
        <w:rPr>
          <w:rFonts w:hint="eastAsia" w:ascii="仿宋_GB2312" w:hAnsi="宋体" w:eastAsia="仿宋_GB2312" w:cs="宋体"/>
          <w:kern w:val="0"/>
          <w:sz w:val="24"/>
        </w:rPr>
        <w:t>科技创新高质量发展项目绩效评价指标</w:t>
      </w:r>
      <w:r>
        <w:rPr>
          <w:rFonts w:hint="eastAsia" w:ascii="仿宋_GB2312" w:hAnsi="仿宋_GB2312" w:eastAsia="仿宋_GB2312" w:cs="仿宋_GB2312"/>
          <w:kern w:val="0"/>
          <w:sz w:val="24"/>
        </w:rPr>
        <w:t>；</w:t>
      </w:r>
    </w:p>
    <w:p>
      <w:pPr>
        <w:widowControl/>
        <w:spacing w:line="360" w:lineRule="auto"/>
        <w:ind w:firstLine="360" w:firstLineChars="150"/>
        <w:jc w:val="left"/>
        <w:rPr>
          <w:rFonts w:ascii="仿宋_GB2312" w:hAnsi="宋体" w:eastAsia="仿宋_GB2312" w:cs="宋体"/>
          <w:kern w:val="0"/>
          <w:sz w:val="24"/>
        </w:rPr>
      </w:pPr>
      <w:r>
        <w:rPr>
          <w:rFonts w:hint="eastAsia" w:ascii="仿宋_GB2312" w:hAnsi="宋体" w:eastAsia="仿宋_GB2312" w:cs="宋体"/>
          <w:kern w:val="0"/>
          <w:sz w:val="24"/>
        </w:rPr>
        <w:t>2</w:t>
      </w:r>
      <w:r>
        <w:rPr>
          <w:rFonts w:hint="eastAsia" w:ascii="仿宋_GB2312" w:hAnsi="Times New Roman" w:eastAsia="仿宋_GB2312"/>
          <w:sz w:val="24"/>
        </w:rPr>
        <w:t>.</w:t>
      </w:r>
      <w:r>
        <w:rPr>
          <w:rFonts w:hint="eastAsia" w:ascii="仿宋_GB2312" w:hAnsi="宋体" w:eastAsia="仿宋_GB2312" w:cs="宋体"/>
          <w:kern w:val="0"/>
          <w:sz w:val="24"/>
        </w:rPr>
        <w:t>本所《执业资格证书》及《营业执照》（复印件）；</w:t>
      </w:r>
    </w:p>
    <w:p>
      <w:pPr>
        <w:widowControl/>
        <w:spacing w:line="360" w:lineRule="auto"/>
        <w:ind w:firstLine="360" w:firstLineChars="150"/>
        <w:jc w:val="left"/>
        <w:rPr>
          <w:rFonts w:ascii="仿宋_GB2312" w:hAnsi="宋体" w:eastAsia="仿宋_GB2312" w:cs="宋体"/>
          <w:kern w:val="0"/>
          <w:sz w:val="24"/>
        </w:rPr>
      </w:pPr>
      <w:r>
        <w:rPr>
          <w:rFonts w:hint="eastAsia" w:ascii="仿宋_GB2312" w:hAnsi="宋体" w:eastAsia="仿宋_GB2312" w:cs="宋体"/>
          <w:kern w:val="0"/>
          <w:sz w:val="24"/>
        </w:rPr>
        <w:t>3</w:t>
      </w:r>
      <w:r>
        <w:rPr>
          <w:rFonts w:hint="eastAsia" w:ascii="仿宋_GB2312" w:hAnsi="Times New Roman" w:eastAsia="仿宋_GB2312"/>
          <w:sz w:val="24"/>
        </w:rPr>
        <w:t>.</w:t>
      </w:r>
      <w:r>
        <w:rPr>
          <w:rFonts w:hint="eastAsia" w:ascii="仿宋_GB2312" w:hAnsi="宋体" w:eastAsia="仿宋_GB2312" w:cs="宋体"/>
          <w:kern w:val="0"/>
          <w:sz w:val="24"/>
        </w:rPr>
        <w:t>注册会计师执业证书（复印件）。</w:t>
      </w:r>
    </w:p>
    <w:p>
      <w:pPr>
        <w:widowControl/>
        <w:spacing w:line="360" w:lineRule="auto"/>
        <w:jc w:val="left"/>
        <w:rPr>
          <w:rFonts w:ascii="仿宋_GB2312" w:hAnsi="宋体" w:eastAsia="仿宋_GB2312" w:cs="宋体"/>
          <w:kern w:val="0"/>
          <w:sz w:val="24"/>
        </w:rPr>
      </w:pPr>
    </w:p>
    <w:tbl>
      <w:tblPr>
        <w:tblStyle w:val="21"/>
        <w:tblW w:w="0" w:type="auto"/>
        <w:jc w:val="center"/>
        <w:tblLayout w:type="fixed"/>
        <w:tblCellMar>
          <w:top w:w="0" w:type="dxa"/>
          <w:left w:w="108" w:type="dxa"/>
          <w:bottom w:w="0" w:type="dxa"/>
          <w:right w:w="108" w:type="dxa"/>
        </w:tblCellMar>
      </w:tblPr>
      <w:tblGrid>
        <w:gridCol w:w="4494"/>
        <w:gridCol w:w="4034"/>
      </w:tblGrid>
      <w:tr>
        <w:tblPrEx>
          <w:tblCellMar>
            <w:top w:w="0" w:type="dxa"/>
            <w:left w:w="108" w:type="dxa"/>
            <w:bottom w:w="0" w:type="dxa"/>
            <w:right w:w="108" w:type="dxa"/>
          </w:tblCellMar>
        </w:tblPrEx>
        <w:trPr>
          <w:trHeight w:val="567" w:hRule="exact"/>
          <w:jc w:val="center"/>
        </w:trPr>
        <w:tc>
          <w:tcPr>
            <w:tcW w:w="4494" w:type="dxa"/>
            <w:vAlign w:val="center"/>
          </w:tcPr>
          <w:p>
            <w:pPr>
              <w:rPr>
                <w:rFonts w:eastAsia="仿宋_GB2312"/>
                <w:b/>
                <w:kern w:val="0"/>
                <w:sz w:val="24"/>
              </w:rPr>
            </w:pPr>
            <w:r>
              <w:rPr>
                <w:rFonts w:eastAsia="仿宋_GB2312"/>
                <w:b/>
                <w:kern w:val="0"/>
                <w:sz w:val="24"/>
              </w:rPr>
              <w:t>重庆同辉会计师事务所（普通合伙）</w:t>
            </w:r>
          </w:p>
        </w:tc>
        <w:tc>
          <w:tcPr>
            <w:tcW w:w="4034" w:type="dxa"/>
            <w:vAlign w:val="center"/>
          </w:tcPr>
          <w:p>
            <w:pPr>
              <w:jc w:val="center"/>
              <w:rPr>
                <w:rFonts w:eastAsia="仿宋_GB2312"/>
                <w:b/>
                <w:kern w:val="0"/>
                <w:sz w:val="24"/>
              </w:rPr>
            </w:pPr>
            <w:r>
              <w:rPr>
                <w:rFonts w:eastAsia="仿宋_GB2312"/>
                <w:b/>
                <w:kern w:val="0"/>
                <w:sz w:val="24"/>
              </w:rPr>
              <w:t>中国注册会计师：</w:t>
            </w:r>
          </w:p>
        </w:tc>
      </w:tr>
      <w:tr>
        <w:tblPrEx>
          <w:tblCellMar>
            <w:top w:w="0" w:type="dxa"/>
            <w:left w:w="108" w:type="dxa"/>
            <w:bottom w:w="0" w:type="dxa"/>
            <w:right w:w="108" w:type="dxa"/>
          </w:tblCellMar>
        </w:tblPrEx>
        <w:trPr>
          <w:trHeight w:val="567" w:hRule="exact"/>
          <w:jc w:val="center"/>
        </w:trPr>
        <w:tc>
          <w:tcPr>
            <w:tcW w:w="4494" w:type="dxa"/>
            <w:vMerge w:val="restart"/>
            <w:vAlign w:val="center"/>
          </w:tcPr>
          <w:p>
            <w:pPr>
              <w:jc w:val="center"/>
              <w:rPr>
                <w:rFonts w:eastAsia="仿宋_GB2312"/>
                <w:b/>
                <w:kern w:val="0"/>
                <w:sz w:val="24"/>
              </w:rPr>
            </w:pPr>
            <w:r>
              <w:rPr>
                <w:rFonts w:hint="eastAsia" w:eastAsia="仿宋_GB2312"/>
                <w:b/>
                <w:kern w:val="0"/>
                <w:sz w:val="24"/>
              </w:rPr>
              <w:t>中国·重庆</w:t>
            </w:r>
          </w:p>
        </w:tc>
        <w:tc>
          <w:tcPr>
            <w:tcW w:w="4034" w:type="dxa"/>
            <w:vAlign w:val="center"/>
          </w:tcPr>
          <w:p>
            <w:pPr>
              <w:jc w:val="center"/>
              <w:rPr>
                <w:rFonts w:eastAsia="仿宋_GB2312"/>
                <w:b/>
                <w:kern w:val="0"/>
                <w:sz w:val="24"/>
              </w:rPr>
            </w:pPr>
          </w:p>
        </w:tc>
      </w:tr>
      <w:tr>
        <w:tblPrEx>
          <w:tblCellMar>
            <w:top w:w="0" w:type="dxa"/>
            <w:left w:w="108" w:type="dxa"/>
            <w:bottom w:w="0" w:type="dxa"/>
            <w:right w:w="108" w:type="dxa"/>
          </w:tblCellMar>
        </w:tblPrEx>
        <w:trPr>
          <w:trHeight w:val="567" w:hRule="exact"/>
          <w:jc w:val="center"/>
        </w:trPr>
        <w:tc>
          <w:tcPr>
            <w:tcW w:w="4494" w:type="dxa"/>
            <w:vMerge w:val="continue"/>
            <w:vAlign w:val="center"/>
          </w:tcPr>
          <w:p>
            <w:pPr>
              <w:jc w:val="center"/>
              <w:rPr>
                <w:rFonts w:eastAsia="仿宋_GB2312"/>
                <w:b/>
                <w:kern w:val="0"/>
                <w:sz w:val="24"/>
              </w:rPr>
            </w:pPr>
          </w:p>
        </w:tc>
        <w:tc>
          <w:tcPr>
            <w:tcW w:w="4034" w:type="dxa"/>
            <w:vAlign w:val="center"/>
          </w:tcPr>
          <w:p>
            <w:pPr>
              <w:jc w:val="center"/>
              <w:rPr>
                <w:rFonts w:eastAsia="仿宋_GB2312"/>
                <w:b/>
                <w:kern w:val="0"/>
                <w:sz w:val="24"/>
              </w:rPr>
            </w:pPr>
            <w:r>
              <w:rPr>
                <w:rFonts w:eastAsia="仿宋_GB2312"/>
                <w:b/>
                <w:kern w:val="0"/>
                <w:sz w:val="24"/>
              </w:rPr>
              <w:t>中国注册会计师：</w:t>
            </w:r>
          </w:p>
        </w:tc>
      </w:tr>
      <w:tr>
        <w:tblPrEx>
          <w:tblCellMar>
            <w:top w:w="0" w:type="dxa"/>
            <w:left w:w="108" w:type="dxa"/>
            <w:bottom w:w="0" w:type="dxa"/>
            <w:right w:w="108" w:type="dxa"/>
          </w:tblCellMar>
        </w:tblPrEx>
        <w:trPr>
          <w:trHeight w:val="567" w:hRule="exact"/>
          <w:jc w:val="center"/>
        </w:trPr>
        <w:tc>
          <w:tcPr>
            <w:tcW w:w="4494" w:type="dxa"/>
            <w:vMerge w:val="continue"/>
            <w:vAlign w:val="center"/>
          </w:tcPr>
          <w:p>
            <w:pPr>
              <w:jc w:val="center"/>
              <w:rPr>
                <w:rFonts w:eastAsia="仿宋_GB2312"/>
                <w:b/>
                <w:kern w:val="0"/>
                <w:sz w:val="24"/>
              </w:rPr>
            </w:pPr>
          </w:p>
        </w:tc>
        <w:tc>
          <w:tcPr>
            <w:tcW w:w="4034" w:type="dxa"/>
            <w:vAlign w:val="center"/>
          </w:tcPr>
          <w:p>
            <w:pPr>
              <w:jc w:val="center"/>
              <w:rPr>
                <w:rFonts w:eastAsia="仿宋_GB2312"/>
                <w:b/>
                <w:kern w:val="0"/>
                <w:sz w:val="24"/>
              </w:rPr>
            </w:pPr>
          </w:p>
        </w:tc>
      </w:tr>
      <w:tr>
        <w:tblPrEx>
          <w:tblCellMar>
            <w:top w:w="0" w:type="dxa"/>
            <w:left w:w="108" w:type="dxa"/>
            <w:bottom w:w="0" w:type="dxa"/>
            <w:right w:w="108" w:type="dxa"/>
          </w:tblCellMar>
        </w:tblPrEx>
        <w:trPr>
          <w:trHeight w:val="567" w:hRule="exact"/>
          <w:jc w:val="center"/>
        </w:trPr>
        <w:tc>
          <w:tcPr>
            <w:tcW w:w="4494" w:type="dxa"/>
            <w:vAlign w:val="center"/>
          </w:tcPr>
          <w:p>
            <w:pPr>
              <w:jc w:val="center"/>
              <w:rPr>
                <w:rFonts w:eastAsia="仿宋_GB2312"/>
                <w:b/>
                <w:kern w:val="0"/>
                <w:sz w:val="24"/>
              </w:rPr>
            </w:pPr>
          </w:p>
        </w:tc>
        <w:tc>
          <w:tcPr>
            <w:tcW w:w="4034" w:type="dxa"/>
            <w:vAlign w:val="center"/>
          </w:tcPr>
          <w:p>
            <w:pPr>
              <w:jc w:val="center"/>
              <w:rPr>
                <w:rFonts w:eastAsia="仿宋_GB2312"/>
                <w:b/>
                <w:kern w:val="0"/>
                <w:sz w:val="24"/>
              </w:rPr>
            </w:pPr>
            <w:r>
              <w:rPr>
                <w:rFonts w:eastAsia="仿宋_GB2312"/>
                <w:b/>
                <w:kern w:val="0"/>
                <w:sz w:val="24"/>
              </w:rPr>
              <w:t>二</w:t>
            </w:r>
            <w:r>
              <w:rPr>
                <w:b/>
                <w:kern w:val="0"/>
                <w:sz w:val="24"/>
              </w:rPr>
              <w:t>〇</w:t>
            </w:r>
            <w:r>
              <w:rPr>
                <w:rFonts w:hint="eastAsia" w:eastAsia="仿宋_GB2312"/>
                <w:b/>
                <w:kern w:val="0"/>
                <w:sz w:val="24"/>
              </w:rPr>
              <w:t>二三</w:t>
            </w:r>
            <w:r>
              <w:rPr>
                <w:rFonts w:eastAsia="仿宋_GB2312"/>
                <w:b/>
                <w:sz w:val="24"/>
              </w:rPr>
              <w:t>年</w:t>
            </w:r>
            <w:r>
              <w:rPr>
                <w:rFonts w:hint="eastAsia" w:eastAsia="仿宋_GB2312"/>
                <w:b/>
                <w:sz w:val="24"/>
              </w:rPr>
              <w:t>七</w:t>
            </w:r>
            <w:r>
              <w:rPr>
                <w:rFonts w:eastAsia="仿宋_GB2312"/>
                <w:b/>
                <w:sz w:val="24"/>
              </w:rPr>
              <w:t>月</w:t>
            </w:r>
            <w:r>
              <w:rPr>
                <w:rFonts w:hint="eastAsia" w:eastAsia="仿宋_GB2312"/>
                <w:b/>
                <w:sz w:val="24"/>
              </w:rPr>
              <w:t>二十</w:t>
            </w:r>
            <w:r>
              <w:rPr>
                <w:rFonts w:eastAsia="仿宋_GB2312"/>
                <w:b/>
                <w:sz w:val="24"/>
              </w:rPr>
              <w:t>日</w:t>
            </w:r>
          </w:p>
        </w:tc>
      </w:tr>
    </w:tbl>
    <w:p>
      <w:pPr>
        <w:widowControl/>
        <w:spacing w:afterLines="50" w:line="360" w:lineRule="auto"/>
        <w:rPr>
          <w:rFonts w:ascii="Times New Roman" w:hAnsi="Times New Roman" w:eastAsia="仿宋_GB2312" w:cs="仿宋_GB2312"/>
          <w:kern w:val="0"/>
          <w:sz w:val="24"/>
        </w:rPr>
      </w:pPr>
    </w:p>
    <w:sectPr>
      <w:headerReference r:id="rId3" w:type="default"/>
      <w:footerReference r:id="rId4" w:type="default"/>
      <w:pgSz w:w="11906" w:h="16838"/>
      <w:pgMar w:top="1418" w:right="1361" w:bottom="1418" w:left="1531" w:header="851" w:footer="850" w:gutter="113"/>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HiddenHorzOCl">
    <w:altName w:val="宋体"/>
    <w:panose1 w:val="00000000000000000000"/>
    <w:charset w:val="00"/>
    <w:family w:val="swiss"/>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26</w:t>
    </w:r>
    <w:r>
      <w:rPr>
        <w:lang w:val="zh-CN"/>
      </w:rP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left" w:pos="1425"/>
        <w:tab w:val="clear" w:pos="4153"/>
        <w:tab w:val="clear" w:pos="8306"/>
      </w:tabs>
      <w:jc w:val="both"/>
    </w:pPr>
    <w:r>
      <w:rPr>
        <w:rFonts w:ascii="微软雅黑" w:hAnsi="微软雅黑" w:eastAsia="微软雅黑"/>
        <w:sz w:val="15"/>
        <w:szCs w:val="15"/>
      </w:rPr>
      <w:drawing>
        <wp:anchor distT="0" distB="0" distL="114300" distR="114300" simplePos="0" relativeHeight="251660288" behindDoc="0" locked="0" layoutInCell="1" allowOverlap="1">
          <wp:simplePos x="0" y="0"/>
          <wp:positionH relativeFrom="column">
            <wp:posOffset>128905</wp:posOffset>
          </wp:positionH>
          <wp:positionV relativeFrom="paragraph">
            <wp:posOffset>252730</wp:posOffset>
          </wp:positionV>
          <wp:extent cx="1423035" cy="513080"/>
          <wp:effectExtent l="19050" t="0" r="5715" b="0"/>
          <wp:wrapNone/>
          <wp:docPr id="2" name="图片 2" descr="C:\Users\Administrator\Desktop\淇澳工作证1.png淇澳工作证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淇澳工作证1.png淇澳工作证1"/>
                  <pic:cNvPicPr>
                    <a:picLocks noChangeAspect="1" noChangeArrowheads="1"/>
                  </pic:cNvPicPr>
                </pic:nvPicPr>
                <pic:blipFill>
                  <a:blip r:embed="rId1"/>
                  <a:srcRect/>
                  <a:stretch>
                    <a:fillRect/>
                  </a:stretch>
                </pic:blipFill>
                <pic:spPr>
                  <a:xfrm>
                    <a:off x="0" y="0"/>
                    <a:ext cx="1423035" cy="513080"/>
                  </a:xfrm>
                  <a:prstGeom prst="rect">
                    <a:avLst/>
                  </a:prstGeom>
                  <a:noFill/>
                  <a:ln w="9525">
                    <a:noFill/>
                    <a:miter lim="800000"/>
                    <a:headEnd/>
                    <a:tailEnd/>
                  </a:ln>
                </pic:spPr>
              </pic:pic>
            </a:graphicData>
          </a:graphic>
        </wp:anchor>
      </w:drawing>
    </w:r>
  </w:p>
  <w:p>
    <w:pPr>
      <w:pStyle w:val="16"/>
      <w:pBdr>
        <w:bottom w:val="none" w:color="auto" w:sz="0" w:space="0"/>
      </w:pBdr>
      <w:tabs>
        <w:tab w:val="left" w:pos="1425"/>
        <w:tab w:val="clear" w:pos="4153"/>
        <w:tab w:val="clear" w:pos="8306"/>
      </w:tabs>
      <w:jc w:val="both"/>
    </w:pPr>
    <w:r>
      <w:rPr>
        <w:rFonts w:ascii="微软雅黑" w:hAnsi="微软雅黑" w:eastAsia="微软雅黑"/>
        <w:sz w:val="15"/>
        <w:szCs w:val="15"/>
      </w:rPr>
      <w:pict>
        <v:shape id="_x0000_s1025" o:spid="_x0000_s1025" o:spt="202" type="#_x0000_t202" style="position:absolute;left:0pt;margin-left:213pt;margin-top:4.05pt;height:78pt;width:235.75pt;z-index:251659264;mso-width-relative:page;mso-height-relative:page;" filled="f" stroked="f" coordsize="21600,21600">
          <v:path/>
          <v:fill on="f" focussize="0,0"/>
          <v:stroke on="f" joinstyle="miter"/>
          <v:imagedata o:title=""/>
          <o:lock v:ext="edit"/>
          <v:textbox>
            <w:txbxContent>
              <w:p>
                <w:pPr>
                  <w:pStyle w:val="16"/>
                  <w:pBdr>
                    <w:bottom w:val="none" w:color="auto" w:sz="0" w:space="0"/>
                  </w:pBdr>
                  <w:tabs>
                    <w:tab w:val="right" w:pos="5670"/>
                    <w:tab w:val="clear" w:pos="8306"/>
                  </w:tabs>
                  <w:jc w:val="left"/>
                  <w:rPr>
                    <w:rFonts w:ascii="仿宋_GB2312" w:hAnsi="仿宋_GB2312" w:eastAsia="仿宋_GB2312" w:cs="仿宋_GB2312"/>
                    <w:color w:val="333399"/>
                  </w:rPr>
                </w:pPr>
                <w:r>
                  <w:rPr>
                    <w:rFonts w:hint="eastAsia" w:ascii="仿宋_GB2312" w:hAnsi="仿宋_GB2312" w:eastAsia="仿宋_GB2312" w:cs="仿宋_GB2312"/>
                    <w:color w:val="333399"/>
                  </w:rPr>
                  <w:t>重庆同辉会计师事务所(普通合伙)</w:t>
                </w:r>
              </w:p>
              <w:p>
                <w:pPr>
                  <w:rPr>
                    <w:rFonts w:ascii="仿宋_GB2312" w:hAnsi="仿宋_GB2312" w:eastAsia="仿宋_GB2312" w:cs="仿宋_GB2312"/>
                    <w:color w:val="333399"/>
                    <w:sz w:val="18"/>
                    <w:szCs w:val="18"/>
                  </w:rPr>
                </w:pPr>
                <w:r>
                  <w:rPr>
                    <w:rFonts w:hint="eastAsia" w:ascii="仿宋_GB2312" w:hAnsi="仿宋_GB2312" w:eastAsia="仿宋_GB2312" w:cs="仿宋_GB2312"/>
                    <w:color w:val="333399"/>
                    <w:sz w:val="18"/>
                    <w:szCs w:val="18"/>
                  </w:rPr>
                  <w:t xml:space="preserve">地址：重庆市北部新区高新园星光大道60号金星大厦 </w:t>
                </w:r>
              </w:p>
              <w:p>
                <w:pPr>
                  <w:jc w:val="left"/>
                  <w:rPr>
                    <w:rFonts w:ascii="仿宋_GB2312" w:hAnsi="仿宋_GB2312" w:eastAsia="仿宋_GB2312" w:cs="仿宋_GB2312"/>
                    <w:color w:val="333399"/>
                    <w:sz w:val="18"/>
                    <w:szCs w:val="18"/>
                  </w:rPr>
                </w:pPr>
                <w:r>
                  <w:rPr>
                    <w:rFonts w:hint="eastAsia" w:ascii="仿宋_GB2312" w:hAnsi="仿宋_GB2312" w:eastAsia="仿宋_GB2312" w:cs="仿宋_GB2312"/>
                    <w:color w:val="333399"/>
                    <w:sz w:val="18"/>
                    <w:szCs w:val="18"/>
                    <w:lang w:val="de-DE"/>
                  </w:rPr>
                  <w:t>Tel：023-</w:t>
                </w:r>
                <w:r>
                  <w:rPr>
                    <w:rFonts w:hint="eastAsia" w:ascii="仿宋_GB2312" w:hAnsi="仿宋_GB2312" w:eastAsia="仿宋_GB2312" w:cs="仿宋_GB2312"/>
                    <w:color w:val="333399"/>
                    <w:sz w:val="18"/>
                    <w:szCs w:val="18"/>
                  </w:rPr>
                  <w:t>63073981</w:t>
                </w:r>
              </w:p>
              <w:p>
                <w:pPr>
                  <w:jc w:val="left"/>
                  <w:rPr>
                    <w:rFonts w:ascii="仿宋_GB2312" w:hAnsi="仿宋_GB2312" w:eastAsia="仿宋_GB2312" w:cs="仿宋_GB2312"/>
                    <w:color w:val="333399"/>
                    <w:sz w:val="18"/>
                    <w:szCs w:val="18"/>
                    <w:lang w:val="de-DE"/>
                  </w:rPr>
                </w:pPr>
                <w:r>
                  <w:rPr>
                    <w:rFonts w:hint="eastAsia" w:ascii="仿宋_GB2312" w:hAnsi="仿宋_GB2312" w:eastAsia="仿宋_GB2312" w:cs="仿宋_GB2312"/>
                    <w:color w:val="333399"/>
                    <w:sz w:val="18"/>
                    <w:szCs w:val="18"/>
                    <w:lang w:val="de-DE"/>
                  </w:rPr>
                  <w:t>http://www.qathzx.com/</w:t>
                </w:r>
              </w:p>
              <w:p>
                <w:pPr>
                  <w:pStyle w:val="16"/>
                  <w:pBdr>
                    <w:bottom w:val="none" w:color="auto" w:sz="0" w:space="0"/>
                  </w:pBdr>
                  <w:tabs>
                    <w:tab w:val="right" w:pos="5670"/>
                    <w:tab w:val="clear" w:pos="8306"/>
                  </w:tabs>
                  <w:ind w:firstLine="602"/>
                  <w:jc w:val="left"/>
                  <w:rPr>
                    <w:color w:val="333399"/>
                    <w:lang w:val="de-DE"/>
                  </w:rPr>
                </w:pPr>
              </w:p>
              <w:p>
                <w:pPr>
                  <w:pStyle w:val="16"/>
                  <w:pBdr>
                    <w:bottom w:val="none" w:color="auto" w:sz="0" w:space="0"/>
                  </w:pBdr>
                  <w:tabs>
                    <w:tab w:val="right" w:pos="5670"/>
                    <w:tab w:val="clear" w:pos="8306"/>
                  </w:tabs>
                  <w:jc w:val="left"/>
                  <w:rPr>
                    <w:rFonts w:ascii="微软雅黑" w:hAnsi="微软雅黑" w:eastAsia="微软雅黑" w:cs="Arial"/>
                    <w:color w:val="333399"/>
                    <w:sz w:val="21"/>
                    <w:szCs w:val="21"/>
                    <w:lang w:val="de-DE"/>
                  </w:rPr>
                </w:pPr>
              </w:p>
            </w:txbxContent>
          </v:textbox>
        </v:shape>
      </w:pict>
    </w:r>
  </w:p>
  <w:p>
    <w:pPr>
      <w:pStyle w:val="16"/>
      <w:pBdr>
        <w:bottom w:val="none" w:color="auto" w:sz="0" w:space="0"/>
      </w:pBdr>
      <w:tabs>
        <w:tab w:val="left" w:pos="1425"/>
        <w:tab w:val="clear" w:pos="4153"/>
        <w:tab w:val="clear" w:pos="8306"/>
      </w:tabs>
      <w:jc w:val="both"/>
    </w:pPr>
  </w:p>
  <w:p>
    <w:pPr>
      <w:pStyle w:val="16"/>
      <w:pBdr>
        <w:bottom w:val="none" w:color="auto" w:sz="0" w:space="0"/>
      </w:pBdr>
      <w:tabs>
        <w:tab w:val="left" w:pos="1425"/>
        <w:tab w:val="clear" w:pos="4153"/>
        <w:tab w:val="clear" w:pos="8306"/>
      </w:tabs>
      <w:jc w:val="both"/>
    </w:pPr>
  </w:p>
  <w:p>
    <w:pPr>
      <w:pStyle w:val="16"/>
      <w:pBdr>
        <w:bottom w:val="none" w:color="auto" w:sz="0" w:space="0"/>
      </w:pBdr>
      <w:tabs>
        <w:tab w:val="left" w:pos="1425"/>
        <w:tab w:val="clear" w:pos="4153"/>
        <w:tab w:val="clear" w:pos="8306"/>
      </w:tabs>
      <w:jc w:val="both"/>
    </w:pPr>
  </w:p>
  <w:p>
    <w:pPr>
      <w:pStyle w:val="16"/>
      <w:pBdr>
        <w:bottom w:val="none" w:color="auto" w:sz="0" w:space="0"/>
      </w:pBdr>
      <w:tabs>
        <w:tab w:val="left" w:pos="1425"/>
        <w:tab w:val="clear" w:pos="4153"/>
        <w:tab w:val="clear" w:pos="8306"/>
      </w:tabs>
      <w:jc w:val="both"/>
    </w:pPr>
  </w:p>
  <w:p>
    <w:pPr>
      <w:pStyle w:val="16"/>
      <w:pBdr>
        <w:bottom w:val="none" w:color="auto" w:sz="0" w:space="0"/>
      </w:pBdr>
      <w:tabs>
        <w:tab w:val="left" w:pos="1425"/>
        <w:tab w:val="clear" w:pos="4153"/>
        <w:tab w:val="clear" w:pos="8306"/>
      </w:tabs>
      <w:jc w:val="both"/>
    </w:pPr>
  </w:p>
  <w:p>
    <w:pPr>
      <w:pStyle w:val="16"/>
      <w:pBdr>
        <w:bottom w:val="none" w:color="auto" w:sz="0" w:space="0"/>
      </w:pBdr>
      <w:tabs>
        <w:tab w:val="left" w:pos="1425"/>
        <w:tab w:val="clear" w:pos="4153"/>
        <w:tab w:val="clear" w:pos="8306"/>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ZiNjRjNDljYmY0OGZkYTI2ZjE0YjRlMzVjMzg5OWEifQ=="/>
  </w:docVars>
  <w:rsids>
    <w:rsidRoot w:val="002273DC"/>
    <w:rsid w:val="0000040F"/>
    <w:rsid w:val="00000985"/>
    <w:rsid w:val="00001A9B"/>
    <w:rsid w:val="00001BBF"/>
    <w:rsid w:val="00001D68"/>
    <w:rsid w:val="000027AF"/>
    <w:rsid w:val="00002B6A"/>
    <w:rsid w:val="00003576"/>
    <w:rsid w:val="00004028"/>
    <w:rsid w:val="0000474C"/>
    <w:rsid w:val="00005E9F"/>
    <w:rsid w:val="000063BD"/>
    <w:rsid w:val="000068E2"/>
    <w:rsid w:val="00006C1B"/>
    <w:rsid w:val="000078BA"/>
    <w:rsid w:val="00007BA6"/>
    <w:rsid w:val="000103C1"/>
    <w:rsid w:val="00011D6D"/>
    <w:rsid w:val="00012126"/>
    <w:rsid w:val="00012160"/>
    <w:rsid w:val="000123FD"/>
    <w:rsid w:val="000131F2"/>
    <w:rsid w:val="0001340F"/>
    <w:rsid w:val="00015054"/>
    <w:rsid w:val="000155BF"/>
    <w:rsid w:val="00015B48"/>
    <w:rsid w:val="00015E12"/>
    <w:rsid w:val="00015F35"/>
    <w:rsid w:val="000176E7"/>
    <w:rsid w:val="00017C43"/>
    <w:rsid w:val="00017CD7"/>
    <w:rsid w:val="00020625"/>
    <w:rsid w:val="000206C3"/>
    <w:rsid w:val="00020AE7"/>
    <w:rsid w:val="00020DFD"/>
    <w:rsid w:val="00021AF5"/>
    <w:rsid w:val="000224A1"/>
    <w:rsid w:val="00022CD3"/>
    <w:rsid w:val="00022FB3"/>
    <w:rsid w:val="000232E2"/>
    <w:rsid w:val="00023352"/>
    <w:rsid w:val="00023843"/>
    <w:rsid w:val="000243DD"/>
    <w:rsid w:val="000246CB"/>
    <w:rsid w:val="000247C0"/>
    <w:rsid w:val="000260EF"/>
    <w:rsid w:val="000261D2"/>
    <w:rsid w:val="000261E0"/>
    <w:rsid w:val="000269F9"/>
    <w:rsid w:val="000272A8"/>
    <w:rsid w:val="00027AD3"/>
    <w:rsid w:val="000305B2"/>
    <w:rsid w:val="00030777"/>
    <w:rsid w:val="00030880"/>
    <w:rsid w:val="00030BA2"/>
    <w:rsid w:val="00030E1E"/>
    <w:rsid w:val="000310B1"/>
    <w:rsid w:val="00031A62"/>
    <w:rsid w:val="00031E1A"/>
    <w:rsid w:val="00032FC3"/>
    <w:rsid w:val="0003378A"/>
    <w:rsid w:val="00034DD2"/>
    <w:rsid w:val="00034E39"/>
    <w:rsid w:val="00035703"/>
    <w:rsid w:val="00037954"/>
    <w:rsid w:val="0004028C"/>
    <w:rsid w:val="0004082C"/>
    <w:rsid w:val="00040D4D"/>
    <w:rsid w:val="00041954"/>
    <w:rsid w:val="000421C5"/>
    <w:rsid w:val="000429DB"/>
    <w:rsid w:val="00042B6A"/>
    <w:rsid w:val="00042C47"/>
    <w:rsid w:val="00043D3C"/>
    <w:rsid w:val="00043E34"/>
    <w:rsid w:val="00044216"/>
    <w:rsid w:val="0004471F"/>
    <w:rsid w:val="00044DB8"/>
    <w:rsid w:val="0004509C"/>
    <w:rsid w:val="00045C17"/>
    <w:rsid w:val="0004655C"/>
    <w:rsid w:val="0004699F"/>
    <w:rsid w:val="00050BC3"/>
    <w:rsid w:val="00051D6C"/>
    <w:rsid w:val="00052BAC"/>
    <w:rsid w:val="00053A65"/>
    <w:rsid w:val="00053AD9"/>
    <w:rsid w:val="000547C0"/>
    <w:rsid w:val="00054FBC"/>
    <w:rsid w:val="000556F4"/>
    <w:rsid w:val="000559EB"/>
    <w:rsid w:val="000563A5"/>
    <w:rsid w:val="0005664B"/>
    <w:rsid w:val="00056B45"/>
    <w:rsid w:val="000571B6"/>
    <w:rsid w:val="00060103"/>
    <w:rsid w:val="00060405"/>
    <w:rsid w:val="0006049E"/>
    <w:rsid w:val="00060D8C"/>
    <w:rsid w:val="00061A67"/>
    <w:rsid w:val="00061FB7"/>
    <w:rsid w:val="00062039"/>
    <w:rsid w:val="00062A46"/>
    <w:rsid w:val="00063784"/>
    <w:rsid w:val="00063AED"/>
    <w:rsid w:val="0006406B"/>
    <w:rsid w:val="0006413B"/>
    <w:rsid w:val="000644C1"/>
    <w:rsid w:val="0006569B"/>
    <w:rsid w:val="00066640"/>
    <w:rsid w:val="0006671F"/>
    <w:rsid w:val="00070744"/>
    <w:rsid w:val="00072192"/>
    <w:rsid w:val="0007253D"/>
    <w:rsid w:val="000725F8"/>
    <w:rsid w:val="000726BC"/>
    <w:rsid w:val="00072FBD"/>
    <w:rsid w:val="00075BD1"/>
    <w:rsid w:val="00077FD9"/>
    <w:rsid w:val="00080C9D"/>
    <w:rsid w:val="00081150"/>
    <w:rsid w:val="00081561"/>
    <w:rsid w:val="00082263"/>
    <w:rsid w:val="00082960"/>
    <w:rsid w:val="0008366D"/>
    <w:rsid w:val="00083A19"/>
    <w:rsid w:val="0008470B"/>
    <w:rsid w:val="00084E78"/>
    <w:rsid w:val="00084EA5"/>
    <w:rsid w:val="0008593E"/>
    <w:rsid w:val="00085E40"/>
    <w:rsid w:val="0008610F"/>
    <w:rsid w:val="00086447"/>
    <w:rsid w:val="00086A47"/>
    <w:rsid w:val="00086B35"/>
    <w:rsid w:val="00086E00"/>
    <w:rsid w:val="00086E0D"/>
    <w:rsid w:val="00087348"/>
    <w:rsid w:val="0009052B"/>
    <w:rsid w:val="00091588"/>
    <w:rsid w:val="00092021"/>
    <w:rsid w:val="000930FF"/>
    <w:rsid w:val="0009351E"/>
    <w:rsid w:val="00093F39"/>
    <w:rsid w:val="000941CF"/>
    <w:rsid w:val="00094478"/>
    <w:rsid w:val="00094FAC"/>
    <w:rsid w:val="00095740"/>
    <w:rsid w:val="00095BFA"/>
    <w:rsid w:val="00095D6A"/>
    <w:rsid w:val="00096A5A"/>
    <w:rsid w:val="00096BC2"/>
    <w:rsid w:val="000A02B4"/>
    <w:rsid w:val="000A10D6"/>
    <w:rsid w:val="000A1D40"/>
    <w:rsid w:val="000A22DF"/>
    <w:rsid w:val="000A24A5"/>
    <w:rsid w:val="000A2AED"/>
    <w:rsid w:val="000A2BAB"/>
    <w:rsid w:val="000A39A6"/>
    <w:rsid w:val="000A4872"/>
    <w:rsid w:val="000A4B6D"/>
    <w:rsid w:val="000A4E07"/>
    <w:rsid w:val="000A75C5"/>
    <w:rsid w:val="000A7A97"/>
    <w:rsid w:val="000A7D6B"/>
    <w:rsid w:val="000B001B"/>
    <w:rsid w:val="000B1ABC"/>
    <w:rsid w:val="000B20C6"/>
    <w:rsid w:val="000B2EBC"/>
    <w:rsid w:val="000B305E"/>
    <w:rsid w:val="000B395E"/>
    <w:rsid w:val="000B4A1D"/>
    <w:rsid w:val="000B58A2"/>
    <w:rsid w:val="000B59E7"/>
    <w:rsid w:val="000B5DF6"/>
    <w:rsid w:val="000B5E77"/>
    <w:rsid w:val="000B6903"/>
    <w:rsid w:val="000B71E8"/>
    <w:rsid w:val="000B74E5"/>
    <w:rsid w:val="000B7D03"/>
    <w:rsid w:val="000C033C"/>
    <w:rsid w:val="000C077E"/>
    <w:rsid w:val="000C1CA1"/>
    <w:rsid w:val="000C22A1"/>
    <w:rsid w:val="000C2626"/>
    <w:rsid w:val="000C2A76"/>
    <w:rsid w:val="000C32E4"/>
    <w:rsid w:val="000C3A61"/>
    <w:rsid w:val="000C3D03"/>
    <w:rsid w:val="000C3FAE"/>
    <w:rsid w:val="000C42D2"/>
    <w:rsid w:val="000C4909"/>
    <w:rsid w:val="000C4E03"/>
    <w:rsid w:val="000C5011"/>
    <w:rsid w:val="000C505A"/>
    <w:rsid w:val="000C5588"/>
    <w:rsid w:val="000C587E"/>
    <w:rsid w:val="000C5C0C"/>
    <w:rsid w:val="000C64AD"/>
    <w:rsid w:val="000C6836"/>
    <w:rsid w:val="000C6935"/>
    <w:rsid w:val="000C721E"/>
    <w:rsid w:val="000D147D"/>
    <w:rsid w:val="000D1F0D"/>
    <w:rsid w:val="000D2396"/>
    <w:rsid w:val="000D23B5"/>
    <w:rsid w:val="000D3BF2"/>
    <w:rsid w:val="000D3C79"/>
    <w:rsid w:val="000D4A4E"/>
    <w:rsid w:val="000D4CE8"/>
    <w:rsid w:val="000D5C83"/>
    <w:rsid w:val="000D5E64"/>
    <w:rsid w:val="000D613D"/>
    <w:rsid w:val="000D6255"/>
    <w:rsid w:val="000D6363"/>
    <w:rsid w:val="000D6F57"/>
    <w:rsid w:val="000D6F80"/>
    <w:rsid w:val="000D708B"/>
    <w:rsid w:val="000D7508"/>
    <w:rsid w:val="000D7ECB"/>
    <w:rsid w:val="000E08F4"/>
    <w:rsid w:val="000E0C6E"/>
    <w:rsid w:val="000E18E8"/>
    <w:rsid w:val="000E239F"/>
    <w:rsid w:val="000E2440"/>
    <w:rsid w:val="000E47DA"/>
    <w:rsid w:val="000E4AC8"/>
    <w:rsid w:val="000E4FFB"/>
    <w:rsid w:val="000E545D"/>
    <w:rsid w:val="000E5ADD"/>
    <w:rsid w:val="000E6349"/>
    <w:rsid w:val="000E657A"/>
    <w:rsid w:val="000E66BF"/>
    <w:rsid w:val="000E6C50"/>
    <w:rsid w:val="000E7BE9"/>
    <w:rsid w:val="000E7CF5"/>
    <w:rsid w:val="000F0065"/>
    <w:rsid w:val="000F0629"/>
    <w:rsid w:val="000F1C75"/>
    <w:rsid w:val="000F1FC8"/>
    <w:rsid w:val="000F21F0"/>
    <w:rsid w:val="000F2610"/>
    <w:rsid w:val="000F2FCE"/>
    <w:rsid w:val="000F4CB6"/>
    <w:rsid w:val="000F50A6"/>
    <w:rsid w:val="000F5A03"/>
    <w:rsid w:val="000F64E0"/>
    <w:rsid w:val="000F7163"/>
    <w:rsid w:val="00100933"/>
    <w:rsid w:val="0010158A"/>
    <w:rsid w:val="00101C18"/>
    <w:rsid w:val="00102714"/>
    <w:rsid w:val="00102850"/>
    <w:rsid w:val="00102A64"/>
    <w:rsid w:val="00102BF1"/>
    <w:rsid w:val="00102D04"/>
    <w:rsid w:val="00103024"/>
    <w:rsid w:val="001038CD"/>
    <w:rsid w:val="00103942"/>
    <w:rsid w:val="00103A94"/>
    <w:rsid w:val="00104BE8"/>
    <w:rsid w:val="00104CD9"/>
    <w:rsid w:val="00105C7B"/>
    <w:rsid w:val="001068B3"/>
    <w:rsid w:val="00106BEA"/>
    <w:rsid w:val="001071D5"/>
    <w:rsid w:val="00107202"/>
    <w:rsid w:val="00107B81"/>
    <w:rsid w:val="00110048"/>
    <w:rsid w:val="001107E8"/>
    <w:rsid w:val="0011083C"/>
    <w:rsid w:val="0011083E"/>
    <w:rsid w:val="001109DD"/>
    <w:rsid w:val="00110F03"/>
    <w:rsid w:val="00110F85"/>
    <w:rsid w:val="00110F8B"/>
    <w:rsid w:val="0011138D"/>
    <w:rsid w:val="001117DE"/>
    <w:rsid w:val="00111A3C"/>
    <w:rsid w:val="001120EE"/>
    <w:rsid w:val="00112822"/>
    <w:rsid w:val="0011285C"/>
    <w:rsid w:val="0011344D"/>
    <w:rsid w:val="00113664"/>
    <w:rsid w:val="00113A43"/>
    <w:rsid w:val="00113B24"/>
    <w:rsid w:val="001144C6"/>
    <w:rsid w:val="001146F3"/>
    <w:rsid w:val="00114FE9"/>
    <w:rsid w:val="001153B2"/>
    <w:rsid w:val="001159C8"/>
    <w:rsid w:val="00116198"/>
    <w:rsid w:val="001165F4"/>
    <w:rsid w:val="00116EF4"/>
    <w:rsid w:val="00116F13"/>
    <w:rsid w:val="00116FB1"/>
    <w:rsid w:val="00117B81"/>
    <w:rsid w:val="001204C0"/>
    <w:rsid w:val="00120C9F"/>
    <w:rsid w:val="00120E3F"/>
    <w:rsid w:val="00122E22"/>
    <w:rsid w:val="0012367C"/>
    <w:rsid w:val="00123A6C"/>
    <w:rsid w:val="00123F6D"/>
    <w:rsid w:val="00123FAE"/>
    <w:rsid w:val="001241F3"/>
    <w:rsid w:val="00124456"/>
    <w:rsid w:val="001252BD"/>
    <w:rsid w:val="00125520"/>
    <w:rsid w:val="00126FEA"/>
    <w:rsid w:val="0012702C"/>
    <w:rsid w:val="0012716C"/>
    <w:rsid w:val="00127771"/>
    <w:rsid w:val="00127856"/>
    <w:rsid w:val="00127922"/>
    <w:rsid w:val="00127B6D"/>
    <w:rsid w:val="001316F9"/>
    <w:rsid w:val="00131EAB"/>
    <w:rsid w:val="00131F57"/>
    <w:rsid w:val="00132A4A"/>
    <w:rsid w:val="001333B6"/>
    <w:rsid w:val="00133533"/>
    <w:rsid w:val="00134625"/>
    <w:rsid w:val="0013465D"/>
    <w:rsid w:val="00134C01"/>
    <w:rsid w:val="00135C21"/>
    <w:rsid w:val="00135C86"/>
    <w:rsid w:val="00136B85"/>
    <w:rsid w:val="001370BE"/>
    <w:rsid w:val="0013727D"/>
    <w:rsid w:val="0013739A"/>
    <w:rsid w:val="001376ED"/>
    <w:rsid w:val="00137AA8"/>
    <w:rsid w:val="00140471"/>
    <w:rsid w:val="001405C2"/>
    <w:rsid w:val="00140FEE"/>
    <w:rsid w:val="00141B5D"/>
    <w:rsid w:val="0014211C"/>
    <w:rsid w:val="00142228"/>
    <w:rsid w:val="00142443"/>
    <w:rsid w:val="00142660"/>
    <w:rsid w:val="00142C17"/>
    <w:rsid w:val="00144081"/>
    <w:rsid w:val="001446D2"/>
    <w:rsid w:val="001447A7"/>
    <w:rsid w:val="001449BB"/>
    <w:rsid w:val="00145188"/>
    <w:rsid w:val="00145447"/>
    <w:rsid w:val="00145665"/>
    <w:rsid w:val="0014568D"/>
    <w:rsid w:val="001459F4"/>
    <w:rsid w:val="00145B52"/>
    <w:rsid w:val="001461CC"/>
    <w:rsid w:val="001469C8"/>
    <w:rsid w:val="00146C41"/>
    <w:rsid w:val="00146D5C"/>
    <w:rsid w:val="00147B1A"/>
    <w:rsid w:val="00151799"/>
    <w:rsid w:val="0015217F"/>
    <w:rsid w:val="0015245C"/>
    <w:rsid w:val="0015265F"/>
    <w:rsid w:val="001534E5"/>
    <w:rsid w:val="00153F2B"/>
    <w:rsid w:val="00154565"/>
    <w:rsid w:val="00154ED7"/>
    <w:rsid w:val="00154F10"/>
    <w:rsid w:val="00155C11"/>
    <w:rsid w:val="001563A8"/>
    <w:rsid w:val="00156F94"/>
    <w:rsid w:val="00156FDC"/>
    <w:rsid w:val="001571AC"/>
    <w:rsid w:val="00160053"/>
    <w:rsid w:val="0016064D"/>
    <w:rsid w:val="001609F9"/>
    <w:rsid w:val="001611C1"/>
    <w:rsid w:val="00161D3D"/>
    <w:rsid w:val="00161E79"/>
    <w:rsid w:val="00162314"/>
    <w:rsid w:val="001624B3"/>
    <w:rsid w:val="0016305F"/>
    <w:rsid w:val="00163258"/>
    <w:rsid w:val="001632D5"/>
    <w:rsid w:val="001648A6"/>
    <w:rsid w:val="00164A83"/>
    <w:rsid w:val="00164A9F"/>
    <w:rsid w:val="00166428"/>
    <w:rsid w:val="001667B1"/>
    <w:rsid w:val="00167364"/>
    <w:rsid w:val="00167549"/>
    <w:rsid w:val="00167F5B"/>
    <w:rsid w:val="001703FC"/>
    <w:rsid w:val="0017048F"/>
    <w:rsid w:val="00171199"/>
    <w:rsid w:val="00171C81"/>
    <w:rsid w:val="0017243B"/>
    <w:rsid w:val="0017304D"/>
    <w:rsid w:val="00173AB8"/>
    <w:rsid w:val="00174048"/>
    <w:rsid w:val="001744CF"/>
    <w:rsid w:val="00175DC9"/>
    <w:rsid w:val="00176682"/>
    <w:rsid w:val="00176CBE"/>
    <w:rsid w:val="00176D2A"/>
    <w:rsid w:val="0017783B"/>
    <w:rsid w:val="00177978"/>
    <w:rsid w:val="0018048F"/>
    <w:rsid w:val="001808A9"/>
    <w:rsid w:val="00180CE0"/>
    <w:rsid w:val="001812F4"/>
    <w:rsid w:val="0018171D"/>
    <w:rsid w:val="001825C7"/>
    <w:rsid w:val="0018342B"/>
    <w:rsid w:val="00183ABF"/>
    <w:rsid w:val="00183BB5"/>
    <w:rsid w:val="00184260"/>
    <w:rsid w:val="001844B1"/>
    <w:rsid w:val="0018506F"/>
    <w:rsid w:val="00185EBC"/>
    <w:rsid w:val="001860A2"/>
    <w:rsid w:val="00186713"/>
    <w:rsid w:val="00186A5D"/>
    <w:rsid w:val="00186E4C"/>
    <w:rsid w:val="001875EC"/>
    <w:rsid w:val="00187705"/>
    <w:rsid w:val="0019014B"/>
    <w:rsid w:val="001906CD"/>
    <w:rsid w:val="00190A1B"/>
    <w:rsid w:val="00191597"/>
    <w:rsid w:val="00192092"/>
    <w:rsid w:val="001925E9"/>
    <w:rsid w:val="00192B3F"/>
    <w:rsid w:val="001932DB"/>
    <w:rsid w:val="001947DA"/>
    <w:rsid w:val="001947DF"/>
    <w:rsid w:val="0019480B"/>
    <w:rsid w:val="00194FBA"/>
    <w:rsid w:val="001954D0"/>
    <w:rsid w:val="001956EC"/>
    <w:rsid w:val="00196B81"/>
    <w:rsid w:val="00196E74"/>
    <w:rsid w:val="0019718E"/>
    <w:rsid w:val="00197B2D"/>
    <w:rsid w:val="00197B97"/>
    <w:rsid w:val="00197C72"/>
    <w:rsid w:val="001A047A"/>
    <w:rsid w:val="001A24B7"/>
    <w:rsid w:val="001A30E4"/>
    <w:rsid w:val="001A316D"/>
    <w:rsid w:val="001A3DC5"/>
    <w:rsid w:val="001A483C"/>
    <w:rsid w:val="001A5383"/>
    <w:rsid w:val="001A5B83"/>
    <w:rsid w:val="001A778B"/>
    <w:rsid w:val="001B178F"/>
    <w:rsid w:val="001B1EA7"/>
    <w:rsid w:val="001B224F"/>
    <w:rsid w:val="001B24A1"/>
    <w:rsid w:val="001B2573"/>
    <w:rsid w:val="001B2814"/>
    <w:rsid w:val="001B2899"/>
    <w:rsid w:val="001B2B2E"/>
    <w:rsid w:val="001B3568"/>
    <w:rsid w:val="001B358A"/>
    <w:rsid w:val="001B3C7A"/>
    <w:rsid w:val="001B42C7"/>
    <w:rsid w:val="001B46D1"/>
    <w:rsid w:val="001B483A"/>
    <w:rsid w:val="001B4BAF"/>
    <w:rsid w:val="001B5096"/>
    <w:rsid w:val="001B54A9"/>
    <w:rsid w:val="001B6A01"/>
    <w:rsid w:val="001B76A4"/>
    <w:rsid w:val="001B76C4"/>
    <w:rsid w:val="001B7997"/>
    <w:rsid w:val="001C0D15"/>
    <w:rsid w:val="001C131E"/>
    <w:rsid w:val="001C190F"/>
    <w:rsid w:val="001C2D98"/>
    <w:rsid w:val="001C2E36"/>
    <w:rsid w:val="001C449E"/>
    <w:rsid w:val="001C4506"/>
    <w:rsid w:val="001C4E67"/>
    <w:rsid w:val="001C6D58"/>
    <w:rsid w:val="001C6FE2"/>
    <w:rsid w:val="001C73EB"/>
    <w:rsid w:val="001D0632"/>
    <w:rsid w:val="001D0A0F"/>
    <w:rsid w:val="001D0B66"/>
    <w:rsid w:val="001D0DA1"/>
    <w:rsid w:val="001D164A"/>
    <w:rsid w:val="001D1B55"/>
    <w:rsid w:val="001D1FC9"/>
    <w:rsid w:val="001D214F"/>
    <w:rsid w:val="001D23B5"/>
    <w:rsid w:val="001D289A"/>
    <w:rsid w:val="001D2FD8"/>
    <w:rsid w:val="001D35ED"/>
    <w:rsid w:val="001D3688"/>
    <w:rsid w:val="001D49CD"/>
    <w:rsid w:val="001D720D"/>
    <w:rsid w:val="001D7250"/>
    <w:rsid w:val="001E1C3C"/>
    <w:rsid w:val="001E22C1"/>
    <w:rsid w:val="001E24E3"/>
    <w:rsid w:val="001E28CB"/>
    <w:rsid w:val="001E36CF"/>
    <w:rsid w:val="001E3956"/>
    <w:rsid w:val="001E3BC7"/>
    <w:rsid w:val="001E5462"/>
    <w:rsid w:val="001E5970"/>
    <w:rsid w:val="001E66FC"/>
    <w:rsid w:val="001E6CAF"/>
    <w:rsid w:val="001E70B1"/>
    <w:rsid w:val="001E7F84"/>
    <w:rsid w:val="001F02CE"/>
    <w:rsid w:val="001F06ED"/>
    <w:rsid w:val="001F0D7A"/>
    <w:rsid w:val="001F13D7"/>
    <w:rsid w:val="001F1B4E"/>
    <w:rsid w:val="001F20D8"/>
    <w:rsid w:val="001F24CF"/>
    <w:rsid w:val="001F2DB6"/>
    <w:rsid w:val="001F3900"/>
    <w:rsid w:val="001F3C58"/>
    <w:rsid w:val="001F4059"/>
    <w:rsid w:val="001F4371"/>
    <w:rsid w:val="001F4AC1"/>
    <w:rsid w:val="001F4AC7"/>
    <w:rsid w:val="001F4D26"/>
    <w:rsid w:val="001F4EBD"/>
    <w:rsid w:val="001F613B"/>
    <w:rsid w:val="001F67C3"/>
    <w:rsid w:val="001F7310"/>
    <w:rsid w:val="00200CFD"/>
    <w:rsid w:val="00200E52"/>
    <w:rsid w:val="00201145"/>
    <w:rsid w:val="002014CA"/>
    <w:rsid w:val="0020212E"/>
    <w:rsid w:val="0020255B"/>
    <w:rsid w:val="00202881"/>
    <w:rsid w:val="00203537"/>
    <w:rsid w:val="002035DB"/>
    <w:rsid w:val="00203ABC"/>
    <w:rsid w:val="002049BE"/>
    <w:rsid w:val="00204F11"/>
    <w:rsid w:val="00205722"/>
    <w:rsid w:val="00206525"/>
    <w:rsid w:val="00206ABE"/>
    <w:rsid w:val="00207C8B"/>
    <w:rsid w:val="00210BAC"/>
    <w:rsid w:val="002116DB"/>
    <w:rsid w:val="00211D49"/>
    <w:rsid w:val="00211F1A"/>
    <w:rsid w:val="0021210C"/>
    <w:rsid w:val="00212403"/>
    <w:rsid w:val="0021272C"/>
    <w:rsid w:val="00212D84"/>
    <w:rsid w:val="0021314D"/>
    <w:rsid w:val="002136AF"/>
    <w:rsid w:val="002140EC"/>
    <w:rsid w:val="002145BF"/>
    <w:rsid w:val="00214BD1"/>
    <w:rsid w:val="0021522B"/>
    <w:rsid w:val="00215AD7"/>
    <w:rsid w:val="00215F91"/>
    <w:rsid w:val="0021611F"/>
    <w:rsid w:val="00216ED4"/>
    <w:rsid w:val="002177BB"/>
    <w:rsid w:val="002178C1"/>
    <w:rsid w:val="0022023A"/>
    <w:rsid w:val="002204BC"/>
    <w:rsid w:val="00221BE5"/>
    <w:rsid w:val="002229E5"/>
    <w:rsid w:val="00222DD9"/>
    <w:rsid w:val="002232EB"/>
    <w:rsid w:val="0022394F"/>
    <w:rsid w:val="002240A8"/>
    <w:rsid w:val="00224FD5"/>
    <w:rsid w:val="00225247"/>
    <w:rsid w:val="0022579E"/>
    <w:rsid w:val="002273DC"/>
    <w:rsid w:val="00230179"/>
    <w:rsid w:val="0023098A"/>
    <w:rsid w:val="00230A47"/>
    <w:rsid w:val="00230EEE"/>
    <w:rsid w:val="00230F36"/>
    <w:rsid w:val="00230F6A"/>
    <w:rsid w:val="002315EC"/>
    <w:rsid w:val="00231996"/>
    <w:rsid w:val="00231AD7"/>
    <w:rsid w:val="00231D3E"/>
    <w:rsid w:val="00231E86"/>
    <w:rsid w:val="0023218F"/>
    <w:rsid w:val="002321BF"/>
    <w:rsid w:val="002329F7"/>
    <w:rsid w:val="00232AEB"/>
    <w:rsid w:val="00232F76"/>
    <w:rsid w:val="002336E4"/>
    <w:rsid w:val="00233EFD"/>
    <w:rsid w:val="0023416F"/>
    <w:rsid w:val="00234395"/>
    <w:rsid w:val="00234B74"/>
    <w:rsid w:val="002351CE"/>
    <w:rsid w:val="00235B87"/>
    <w:rsid w:val="00235E24"/>
    <w:rsid w:val="00236495"/>
    <w:rsid w:val="0023694D"/>
    <w:rsid w:val="00237373"/>
    <w:rsid w:val="0023738E"/>
    <w:rsid w:val="00237CEB"/>
    <w:rsid w:val="002401B6"/>
    <w:rsid w:val="002416B4"/>
    <w:rsid w:val="00241BEF"/>
    <w:rsid w:val="002427CA"/>
    <w:rsid w:val="00244B3F"/>
    <w:rsid w:val="00244CEC"/>
    <w:rsid w:val="0024507C"/>
    <w:rsid w:val="002451DE"/>
    <w:rsid w:val="00245B1E"/>
    <w:rsid w:val="00245F72"/>
    <w:rsid w:val="00246227"/>
    <w:rsid w:val="002466F4"/>
    <w:rsid w:val="002468CA"/>
    <w:rsid w:val="00247703"/>
    <w:rsid w:val="00247FE5"/>
    <w:rsid w:val="00250917"/>
    <w:rsid w:val="00250C84"/>
    <w:rsid w:val="00251C7F"/>
    <w:rsid w:val="002522EB"/>
    <w:rsid w:val="002530B0"/>
    <w:rsid w:val="002533E3"/>
    <w:rsid w:val="00254BFC"/>
    <w:rsid w:val="00254E37"/>
    <w:rsid w:val="002555A8"/>
    <w:rsid w:val="0025664A"/>
    <w:rsid w:val="00256CBA"/>
    <w:rsid w:val="00256F00"/>
    <w:rsid w:val="002576BC"/>
    <w:rsid w:val="00257764"/>
    <w:rsid w:val="00257E28"/>
    <w:rsid w:val="00260794"/>
    <w:rsid w:val="00260B08"/>
    <w:rsid w:val="0026199C"/>
    <w:rsid w:val="002629DE"/>
    <w:rsid w:val="00262FFF"/>
    <w:rsid w:val="002632CA"/>
    <w:rsid w:val="0026357E"/>
    <w:rsid w:val="002637F6"/>
    <w:rsid w:val="00264B9B"/>
    <w:rsid w:val="00264D8B"/>
    <w:rsid w:val="002651C9"/>
    <w:rsid w:val="00266695"/>
    <w:rsid w:val="002669A2"/>
    <w:rsid w:val="00266F8D"/>
    <w:rsid w:val="002676E0"/>
    <w:rsid w:val="00270532"/>
    <w:rsid w:val="00270A84"/>
    <w:rsid w:val="00270B08"/>
    <w:rsid w:val="00270CAB"/>
    <w:rsid w:val="00271680"/>
    <w:rsid w:val="00271C3F"/>
    <w:rsid w:val="002726EB"/>
    <w:rsid w:val="002729F5"/>
    <w:rsid w:val="00272D9E"/>
    <w:rsid w:val="00273641"/>
    <w:rsid w:val="0027390B"/>
    <w:rsid w:val="00274016"/>
    <w:rsid w:val="00274072"/>
    <w:rsid w:val="00274593"/>
    <w:rsid w:val="00274870"/>
    <w:rsid w:val="002748F6"/>
    <w:rsid w:val="00274F37"/>
    <w:rsid w:val="002756FF"/>
    <w:rsid w:val="00275726"/>
    <w:rsid w:val="00275990"/>
    <w:rsid w:val="0027614E"/>
    <w:rsid w:val="002764BA"/>
    <w:rsid w:val="0027666A"/>
    <w:rsid w:val="00276F71"/>
    <w:rsid w:val="00276FE2"/>
    <w:rsid w:val="0027715D"/>
    <w:rsid w:val="00277265"/>
    <w:rsid w:val="00277291"/>
    <w:rsid w:val="002802D8"/>
    <w:rsid w:val="002803AE"/>
    <w:rsid w:val="0028063D"/>
    <w:rsid w:val="00280800"/>
    <w:rsid w:val="002809CF"/>
    <w:rsid w:val="00283836"/>
    <w:rsid w:val="00283876"/>
    <w:rsid w:val="00283B87"/>
    <w:rsid w:val="00283BA3"/>
    <w:rsid w:val="00283CBB"/>
    <w:rsid w:val="00284050"/>
    <w:rsid w:val="00284083"/>
    <w:rsid w:val="002845BC"/>
    <w:rsid w:val="002849C3"/>
    <w:rsid w:val="00284B7E"/>
    <w:rsid w:val="0028511D"/>
    <w:rsid w:val="002855A7"/>
    <w:rsid w:val="002859AB"/>
    <w:rsid w:val="0028621F"/>
    <w:rsid w:val="00286915"/>
    <w:rsid w:val="002872F7"/>
    <w:rsid w:val="00287ED6"/>
    <w:rsid w:val="00290C5E"/>
    <w:rsid w:val="002911E8"/>
    <w:rsid w:val="0029163D"/>
    <w:rsid w:val="002918CD"/>
    <w:rsid w:val="00291DFD"/>
    <w:rsid w:val="00292264"/>
    <w:rsid w:val="00292DFE"/>
    <w:rsid w:val="002939C8"/>
    <w:rsid w:val="00293BBF"/>
    <w:rsid w:val="00294171"/>
    <w:rsid w:val="002943CC"/>
    <w:rsid w:val="00294618"/>
    <w:rsid w:val="0029468F"/>
    <w:rsid w:val="00294A5F"/>
    <w:rsid w:val="002957F0"/>
    <w:rsid w:val="00295FE8"/>
    <w:rsid w:val="00296549"/>
    <w:rsid w:val="00297289"/>
    <w:rsid w:val="002973DF"/>
    <w:rsid w:val="002973E8"/>
    <w:rsid w:val="00297857"/>
    <w:rsid w:val="00297C13"/>
    <w:rsid w:val="002A00A7"/>
    <w:rsid w:val="002A0178"/>
    <w:rsid w:val="002A0762"/>
    <w:rsid w:val="002A0B81"/>
    <w:rsid w:val="002A2194"/>
    <w:rsid w:val="002A24A4"/>
    <w:rsid w:val="002A2E5E"/>
    <w:rsid w:val="002A3349"/>
    <w:rsid w:val="002A3ED3"/>
    <w:rsid w:val="002A4057"/>
    <w:rsid w:val="002A41E3"/>
    <w:rsid w:val="002A4D5B"/>
    <w:rsid w:val="002A5038"/>
    <w:rsid w:val="002A503C"/>
    <w:rsid w:val="002A5316"/>
    <w:rsid w:val="002A576A"/>
    <w:rsid w:val="002A5B95"/>
    <w:rsid w:val="002A5BD6"/>
    <w:rsid w:val="002A5EAA"/>
    <w:rsid w:val="002A5FDC"/>
    <w:rsid w:val="002A6265"/>
    <w:rsid w:val="002A64AA"/>
    <w:rsid w:val="002A77B5"/>
    <w:rsid w:val="002B06B7"/>
    <w:rsid w:val="002B188C"/>
    <w:rsid w:val="002B19D6"/>
    <w:rsid w:val="002B1C3A"/>
    <w:rsid w:val="002B340E"/>
    <w:rsid w:val="002B472D"/>
    <w:rsid w:val="002B4A0F"/>
    <w:rsid w:val="002B4D2B"/>
    <w:rsid w:val="002B55E9"/>
    <w:rsid w:val="002B70DD"/>
    <w:rsid w:val="002B7DAC"/>
    <w:rsid w:val="002B7FC2"/>
    <w:rsid w:val="002C06EB"/>
    <w:rsid w:val="002C07DE"/>
    <w:rsid w:val="002C13AA"/>
    <w:rsid w:val="002C1469"/>
    <w:rsid w:val="002C1B70"/>
    <w:rsid w:val="002C1C31"/>
    <w:rsid w:val="002C2851"/>
    <w:rsid w:val="002C29AF"/>
    <w:rsid w:val="002C321D"/>
    <w:rsid w:val="002C33D3"/>
    <w:rsid w:val="002C33D9"/>
    <w:rsid w:val="002C347A"/>
    <w:rsid w:val="002C4262"/>
    <w:rsid w:val="002C4674"/>
    <w:rsid w:val="002C4FC8"/>
    <w:rsid w:val="002C54D7"/>
    <w:rsid w:val="002C5919"/>
    <w:rsid w:val="002C5C1B"/>
    <w:rsid w:val="002C65AC"/>
    <w:rsid w:val="002C6BD0"/>
    <w:rsid w:val="002C6DA8"/>
    <w:rsid w:val="002C73C6"/>
    <w:rsid w:val="002C77A3"/>
    <w:rsid w:val="002D0A97"/>
    <w:rsid w:val="002D12B1"/>
    <w:rsid w:val="002D15F7"/>
    <w:rsid w:val="002D17FF"/>
    <w:rsid w:val="002D1A2A"/>
    <w:rsid w:val="002D1D46"/>
    <w:rsid w:val="002D2240"/>
    <w:rsid w:val="002D25B5"/>
    <w:rsid w:val="002D2829"/>
    <w:rsid w:val="002D29C4"/>
    <w:rsid w:val="002D361F"/>
    <w:rsid w:val="002D3BB8"/>
    <w:rsid w:val="002D3C18"/>
    <w:rsid w:val="002D4446"/>
    <w:rsid w:val="002D4508"/>
    <w:rsid w:val="002D4529"/>
    <w:rsid w:val="002D49CA"/>
    <w:rsid w:val="002D4F40"/>
    <w:rsid w:val="002D4F57"/>
    <w:rsid w:val="002D50BB"/>
    <w:rsid w:val="002D5468"/>
    <w:rsid w:val="002D60A2"/>
    <w:rsid w:val="002D66AE"/>
    <w:rsid w:val="002D72D2"/>
    <w:rsid w:val="002D743A"/>
    <w:rsid w:val="002D767F"/>
    <w:rsid w:val="002E0498"/>
    <w:rsid w:val="002E04DE"/>
    <w:rsid w:val="002E0A4D"/>
    <w:rsid w:val="002E15EE"/>
    <w:rsid w:val="002E1B26"/>
    <w:rsid w:val="002E24D5"/>
    <w:rsid w:val="002E3130"/>
    <w:rsid w:val="002E32F9"/>
    <w:rsid w:val="002E421C"/>
    <w:rsid w:val="002E4553"/>
    <w:rsid w:val="002E4E9C"/>
    <w:rsid w:val="002E5BE4"/>
    <w:rsid w:val="002E5C11"/>
    <w:rsid w:val="002E6298"/>
    <w:rsid w:val="002E6485"/>
    <w:rsid w:val="002E6735"/>
    <w:rsid w:val="002E6C0B"/>
    <w:rsid w:val="002E78A4"/>
    <w:rsid w:val="002E7B87"/>
    <w:rsid w:val="002F034D"/>
    <w:rsid w:val="002F043A"/>
    <w:rsid w:val="002F12B0"/>
    <w:rsid w:val="002F1602"/>
    <w:rsid w:val="002F199B"/>
    <w:rsid w:val="002F1E08"/>
    <w:rsid w:val="002F31CB"/>
    <w:rsid w:val="002F363E"/>
    <w:rsid w:val="002F36A1"/>
    <w:rsid w:val="002F51AE"/>
    <w:rsid w:val="002F52B8"/>
    <w:rsid w:val="002F54A2"/>
    <w:rsid w:val="002F574C"/>
    <w:rsid w:val="002F5F06"/>
    <w:rsid w:val="002F600D"/>
    <w:rsid w:val="002F6241"/>
    <w:rsid w:val="002F7834"/>
    <w:rsid w:val="002F78D9"/>
    <w:rsid w:val="002F7BAA"/>
    <w:rsid w:val="002F7CA3"/>
    <w:rsid w:val="002F7E50"/>
    <w:rsid w:val="00300BD7"/>
    <w:rsid w:val="00300D24"/>
    <w:rsid w:val="00300EE8"/>
    <w:rsid w:val="00301887"/>
    <w:rsid w:val="0030357C"/>
    <w:rsid w:val="003036A6"/>
    <w:rsid w:val="003049E2"/>
    <w:rsid w:val="003052AB"/>
    <w:rsid w:val="00305FD1"/>
    <w:rsid w:val="003062A0"/>
    <w:rsid w:val="00306E23"/>
    <w:rsid w:val="003101AE"/>
    <w:rsid w:val="003104BF"/>
    <w:rsid w:val="0031058E"/>
    <w:rsid w:val="00310D2D"/>
    <w:rsid w:val="00311B6F"/>
    <w:rsid w:val="00311C3A"/>
    <w:rsid w:val="00311FC9"/>
    <w:rsid w:val="003120F6"/>
    <w:rsid w:val="00312663"/>
    <w:rsid w:val="00312C66"/>
    <w:rsid w:val="00312CE4"/>
    <w:rsid w:val="00312D32"/>
    <w:rsid w:val="00312E7C"/>
    <w:rsid w:val="00313128"/>
    <w:rsid w:val="00313233"/>
    <w:rsid w:val="00314715"/>
    <w:rsid w:val="003150DF"/>
    <w:rsid w:val="00315202"/>
    <w:rsid w:val="00316350"/>
    <w:rsid w:val="00316889"/>
    <w:rsid w:val="0031689E"/>
    <w:rsid w:val="003171EE"/>
    <w:rsid w:val="003173B0"/>
    <w:rsid w:val="00320299"/>
    <w:rsid w:val="0032046D"/>
    <w:rsid w:val="003207E2"/>
    <w:rsid w:val="00320BED"/>
    <w:rsid w:val="00321234"/>
    <w:rsid w:val="003218FC"/>
    <w:rsid w:val="00322135"/>
    <w:rsid w:val="00322528"/>
    <w:rsid w:val="00322DF4"/>
    <w:rsid w:val="0032346D"/>
    <w:rsid w:val="0032352C"/>
    <w:rsid w:val="00324429"/>
    <w:rsid w:val="00324E03"/>
    <w:rsid w:val="003250D1"/>
    <w:rsid w:val="0032598F"/>
    <w:rsid w:val="00326822"/>
    <w:rsid w:val="00326866"/>
    <w:rsid w:val="00326AB2"/>
    <w:rsid w:val="00327166"/>
    <w:rsid w:val="003273B0"/>
    <w:rsid w:val="00327403"/>
    <w:rsid w:val="00327668"/>
    <w:rsid w:val="00327AE2"/>
    <w:rsid w:val="00327C6F"/>
    <w:rsid w:val="00330DA8"/>
    <w:rsid w:val="003310AB"/>
    <w:rsid w:val="003312A1"/>
    <w:rsid w:val="00332030"/>
    <w:rsid w:val="00332A4C"/>
    <w:rsid w:val="00332EEC"/>
    <w:rsid w:val="00333390"/>
    <w:rsid w:val="00333629"/>
    <w:rsid w:val="00333EEE"/>
    <w:rsid w:val="00333EF6"/>
    <w:rsid w:val="003344AC"/>
    <w:rsid w:val="0033459E"/>
    <w:rsid w:val="00334CCC"/>
    <w:rsid w:val="00334E80"/>
    <w:rsid w:val="00335307"/>
    <w:rsid w:val="00335481"/>
    <w:rsid w:val="00335AFD"/>
    <w:rsid w:val="00336DF6"/>
    <w:rsid w:val="003370F3"/>
    <w:rsid w:val="00337EB9"/>
    <w:rsid w:val="00340E6D"/>
    <w:rsid w:val="00340EB1"/>
    <w:rsid w:val="003416E7"/>
    <w:rsid w:val="00342305"/>
    <w:rsid w:val="00342B12"/>
    <w:rsid w:val="00342B45"/>
    <w:rsid w:val="003432DD"/>
    <w:rsid w:val="003454B5"/>
    <w:rsid w:val="0034703B"/>
    <w:rsid w:val="00347088"/>
    <w:rsid w:val="00347755"/>
    <w:rsid w:val="00347953"/>
    <w:rsid w:val="00350094"/>
    <w:rsid w:val="003502ED"/>
    <w:rsid w:val="003505EA"/>
    <w:rsid w:val="00350C34"/>
    <w:rsid w:val="0035165F"/>
    <w:rsid w:val="00351AEC"/>
    <w:rsid w:val="00353E73"/>
    <w:rsid w:val="00353F8A"/>
    <w:rsid w:val="00354186"/>
    <w:rsid w:val="00354464"/>
    <w:rsid w:val="00355212"/>
    <w:rsid w:val="0035521C"/>
    <w:rsid w:val="003555E2"/>
    <w:rsid w:val="00360372"/>
    <w:rsid w:val="003608B3"/>
    <w:rsid w:val="00361438"/>
    <w:rsid w:val="00362F4A"/>
    <w:rsid w:val="00363C41"/>
    <w:rsid w:val="003647C2"/>
    <w:rsid w:val="00365296"/>
    <w:rsid w:val="00365717"/>
    <w:rsid w:val="003665DB"/>
    <w:rsid w:val="0036694A"/>
    <w:rsid w:val="00366BEE"/>
    <w:rsid w:val="00367728"/>
    <w:rsid w:val="00367866"/>
    <w:rsid w:val="00370796"/>
    <w:rsid w:val="003712F9"/>
    <w:rsid w:val="003713B1"/>
    <w:rsid w:val="003715CB"/>
    <w:rsid w:val="00371641"/>
    <w:rsid w:val="00371943"/>
    <w:rsid w:val="00371DB5"/>
    <w:rsid w:val="003723C9"/>
    <w:rsid w:val="00372A35"/>
    <w:rsid w:val="00373769"/>
    <w:rsid w:val="00373D2E"/>
    <w:rsid w:val="00373FB9"/>
    <w:rsid w:val="003745C0"/>
    <w:rsid w:val="00374DFA"/>
    <w:rsid w:val="003757DC"/>
    <w:rsid w:val="00375B28"/>
    <w:rsid w:val="00375ECF"/>
    <w:rsid w:val="00376491"/>
    <w:rsid w:val="0037678E"/>
    <w:rsid w:val="00376C4B"/>
    <w:rsid w:val="003775DC"/>
    <w:rsid w:val="00377CAA"/>
    <w:rsid w:val="003805F0"/>
    <w:rsid w:val="00381066"/>
    <w:rsid w:val="0038125C"/>
    <w:rsid w:val="00381377"/>
    <w:rsid w:val="003816C9"/>
    <w:rsid w:val="00381C4D"/>
    <w:rsid w:val="0038220E"/>
    <w:rsid w:val="00382BC6"/>
    <w:rsid w:val="003839E9"/>
    <w:rsid w:val="00384444"/>
    <w:rsid w:val="00384552"/>
    <w:rsid w:val="003845EF"/>
    <w:rsid w:val="00384DEA"/>
    <w:rsid w:val="00385745"/>
    <w:rsid w:val="00386058"/>
    <w:rsid w:val="00386C7B"/>
    <w:rsid w:val="00386F43"/>
    <w:rsid w:val="003871D8"/>
    <w:rsid w:val="003872CB"/>
    <w:rsid w:val="0038771B"/>
    <w:rsid w:val="00387EBC"/>
    <w:rsid w:val="00387F88"/>
    <w:rsid w:val="003905DE"/>
    <w:rsid w:val="0039078B"/>
    <w:rsid w:val="00391447"/>
    <w:rsid w:val="0039150B"/>
    <w:rsid w:val="0039178F"/>
    <w:rsid w:val="003926A9"/>
    <w:rsid w:val="003929C7"/>
    <w:rsid w:val="00392A8C"/>
    <w:rsid w:val="00392B69"/>
    <w:rsid w:val="00393952"/>
    <w:rsid w:val="00394D63"/>
    <w:rsid w:val="003950A5"/>
    <w:rsid w:val="0039543E"/>
    <w:rsid w:val="003957B3"/>
    <w:rsid w:val="00395890"/>
    <w:rsid w:val="00395A7A"/>
    <w:rsid w:val="00395D5B"/>
    <w:rsid w:val="00395E68"/>
    <w:rsid w:val="0039638A"/>
    <w:rsid w:val="00396E1C"/>
    <w:rsid w:val="003970E2"/>
    <w:rsid w:val="003971AC"/>
    <w:rsid w:val="003A0022"/>
    <w:rsid w:val="003A069A"/>
    <w:rsid w:val="003A17BB"/>
    <w:rsid w:val="003A1D79"/>
    <w:rsid w:val="003A2498"/>
    <w:rsid w:val="003A2E23"/>
    <w:rsid w:val="003A35E9"/>
    <w:rsid w:val="003A3A2C"/>
    <w:rsid w:val="003A3E44"/>
    <w:rsid w:val="003A3FB6"/>
    <w:rsid w:val="003A5541"/>
    <w:rsid w:val="003A5C39"/>
    <w:rsid w:val="003A5DC7"/>
    <w:rsid w:val="003A7A98"/>
    <w:rsid w:val="003A7EAF"/>
    <w:rsid w:val="003B0B77"/>
    <w:rsid w:val="003B115F"/>
    <w:rsid w:val="003B18A4"/>
    <w:rsid w:val="003B21D3"/>
    <w:rsid w:val="003B3894"/>
    <w:rsid w:val="003B4813"/>
    <w:rsid w:val="003B53DB"/>
    <w:rsid w:val="003B5405"/>
    <w:rsid w:val="003B58FD"/>
    <w:rsid w:val="003B5DDF"/>
    <w:rsid w:val="003B6F8D"/>
    <w:rsid w:val="003C15CD"/>
    <w:rsid w:val="003C259A"/>
    <w:rsid w:val="003C25A8"/>
    <w:rsid w:val="003C2A57"/>
    <w:rsid w:val="003C36BB"/>
    <w:rsid w:val="003C3EF1"/>
    <w:rsid w:val="003C402E"/>
    <w:rsid w:val="003C405C"/>
    <w:rsid w:val="003C431A"/>
    <w:rsid w:val="003C434C"/>
    <w:rsid w:val="003C4BE4"/>
    <w:rsid w:val="003C540B"/>
    <w:rsid w:val="003C5588"/>
    <w:rsid w:val="003C5976"/>
    <w:rsid w:val="003C6389"/>
    <w:rsid w:val="003C6E30"/>
    <w:rsid w:val="003C79E0"/>
    <w:rsid w:val="003C7E10"/>
    <w:rsid w:val="003D004C"/>
    <w:rsid w:val="003D0CC7"/>
    <w:rsid w:val="003D0D25"/>
    <w:rsid w:val="003D0D94"/>
    <w:rsid w:val="003D1F0C"/>
    <w:rsid w:val="003D2169"/>
    <w:rsid w:val="003D238B"/>
    <w:rsid w:val="003D2C53"/>
    <w:rsid w:val="003D441A"/>
    <w:rsid w:val="003D47B3"/>
    <w:rsid w:val="003D4AB9"/>
    <w:rsid w:val="003D5F8F"/>
    <w:rsid w:val="003D63A9"/>
    <w:rsid w:val="003D6C4A"/>
    <w:rsid w:val="003D765B"/>
    <w:rsid w:val="003D773B"/>
    <w:rsid w:val="003E099F"/>
    <w:rsid w:val="003E1326"/>
    <w:rsid w:val="003E13C7"/>
    <w:rsid w:val="003E182F"/>
    <w:rsid w:val="003E2763"/>
    <w:rsid w:val="003E2878"/>
    <w:rsid w:val="003E3DD8"/>
    <w:rsid w:val="003E406D"/>
    <w:rsid w:val="003E474D"/>
    <w:rsid w:val="003E4C0A"/>
    <w:rsid w:val="003E53C7"/>
    <w:rsid w:val="003E5C91"/>
    <w:rsid w:val="003E600D"/>
    <w:rsid w:val="003E62F7"/>
    <w:rsid w:val="003E654A"/>
    <w:rsid w:val="003E67C4"/>
    <w:rsid w:val="003E69B5"/>
    <w:rsid w:val="003E6DBF"/>
    <w:rsid w:val="003E7DB1"/>
    <w:rsid w:val="003F06D9"/>
    <w:rsid w:val="003F0C32"/>
    <w:rsid w:val="003F0F95"/>
    <w:rsid w:val="003F173F"/>
    <w:rsid w:val="003F1BD8"/>
    <w:rsid w:val="003F24F6"/>
    <w:rsid w:val="003F281E"/>
    <w:rsid w:val="003F3E00"/>
    <w:rsid w:val="003F440D"/>
    <w:rsid w:val="003F476C"/>
    <w:rsid w:val="003F4D8C"/>
    <w:rsid w:val="003F5083"/>
    <w:rsid w:val="003F509E"/>
    <w:rsid w:val="003F56CD"/>
    <w:rsid w:val="003F5857"/>
    <w:rsid w:val="003F5A81"/>
    <w:rsid w:val="003F6B11"/>
    <w:rsid w:val="003F6E81"/>
    <w:rsid w:val="003F6F2D"/>
    <w:rsid w:val="003F73A0"/>
    <w:rsid w:val="003F7C2B"/>
    <w:rsid w:val="003F7C50"/>
    <w:rsid w:val="003F7EE5"/>
    <w:rsid w:val="0040047F"/>
    <w:rsid w:val="00401228"/>
    <w:rsid w:val="004017E0"/>
    <w:rsid w:val="00401B6E"/>
    <w:rsid w:val="00402BEA"/>
    <w:rsid w:val="00402C29"/>
    <w:rsid w:val="00402CAA"/>
    <w:rsid w:val="004030DA"/>
    <w:rsid w:val="00405533"/>
    <w:rsid w:val="00405535"/>
    <w:rsid w:val="004058BF"/>
    <w:rsid w:val="004059E7"/>
    <w:rsid w:val="00405F34"/>
    <w:rsid w:val="00407257"/>
    <w:rsid w:val="00407667"/>
    <w:rsid w:val="00407821"/>
    <w:rsid w:val="00410C4F"/>
    <w:rsid w:val="00410CA5"/>
    <w:rsid w:val="00411645"/>
    <w:rsid w:val="0041274D"/>
    <w:rsid w:val="00412B6B"/>
    <w:rsid w:val="00412CF2"/>
    <w:rsid w:val="004132FD"/>
    <w:rsid w:val="00413444"/>
    <w:rsid w:val="00413608"/>
    <w:rsid w:val="004139EE"/>
    <w:rsid w:val="00413C58"/>
    <w:rsid w:val="00413E57"/>
    <w:rsid w:val="004143B2"/>
    <w:rsid w:val="00414A1E"/>
    <w:rsid w:val="00414C5E"/>
    <w:rsid w:val="0041510E"/>
    <w:rsid w:val="00415A95"/>
    <w:rsid w:val="00415E15"/>
    <w:rsid w:val="00415ED9"/>
    <w:rsid w:val="004160E3"/>
    <w:rsid w:val="00416C6E"/>
    <w:rsid w:val="00416CA1"/>
    <w:rsid w:val="00417741"/>
    <w:rsid w:val="00417B0B"/>
    <w:rsid w:val="00417E6F"/>
    <w:rsid w:val="00417F65"/>
    <w:rsid w:val="0042022F"/>
    <w:rsid w:val="00420524"/>
    <w:rsid w:val="00420DAE"/>
    <w:rsid w:val="00420F66"/>
    <w:rsid w:val="004218DB"/>
    <w:rsid w:val="004221D7"/>
    <w:rsid w:val="004226E0"/>
    <w:rsid w:val="00422AA4"/>
    <w:rsid w:val="00424293"/>
    <w:rsid w:val="00424CEC"/>
    <w:rsid w:val="004257EF"/>
    <w:rsid w:val="00425D91"/>
    <w:rsid w:val="00426609"/>
    <w:rsid w:val="00426745"/>
    <w:rsid w:val="00427044"/>
    <w:rsid w:val="00427578"/>
    <w:rsid w:val="00427AF4"/>
    <w:rsid w:val="00427D8C"/>
    <w:rsid w:val="0043015A"/>
    <w:rsid w:val="00430F7B"/>
    <w:rsid w:val="004311AB"/>
    <w:rsid w:val="00431EB8"/>
    <w:rsid w:val="00432379"/>
    <w:rsid w:val="00432801"/>
    <w:rsid w:val="004336DA"/>
    <w:rsid w:val="00434494"/>
    <w:rsid w:val="00434510"/>
    <w:rsid w:val="0043502F"/>
    <w:rsid w:val="00435125"/>
    <w:rsid w:val="004352F7"/>
    <w:rsid w:val="00435680"/>
    <w:rsid w:val="00435E48"/>
    <w:rsid w:val="004367B4"/>
    <w:rsid w:val="004367BB"/>
    <w:rsid w:val="00437E70"/>
    <w:rsid w:val="00440171"/>
    <w:rsid w:val="0044085D"/>
    <w:rsid w:val="00442A79"/>
    <w:rsid w:val="004443BE"/>
    <w:rsid w:val="00444B0B"/>
    <w:rsid w:val="00445BDA"/>
    <w:rsid w:val="00445CFF"/>
    <w:rsid w:val="004470AD"/>
    <w:rsid w:val="00447CF1"/>
    <w:rsid w:val="00450667"/>
    <w:rsid w:val="0045094E"/>
    <w:rsid w:val="00450C67"/>
    <w:rsid w:val="00450C69"/>
    <w:rsid w:val="004510EF"/>
    <w:rsid w:val="004518D7"/>
    <w:rsid w:val="00452069"/>
    <w:rsid w:val="004527A3"/>
    <w:rsid w:val="004530B0"/>
    <w:rsid w:val="004534B7"/>
    <w:rsid w:val="0045373E"/>
    <w:rsid w:val="00453DCA"/>
    <w:rsid w:val="00454563"/>
    <w:rsid w:val="0045496B"/>
    <w:rsid w:val="0045526C"/>
    <w:rsid w:val="0045596A"/>
    <w:rsid w:val="00455D10"/>
    <w:rsid w:val="00456920"/>
    <w:rsid w:val="00456F8D"/>
    <w:rsid w:val="00457438"/>
    <w:rsid w:val="004576C0"/>
    <w:rsid w:val="004579CD"/>
    <w:rsid w:val="00460660"/>
    <w:rsid w:val="0046087A"/>
    <w:rsid w:val="0046142F"/>
    <w:rsid w:val="00461C83"/>
    <w:rsid w:val="00461E4A"/>
    <w:rsid w:val="004623C2"/>
    <w:rsid w:val="00462CA7"/>
    <w:rsid w:val="00462CF1"/>
    <w:rsid w:val="00462FA0"/>
    <w:rsid w:val="004630B5"/>
    <w:rsid w:val="00463550"/>
    <w:rsid w:val="00463A97"/>
    <w:rsid w:val="00463B44"/>
    <w:rsid w:val="0046420F"/>
    <w:rsid w:val="0046436D"/>
    <w:rsid w:val="00464D6C"/>
    <w:rsid w:val="004657C7"/>
    <w:rsid w:val="004658E8"/>
    <w:rsid w:val="00465E52"/>
    <w:rsid w:val="004671BD"/>
    <w:rsid w:val="00467722"/>
    <w:rsid w:val="00467C3C"/>
    <w:rsid w:val="0047045A"/>
    <w:rsid w:val="00470DE8"/>
    <w:rsid w:val="00470F2A"/>
    <w:rsid w:val="00471140"/>
    <w:rsid w:val="004725FF"/>
    <w:rsid w:val="00472665"/>
    <w:rsid w:val="00473598"/>
    <w:rsid w:val="00473CB6"/>
    <w:rsid w:val="00473F7D"/>
    <w:rsid w:val="00474502"/>
    <w:rsid w:val="004746EE"/>
    <w:rsid w:val="00474B28"/>
    <w:rsid w:val="00474D61"/>
    <w:rsid w:val="00475E17"/>
    <w:rsid w:val="00476B7B"/>
    <w:rsid w:val="00477C90"/>
    <w:rsid w:val="00480303"/>
    <w:rsid w:val="004808A8"/>
    <w:rsid w:val="00480E6D"/>
    <w:rsid w:val="004819DF"/>
    <w:rsid w:val="0048344B"/>
    <w:rsid w:val="004834D7"/>
    <w:rsid w:val="00486D0E"/>
    <w:rsid w:val="00487951"/>
    <w:rsid w:val="0049023B"/>
    <w:rsid w:val="004906FE"/>
    <w:rsid w:val="00490D83"/>
    <w:rsid w:val="00492745"/>
    <w:rsid w:val="004929D1"/>
    <w:rsid w:val="00492D86"/>
    <w:rsid w:val="0049365B"/>
    <w:rsid w:val="00493D6A"/>
    <w:rsid w:val="004940EB"/>
    <w:rsid w:val="004944FA"/>
    <w:rsid w:val="00494606"/>
    <w:rsid w:val="00495116"/>
    <w:rsid w:val="004958EA"/>
    <w:rsid w:val="00495BB2"/>
    <w:rsid w:val="00495D15"/>
    <w:rsid w:val="0049629D"/>
    <w:rsid w:val="00497A60"/>
    <w:rsid w:val="00497AE8"/>
    <w:rsid w:val="004A04C1"/>
    <w:rsid w:val="004A130F"/>
    <w:rsid w:val="004A1E11"/>
    <w:rsid w:val="004A25CE"/>
    <w:rsid w:val="004A26E7"/>
    <w:rsid w:val="004A2DC1"/>
    <w:rsid w:val="004A36A8"/>
    <w:rsid w:val="004A3B66"/>
    <w:rsid w:val="004A3BA2"/>
    <w:rsid w:val="004A4589"/>
    <w:rsid w:val="004A52AC"/>
    <w:rsid w:val="004A531D"/>
    <w:rsid w:val="004A6115"/>
    <w:rsid w:val="004A76CA"/>
    <w:rsid w:val="004A77BF"/>
    <w:rsid w:val="004B02B3"/>
    <w:rsid w:val="004B0F28"/>
    <w:rsid w:val="004B1443"/>
    <w:rsid w:val="004B1561"/>
    <w:rsid w:val="004B1C89"/>
    <w:rsid w:val="004B1FCA"/>
    <w:rsid w:val="004B229A"/>
    <w:rsid w:val="004B2816"/>
    <w:rsid w:val="004B2821"/>
    <w:rsid w:val="004B31C2"/>
    <w:rsid w:val="004B34AC"/>
    <w:rsid w:val="004B3A14"/>
    <w:rsid w:val="004B3CEF"/>
    <w:rsid w:val="004B3FC8"/>
    <w:rsid w:val="004B41F7"/>
    <w:rsid w:val="004B4288"/>
    <w:rsid w:val="004B52F7"/>
    <w:rsid w:val="004B5867"/>
    <w:rsid w:val="004B6A1E"/>
    <w:rsid w:val="004B7B2D"/>
    <w:rsid w:val="004C02A5"/>
    <w:rsid w:val="004C02B9"/>
    <w:rsid w:val="004C03BB"/>
    <w:rsid w:val="004C04F4"/>
    <w:rsid w:val="004C095B"/>
    <w:rsid w:val="004C10BF"/>
    <w:rsid w:val="004C141A"/>
    <w:rsid w:val="004C14A4"/>
    <w:rsid w:val="004C2386"/>
    <w:rsid w:val="004C27DF"/>
    <w:rsid w:val="004C2B4D"/>
    <w:rsid w:val="004C3B74"/>
    <w:rsid w:val="004C3C2A"/>
    <w:rsid w:val="004C3F40"/>
    <w:rsid w:val="004C46A7"/>
    <w:rsid w:val="004C4E9B"/>
    <w:rsid w:val="004C5200"/>
    <w:rsid w:val="004C597A"/>
    <w:rsid w:val="004C6D87"/>
    <w:rsid w:val="004C6F44"/>
    <w:rsid w:val="004C765F"/>
    <w:rsid w:val="004D0A1B"/>
    <w:rsid w:val="004D0BB1"/>
    <w:rsid w:val="004D1B60"/>
    <w:rsid w:val="004D1B88"/>
    <w:rsid w:val="004D1BBF"/>
    <w:rsid w:val="004D220F"/>
    <w:rsid w:val="004D2998"/>
    <w:rsid w:val="004D3AB7"/>
    <w:rsid w:val="004D3E7B"/>
    <w:rsid w:val="004D3EF5"/>
    <w:rsid w:val="004D4019"/>
    <w:rsid w:val="004D411B"/>
    <w:rsid w:val="004D416E"/>
    <w:rsid w:val="004D48DE"/>
    <w:rsid w:val="004D4C07"/>
    <w:rsid w:val="004D673A"/>
    <w:rsid w:val="004D6AD9"/>
    <w:rsid w:val="004D6F2A"/>
    <w:rsid w:val="004D72E8"/>
    <w:rsid w:val="004D737D"/>
    <w:rsid w:val="004D7C2A"/>
    <w:rsid w:val="004E008D"/>
    <w:rsid w:val="004E0094"/>
    <w:rsid w:val="004E0315"/>
    <w:rsid w:val="004E038A"/>
    <w:rsid w:val="004E0527"/>
    <w:rsid w:val="004E0830"/>
    <w:rsid w:val="004E0C30"/>
    <w:rsid w:val="004E10E9"/>
    <w:rsid w:val="004E1218"/>
    <w:rsid w:val="004E25BB"/>
    <w:rsid w:val="004E29E9"/>
    <w:rsid w:val="004E2D1E"/>
    <w:rsid w:val="004E2DE9"/>
    <w:rsid w:val="004E37A7"/>
    <w:rsid w:val="004E3CA7"/>
    <w:rsid w:val="004E4BFC"/>
    <w:rsid w:val="004E4E20"/>
    <w:rsid w:val="004E58EF"/>
    <w:rsid w:val="004E59C2"/>
    <w:rsid w:val="004E62C9"/>
    <w:rsid w:val="004E6411"/>
    <w:rsid w:val="004E6995"/>
    <w:rsid w:val="004E6C63"/>
    <w:rsid w:val="004E727B"/>
    <w:rsid w:val="004F00AD"/>
    <w:rsid w:val="004F059F"/>
    <w:rsid w:val="004F07B0"/>
    <w:rsid w:val="004F1883"/>
    <w:rsid w:val="004F1DD3"/>
    <w:rsid w:val="004F2E6C"/>
    <w:rsid w:val="004F3278"/>
    <w:rsid w:val="004F3C75"/>
    <w:rsid w:val="004F3E60"/>
    <w:rsid w:val="004F48A9"/>
    <w:rsid w:val="004F49C2"/>
    <w:rsid w:val="004F5936"/>
    <w:rsid w:val="004F5969"/>
    <w:rsid w:val="004F5A89"/>
    <w:rsid w:val="004F5F53"/>
    <w:rsid w:val="004F5FD5"/>
    <w:rsid w:val="004F6021"/>
    <w:rsid w:val="004F6AB2"/>
    <w:rsid w:val="004F78AE"/>
    <w:rsid w:val="004F7CEC"/>
    <w:rsid w:val="004F7EC7"/>
    <w:rsid w:val="005003CB"/>
    <w:rsid w:val="0050144C"/>
    <w:rsid w:val="005017C1"/>
    <w:rsid w:val="00502B13"/>
    <w:rsid w:val="00502F1A"/>
    <w:rsid w:val="00503F6E"/>
    <w:rsid w:val="00504468"/>
    <w:rsid w:val="00504C51"/>
    <w:rsid w:val="00505447"/>
    <w:rsid w:val="00506224"/>
    <w:rsid w:val="005063B2"/>
    <w:rsid w:val="0050712D"/>
    <w:rsid w:val="00507167"/>
    <w:rsid w:val="00507CA0"/>
    <w:rsid w:val="00507D4C"/>
    <w:rsid w:val="00510602"/>
    <w:rsid w:val="00510768"/>
    <w:rsid w:val="00510FFF"/>
    <w:rsid w:val="005112C3"/>
    <w:rsid w:val="0051167C"/>
    <w:rsid w:val="00511D34"/>
    <w:rsid w:val="005120E7"/>
    <w:rsid w:val="0051222A"/>
    <w:rsid w:val="00512348"/>
    <w:rsid w:val="00512F6D"/>
    <w:rsid w:val="00513922"/>
    <w:rsid w:val="00514163"/>
    <w:rsid w:val="0051495A"/>
    <w:rsid w:val="00514F80"/>
    <w:rsid w:val="00515849"/>
    <w:rsid w:val="00517C15"/>
    <w:rsid w:val="00517F89"/>
    <w:rsid w:val="0052036B"/>
    <w:rsid w:val="00520430"/>
    <w:rsid w:val="00520650"/>
    <w:rsid w:val="0052088A"/>
    <w:rsid w:val="00520900"/>
    <w:rsid w:val="00521AC4"/>
    <w:rsid w:val="00521FE5"/>
    <w:rsid w:val="005221BC"/>
    <w:rsid w:val="005222F7"/>
    <w:rsid w:val="005224C2"/>
    <w:rsid w:val="005231F8"/>
    <w:rsid w:val="005233A7"/>
    <w:rsid w:val="00523E55"/>
    <w:rsid w:val="00524115"/>
    <w:rsid w:val="00525702"/>
    <w:rsid w:val="005259BF"/>
    <w:rsid w:val="00525C07"/>
    <w:rsid w:val="00525C65"/>
    <w:rsid w:val="005268DD"/>
    <w:rsid w:val="00527CA2"/>
    <w:rsid w:val="00530DF9"/>
    <w:rsid w:val="00530FD6"/>
    <w:rsid w:val="005310DD"/>
    <w:rsid w:val="00531BD3"/>
    <w:rsid w:val="0053253B"/>
    <w:rsid w:val="00532C6D"/>
    <w:rsid w:val="0053433E"/>
    <w:rsid w:val="005343E8"/>
    <w:rsid w:val="005346E2"/>
    <w:rsid w:val="00534FB4"/>
    <w:rsid w:val="00535168"/>
    <w:rsid w:val="00535C44"/>
    <w:rsid w:val="0053729B"/>
    <w:rsid w:val="00537E98"/>
    <w:rsid w:val="00540DC3"/>
    <w:rsid w:val="005416BA"/>
    <w:rsid w:val="00541934"/>
    <w:rsid w:val="00543204"/>
    <w:rsid w:val="00543333"/>
    <w:rsid w:val="005434F2"/>
    <w:rsid w:val="005462F7"/>
    <w:rsid w:val="00546FD2"/>
    <w:rsid w:val="00547CD8"/>
    <w:rsid w:val="00550F1B"/>
    <w:rsid w:val="00551331"/>
    <w:rsid w:val="005515C9"/>
    <w:rsid w:val="005515FE"/>
    <w:rsid w:val="00551612"/>
    <w:rsid w:val="00551627"/>
    <w:rsid w:val="00551642"/>
    <w:rsid w:val="005520CB"/>
    <w:rsid w:val="0055277B"/>
    <w:rsid w:val="00552A90"/>
    <w:rsid w:val="00552E51"/>
    <w:rsid w:val="00553351"/>
    <w:rsid w:val="00553562"/>
    <w:rsid w:val="00553DC5"/>
    <w:rsid w:val="00554130"/>
    <w:rsid w:val="00554574"/>
    <w:rsid w:val="005545A9"/>
    <w:rsid w:val="00555386"/>
    <w:rsid w:val="00555419"/>
    <w:rsid w:val="005555A4"/>
    <w:rsid w:val="00555C89"/>
    <w:rsid w:val="00555CD5"/>
    <w:rsid w:val="00555FEB"/>
    <w:rsid w:val="00556480"/>
    <w:rsid w:val="0055675A"/>
    <w:rsid w:val="0055706A"/>
    <w:rsid w:val="0055777F"/>
    <w:rsid w:val="00560415"/>
    <w:rsid w:val="00560C60"/>
    <w:rsid w:val="0056129E"/>
    <w:rsid w:val="00561667"/>
    <w:rsid w:val="00561BE2"/>
    <w:rsid w:val="00562481"/>
    <w:rsid w:val="00562A48"/>
    <w:rsid w:val="00562E32"/>
    <w:rsid w:val="00562F6F"/>
    <w:rsid w:val="00562FF4"/>
    <w:rsid w:val="005633B7"/>
    <w:rsid w:val="00563F97"/>
    <w:rsid w:val="0056427E"/>
    <w:rsid w:val="00565091"/>
    <w:rsid w:val="005652B7"/>
    <w:rsid w:val="005658B1"/>
    <w:rsid w:val="00567704"/>
    <w:rsid w:val="005679E6"/>
    <w:rsid w:val="00567FAD"/>
    <w:rsid w:val="00570640"/>
    <w:rsid w:val="00571E14"/>
    <w:rsid w:val="005720B8"/>
    <w:rsid w:val="005729D3"/>
    <w:rsid w:val="005731B1"/>
    <w:rsid w:val="00574B47"/>
    <w:rsid w:val="005756C4"/>
    <w:rsid w:val="00576A99"/>
    <w:rsid w:val="00576B90"/>
    <w:rsid w:val="00576DF9"/>
    <w:rsid w:val="00576E7F"/>
    <w:rsid w:val="00577909"/>
    <w:rsid w:val="00577BEE"/>
    <w:rsid w:val="00580DC9"/>
    <w:rsid w:val="00580EF5"/>
    <w:rsid w:val="00581AE8"/>
    <w:rsid w:val="00581C27"/>
    <w:rsid w:val="00582863"/>
    <w:rsid w:val="00582B2B"/>
    <w:rsid w:val="00582E6E"/>
    <w:rsid w:val="00583144"/>
    <w:rsid w:val="00583549"/>
    <w:rsid w:val="005836ED"/>
    <w:rsid w:val="00583C88"/>
    <w:rsid w:val="00583DAB"/>
    <w:rsid w:val="005844C2"/>
    <w:rsid w:val="005844C3"/>
    <w:rsid w:val="00584752"/>
    <w:rsid w:val="00585233"/>
    <w:rsid w:val="005858FE"/>
    <w:rsid w:val="00585EC0"/>
    <w:rsid w:val="0058682B"/>
    <w:rsid w:val="00586EFA"/>
    <w:rsid w:val="005870FE"/>
    <w:rsid w:val="00587687"/>
    <w:rsid w:val="0059051B"/>
    <w:rsid w:val="00590529"/>
    <w:rsid w:val="00590871"/>
    <w:rsid w:val="00590A70"/>
    <w:rsid w:val="00590F77"/>
    <w:rsid w:val="005911D8"/>
    <w:rsid w:val="0059141B"/>
    <w:rsid w:val="00591430"/>
    <w:rsid w:val="005916D8"/>
    <w:rsid w:val="00592B95"/>
    <w:rsid w:val="00593364"/>
    <w:rsid w:val="00593F68"/>
    <w:rsid w:val="0059534D"/>
    <w:rsid w:val="00595F52"/>
    <w:rsid w:val="0059650A"/>
    <w:rsid w:val="0059654D"/>
    <w:rsid w:val="00597413"/>
    <w:rsid w:val="005979FB"/>
    <w:rsid w:val="005A01B1"/>
    <w:rsid w:val="005A0701"/>
    <w:rsid w:val="005A1BA6"/>
    <w:rsid w:val="005A2AA2"/>
    <w:rsid w:val="005A2B27"/>
    <w:rsid w:val="005A3FAE"/>
    <w:rsid w:val="005A40E8"/>
    <w:rsid w:val="005A41F9"/>
    <w:rsid w:val="005A450D"/>
    <w:rsid w:val="005A45DB"/>
    <w:rsid w:val="005A49A7"/>
    <w:rsid w:val="005A51D8"/>
    <w:rsid w:val="005A538C"/>
    <w:rsid w:val="005A54F3"/>
    <w:rsid w:val="005A550D"/>
    <w:rsid w:val="005A5A2C"/>
    <w:rsid w:val="005A5AC3"/>
    <w:rsid w:val="005A7561"/>
    <w:rsid w:val="005B0301"/>
    <w:rsid w:val="005B0D74"/>
    <w:rsid w:val="005B1196"/>
    <w:rsid w:val="005B1492"/>
    <w:rsid w:val="005B15B5"/>
    <w:rsid w:val="005B16E3"/>
    <w:rsid w:val="005B16FB"/>
    <w:rsid w:val="005B32C4"/>
    <w:rsid w:val="005B37E8"/>
    <w:rsid w:val="005B4321"/>
    <w:rsid w:val="005B441F"/>
    <w:rsid w:val="005B4CA4"/>
    <w:rsid w:val="005B59FE"/>
    <w:rsid w:val="005B5B66"/>
    <w:rsid w:val="005B5FC9"/>
    <w:rsid w:val="005B673A"/>
    <w:rsid w:val="005B6A86"/>
    <w:rsid w:val="005B7BFD"/>
    <w:rsid w:val="005C0098"/>
    <w:rsid w:val="005C048B"/>
    <w:rsid w:val="005C0AD6"/>
    <w:rsid w:val="005C0AD9"/>
    <w:rsid w:val="005C0E06"/>
    <w:rsid w:val="005C141F"/>
    <w:rsid w:val="005C23D3"/>
    <w:rsid w:val="005C2FDB"/>
    <w:rsid w:val="005C3709"/>
    <w:rsid w:val="005C3A56"/>
    <w:rsid w:val="005C44BB"/>
    <w:rsid w:val="005C46C1"/>
    <w:rsid w:val="005C5171"/>
    <w:rsid w:val="005C5B3C"/>
    <w:rsid w:val="005C5E68"/>
    <w:rsid w:val="005C6086"/>
    <w:rsid w:val="005C651C"/>
    <w:rsid w:val="005C69B2"/>
    <w:rsid w:val="005C6BFF"/>
    <w:rsid w:val="005C6C18"/>
    <w:rsid w:val="005C76D1"/>
    <w:rsid w:val="005C776D"/>
    <w:rsid w:val="005D00FD"/>
    <w:rsid w:val="005D0B04"/>
    <w:rsid w:val="005D1E54"/>
    <w:rsid w:val="005D2448"/>
    <w:rsid w:val="005D27B9"/>
    <w:rsid w:val="005D2FAE"/>
    <w:rsid w:val="005D3329"/>
    <w:rsid w:val="005D356B"/>
    <w:rsid w:val="005D44CD"/>
    <w:rsid w:val="005D4541"/>
    <w:rsid w:val="005D4ECE"/>
    <w:rsid w:val="005D50B8"/>
    <w:rsid w:val="005D5748"/>
    <w:rsid w:val="005D665A"/>
    <w:rsid w:val="005D6A8D"/>
    <w:rsid w:val="005E0D31"/>
    <w:rsid w:val="005E1AE4"/>
    <w:rsid w:val="005E1D03"/>
    <w:rsid w:val="005E21FA"/>
    <w:rsid w:val="005E3F9A"/>
    <w:rsid w:val="005E4BE3"/>
    <w:rsid w:val="005E4F86"/>
    <w:rsid w:val="005E5269"/>
    <w:rsid w:val="005E5A2A"/>
    <w:rsid w:val="005E5F9A"/>
    <w:rsid w:val="005E6599"/>
    <w:rsid w:val="005E672A"/>
    <w:rsid w:val="005E6C0A"/>
    <w:rsid w:val="005E6D84"/>
    <w:rsid w:val="005E7A1A"/>
    <w:rsid w:val="005E7C5F"/>
    <w:rsid w:val="005E7FF7"/>
    <w:rsid w:val="005F03EB"/>
    <w:rsid w:val="005F06AA"/>
    <w:rsid w:val="005F1495"/>
    <w:rsid w:val="005F1944"/>
    <w:rsid w:val="005F19F5"/>
    <w:rsid w:val="005F1C6A"/>
    <w:rsid w:val="005F27E0"/>
    <w:rsid w:val="005F36AD"/>
    <w:rsid w:val="005F372D"/>
    <w:rsid w:val="005F3F10"/>
    <w:rsid w:val="005F40A1"/>
    <w:rsid w:val="005F41E1"/>
    <w:rsid w:val="005F4778"/>
    <w:rsid w:val="005F5586"/>
    <w:rsid w:val="005F5B85"/>
    <w:rsid w:val="005F6C10"/>
    <w:rsid w:val="005F790E"/>
    <w:rsid w:val="005F7C5D"/>
    <w:rsid w:val="00600442"/>
    <w:rsid w:val="00600E83"/>
    <w:rsid w:val="00600FB9"/>
    <w:rsid w:val="00601538"/>
    <w:rsid w:val="00601BB8"/>
    <w:rsid w:val="00601BE1"/>
    <w:rsid w:val="00601DD8"/>
    <w:rsid w:val="00602E68"/>
    <w:rsid w:val="006038DC"/>
    <w:rsid w:val="00604A82"/>
    <w:rsid w:val="00604BC5"/>
    <w:rsid w:val="00604E46"/>
    <w:rsid w:val="006050C2"/>
    <w:rsid w:val="00607EFF"/>
    <w:rsid w:val="006106F8"/>
    <w:rsid w:val="00610AC0"/>
    <w:rsid w:val="00610DE5"/>
    <w:rsid w:val="00611108"/>
    <w:rsid w:val="00611728"/>
    <w:rsid w:val="00611E82"/>
    <w:rsid w:val="00611EA7"/>
    <w:rsid w:val="00613646"/>
    <w:rsid w:val="00613B42"/>
    <w:rsid w:val="006140B4"/>
    <w:rsid w:val="00614457"/>
    <w:rsid w:val="00615779"/>
    <w:rsid w:val="00615AF1"/>
    <w:rsid w:val="00616ADD"/>
    <w:rsid w:val="0061718C"/>
    <w:rsid w:val="00620717"/>
    <w:rsid w:val="006211D9"/>
    <w:rsid w:val="00621824"/>
    <w:rsid w:val="00621DDF"/>
    <w:rsid w:val="006224FE"/>
    <w:rsid w:val="0062261B"/>
    <w:rsid w:val="0062263F"/>
    <w:rsid w:val="00622D25"/>
    <w:rsid w:val="00624A96"/>
    <w:rsid w:val="00624F27"/>
    <w:rsid w:val="0062518C"/>
    <w:rsid w:val="0062602B"/>
    <w:rsid w:val="00626BA1"/>
    <w:rsid w:val="006272D2"/>
    <w:rsid w:val="00627316"/>
    <w:rsid w:val="00627407"/>
    <w:rsid w:val="00627C73"/>
    <w:rsid w:val="00627E14"/>
    <w:rsid w:val="00631B59"/>
    <w:rsid w:val="00631CAF"/>
    <w:rsid w:val="00632362"/>
    <w:rsid w:val="006326DB"/>
    <w:rsid w:val="00632864"/>
    <w:rsid w:val="00632C08"/>
    <w:rsid w:val="00632C8C"/>
    <w:rsid w:val="00633160"/>
    <w:rsid w:val="006333A6"/>
    <w:rsid w:val="00633B6C"/>
    <w:rsid w:val="00633DA0"/>
    <w:rsid w:val="00633E6D"/>
    <w:rsid w:val="00633F4E"/>
    <w:rsid w:val="0063534D"/>
    <w:rsid w:val="00635375"/>
    <w:rsid w:val="006353EE"/>
    <w:rsid w:val="00635AE9"/>
    <w:rsid w:val="00635BBC"/>
    <w:rsid w:val="00635F30"/>
    <w:rsid w:val="006370AA"/>
    <w:rsid w:val="0063760B"/>
    <w:rsid w:val="0063777A"/>
    <w:rsid w:val="00637803"/>
    <w:rsid w:val="00637935"/>
    <w:rsid w:val="00641757"/>
    <w:rsid w:val="00641BD8"/>
    <w:rsid w:val="006425F1"/>
    <w:rsid w:val="006428A4"/>
    <w:rsid w:val="006428D2"/>
    <w:rsid w:val="00642A2D"/>
    <w:rsid w:val="00642DF5"/>
    <w:rsid w:val="006430E8"/>
    <w:rsid w:val="006431A4"/>
    <w:rsid w:val="006432A0"/>
    <w:rsid w:val="00643C42"/>
    <w:rsid w:val="006448EA"/>
    <w:rsid w:val="00644F3D"/>
    <w:rsid w:val="0064547C"/>
    <w:rsid w:val="00645F31"/>
    <w:rsid w:val="00646002"/>
    <w:rsid w:val="00646345"/>
    <w:rsid w:val="00646368"/>
    <w:rsid w:val="00646CEE"/>
    <w:rsid w:val="00646DF9"/>
    <w:rsid w:val="00646F9F"/>
    <w:rsid w:val="00647456"/>
    <w:rsid w:val="006479E4"/>
    <w:rsid w:val="00647AA0"/>
    <w:rsid w:val="00650487"/>
    <w:rsid w:val="00650863"/>
    <w:rsid w:val="00651554"/>
    <w:rsid w:val="00651FD1"/>
    <w:rsid w:val="00653966"/>
    <w:rsid w:val="00654005"/>
    <w:rsid w:val="00655283"/>
    <w:rsid w:val="0065669E"/>
    <w:rsid w:val="00657AB8"/>
    <w:rsid w:val="00657C88"/>
    <w:rsid w:val="006601BD"/>
    <w:rsid w:val="00660295"/>
    <w:rsid w:val="00660950"/>
    <w:rsid w:val="0066142D"/>
    <w:rsid w:val="0066178E"/>
    <w:rsid w:val="00661B22"/>
    <w:rsid w:val="00661B3C"/>
    <w:rsid w:val="00663F67"/>
    <w:rsid w:val="00664455"/>
    <w:rsid w:val="006654DB"/>
    <w:rsid w:val="006659FC"/>
    <w:rsid w:val="00666443"/>
    <w:rsid w:val="00666660"/>
    <w:rsid w:val="00666D6E"/>
    <w:rsid w:val="00666F2A"/>
    <w:rsid w:val="006672F9"/>
    <w:rsid w:val="00667441"/>
    <w:rsid w:val="00667EA5"/>
    <w:rsid w:val="00667F56"/>
    <w:rsid w:val="00667FF3"/>
    <w:rsid w:val="00670750"/>
    <w:rsid w:val="0067078A"/>
    <w:rsid w:val="00670FE9"/>
    <w:rsid w:val="00671880"/>
    <w:rsid w:val="0067235C"/>
    <w:rsid w:val="0067260A"/>
    <w:rsid w:val="0067349D"/>
    <w:rsid w:val="0067374C"/>
    <w:rsid w:val="00673BB9"/>
    <w:rsid w:val="00673CA4"/>
    <w:rsid w:val="0067481B"/>
    <w:rsid w:val="00674BA8"/>
    <w:rsid w:val="00675102"/>
    <w:rsid w:val="00675659"/>
    <w:rsid w:val="00675A48"/>
    <w:rsid w:val="00675AF1"/>
    <w:rsid w:val="00675C84"/>
    <w:rsid w:val="00675D37"/>
    <w:rsid w:val="00675DE0"/>
    <w:rsid w:val="00676108"/>
    <w:rsid w:val="0067729E"/>
    <w:rsid w:val="00677305"/>
    <w:rsid w:val="00677771"/>
    <w:rsid w:val="00677C47"/>
    <w:rsid w:val="00677E0F"/>
    <w:rsid w:val="0068013B"/>
    <w:rsid w:val="0068125E"/>
    <w:rsid w:val="00681314"/>
    <w:rsid w:val="00681E28"/>
    <w:rsid w:val="00681E7A"/>
    <w:rsid w:val="00681FCC"/>
    <w:rsid w:val="00682252"/>
    <w:rsid w:val="00682363"/>
    <w:rsid w:val="00682AED"/>
    <w:rsid w:val="0068495C"/>
    <w:rsid w:val="00684AC3"/>
    <w:rsid w:val="00684BC9"/>
    <w:rsid w:val="00685FD9"/>
    <w:rsid w:val="006860C5"/>
    <w:rsid w:val="00686276"/>
    <w:rsid w:val="00687133"/>
    <w:rsid w:val="0068766F"/>
    <w:rsid w:val="00690CFD"/>
    <w:rsid w:val="00690F80"/>
    <w:rsid w:val="0069154F"/>
    <w:rsid w:val="006924AF"/>
    <w:rsid w:val="00693F6E"/>
    <w:rsid w:val="00694659"/>
    <w:rsid w:val="006946E5"/>
    <w:rsid w:val="006947C7"/>
    <w:rsid w:val="00694826"/>
    <w:rsid w:val="0069672A"/>
    <w:rsid w:val="00696A2C"/>
    <w:rsid w:val="00696D30"/>
    <w:rsid w:val="00697645"/>
    <w:rsid w:val="006979F6"/>
    <w:rsid w:val="00697C07"/>
    <w:rsid w:val="006A06F9"/>
    <w:rsid w:val="006A11C1"/>
    <w:rsid w:val="006A187B"/>
    <w:rsid w:val="006A1A60"/>
    <w:rsid w:val="006A1D8F"/>
    <w:rsid w:val="006A215D"/>
    <w:rsid w:val="006A2C80"/>
    <w:rsid w:val="006A2EE7"/>
    <w:rsid w:val="006A30C8"/>
    <w:rsid w:val="006A368E"/>
    <w:rsid w:val="006A388F"/>
    <w:rsid w:val="006A3C12"/>
    <w:rsid w:val="006A3EC9"/>
    <w:rsid w:val="006A4012"/>
    <w:rsid w:val="006A4870"/>
    <w:rsid w:val="006A488A"/>
    <w:rsid w:val="006A4D45"/>
    <w:rsid w:val="006A5247"/>
    <w:rsid w:val="006A5381"/>
    <w:rsid w:val="006A53A1"/>
    <w:rsid w:val="006A61BD"/>
    <w:rsid w:val="006A6328"/>
    <w:rsid w:val="006A7792"/>
    <w:rsid w:val="006A7B43"/>
    <w:rsid w:val="006A7F62"/>
    <w:rsid w:val="006B0605"/>
    <w:rsid w:val="006B0B8B"/>
    <w:rsid w:val="006B104B"/>
    <w:rsid w:val="006B1090"/>
    <w:rsid w:val="006B27FC"/>
    <w:rsid w:val="006B2A00"/>
    <w:rsid w:val="006B2FA9"/>
    <w:rsid w:val="006B312D"/>
    <w:rsid w:val="006B3503"/>
    <w:rsid w:val="006B3C55"/>
    <w:rsid w:val="006B44F2"/>
    <w:rsid w:val="006B4EC9"/>
    <w:rsid w:val="006B51A1"/>
    <w:rsid w:val="006B54E0"/>
    <w:rsid w:val="006B5B48"/>
    <w:rsid w:val="006B5DD6"/>
    <w:rsid w:val="006B7491"/>
    <w:rsid w:val="006C0A27"/>
    <w:rsid w:val="006C0AE0"/>
    <w:rsid w:val="006C1557"/>
    <w:rsid w:val="006C1D2B"/>
    <w:rsid w:val="006C2BC4"/>
    <w:rsid w:val="006C2C22"/>
    <w:rsid w:val="006C33D3"/>
    <w:rsid w:val="006C38A1"/>
    <w:rsid w:val="006C3AE7"/>
    <w:rsid w:val="006C4449"/>
    <w:rsid w:val="006C45C9"/>
    <w:rsid w:val="006C4D61"/>
    <w:rsid w:val="006C508C"/>
    <w:rsid w:val="006C56FF"/>
    <w:rsid w:val="006C5D38"/>
    <w:rsid w:val="006C789B"/>
    <w:rsid w:val="006C78FA"/>
    <w:rsid w:val="006D097A"/>
    <w:rsid w:val="006D14E1"/>
    <w:rsid w:val="006D17B6"/>
    <w:rsid w:val="006D1966"/>
    <w:rsid w:val="006D1E2D"/>
    <w:rsid w:val="006D340D"/>
    <w:rsid w:val="006D42D0"/>
    <w:rsid w:val="006D51D4"/>
    <w:rsid w:val="006D54A5"/>
    <w:rsid w:val="006D54FC"/>
    <w:rsid w:val="006D5C1A"/>
    <w:rsid w:val="006D619B"/>
    <w:rsid w:val="006D6689"/>
    <w:rsid w:val="006D6848"/>
    <w:rsid w:val="006D7205"/>
    <w:rsid w:val="006D7235"/>
    <w:rsid w:val="006E008C"/>
    <w:rsid w:val="006E03ED"/>
    <w:rsid w:val="006E0561"/>
    <w:rsid w:val="006E13A0"/>
    <w:rsid w:val="006E145D"/>
    <w:rsid w:val="006E184C"/>
    <w:rsid w:val="006E1C9A"/>
    <w:rsid w:val="006E245B"/>
    <w:rsid w:val="006E2E71"/>
    <w:rsid w:val="006E31AE"/>
    <w:rsid w:val="006E381D"/>
    <w:rsid w:val="006E395D"/>
    <w:rsid w:val="006E422D"/>
    <w:rsid w:val="006E53D9"/>
    <w:rsid w:val="006E58A3"/>
    <w:rsid w:val="006E58E3"/>
    <w:rsid w:val="006E62F0"/>
    <w:rsid w:val="006E7263"/>
    <w:rsid w:val="006E7ACE"/>
    <w:rsid w:val="006F085C"/>
    <w:rsid w:val="006F09F3"/>
    <w:rsid w:val="006F13A4"/>
    <w:rsid w:val="006F14D5"/>
    <w:rsid w:val="006F173E"/>
    <w:rsid w:val="006F23AA"/>
    <w:rsid w:val="006F3751"/>
    <w:rsid w:val="006F401D"/>
    <w:rsid w:val="006F44CE"/>
    <w:rsid w:val="006F469D"/>
    <w:rsid w:val="006F4B9F"/>
    <w:rsid w:val="006F5131"/>
    <w:rsid w:val="006F594D"/>
    <w:rsid w:val="006F6A34"/>
    <w:rsid w:val="006F6E5F"/>
    <w:rsid w:val="006F7A81"/>
    <w:rsid w:val="006F7B8E"/>
    <w:rsid w:val="00700417"/>
    <w:rsid w:val="00700E11"/>
    <w:rsid w:val="00701F22"/>
    <w:rsid w:val="007023FC"/>
    <w:rsid w:val="0070275E"/>
    <w:rsid w:val="00702D7A"/>
    <w:rsid w:val="00702DEA"/>
    <w:rsid w:val="00703C68"/>
    <w:rsid w:val="007045E9"/>
    <w:rsid w:val="00704D03"/>
    <w:rsid w:val="007054C9"/>
    <w:rsid w:val="00706309"/>
    <w:rsid w:val="0070642B"/>
    <w:rsid w:val="007065CE"/>
    <w:rsid w:val="00706D95"/>
    <w:rsid w:val="007070ED"/>
    <w:rsid w:val="007074B5"/>
    <w:rsid w:val="00707A2A"/>
    <w:rsid w:val="00707FD8"/>
    <w:rsid w:val="007101EE"/>
    <w:rsid w:val="0071034A"/>
    <w:rsid w:val="0071095B"/>
    <w:rsid w:val="00710ED0"/>
    <w:rsid w:val="00711A52"/>
    <w:rsid w:val="00712063"/>
    <w:rsid w:val="007129F3"/>
    <w:rsid w:val="00712D42"/>
    <w:rsid w:val="00712DEF"/>
    <w:rsid w:val="00713A21"/>
    <w:rsid w:val="00714A72"/>
    <w:rsid w:val="00715A46"/>
    <w:rsid w:val="007164AA"/>
    <w:rsid w:val="007167AB"/>
    <w:rsid w:val="00716941"/>
    <w:rsid w:val="00717052"/>
    <w:rsid w:val="007202B7"/>
    <w:rsid w:val="00721219"/>
    <w:rsid w:val="007219BC"/>
    <w:rsid w:val="0072224D"/>
    <w:rsid w:val="007233F6"/>
    <w:rsid w:val="007236E5"/>
    <w:rsid w:val="00723A85"/>
    <w:rsid w:val="00723ACC"/>
    <w:rsid w:val="007249F7"/>
    <w:rsid w:val="0072524C"/>
    <w:rsid w:val="00726015"/>
    <w:rsid w:val="00726640"/>
    <w:rsid w:val="0072667A"/>
    <w:rsid w:val="00727891"/>
    <w:rsid w:val="00727C9A"/>
    <w:rsid w:val="00727F3C"/>
    <w:rsid w:val="007303EE"/>
    <w:rsid w:val="00730B0B"/>
    <w:rsid w:val="00730C1A"/>
    <w:rsid w:val="007312F8"/>
    <w:rsid w:val="007315B6"/>
    <w:rsid w:val="00731CC2"/>
    <w:rsid w:val="007327B1"/>
    <w:rsid w:val="007328BB"/>
    <w:rsid w:val="007338DA"/>
    <w:rsid w:val="00733D1D"/>
    <w:rsid w:val="00733E1B"/>
    <w:rsid w:val="00734706"/>
    <w:rsid w:val="007349AE"/>
    <w:rsid w:val="00734FE3"/>
    <w:rsid w:val="0073583D"/>
    <w:rsid w:val="00736F30"/>
    <w:rsid w:val="00736F82"/>
    <w:rsid w:val="00737028"/>
    <w:rsid w:val="00737982"/>
    <w:rsid w:val="007379B4"/>
    <w:rsid w:val="00737D89"/>
    <w:rsid w:val="00740075"/>
    <w:rsid w:val="00741829"/>
    <w:rsid w:val="007422FE"/>
    <w:rsid w:val="0074254F"/>
    <w:rsid w:val="00742657"/>
    <w:rsid w:val="0074309C"/>
    <w:rsid w:val="007442CF"/>
    <w:rsid w:val="00744683"/>
    <w:rsid w:val="00744BF5"/>
    <w:rsid w:val="00744DC8"/>
    <w:rsid w:val="00744F12"/>
    <w:rsid w:val="00744FD5"/>
    <w:rsid w:val="007451D5"/>
    <w:rsid w:val="007463C2"/>
    <w:rsid w:val="00746837"/>
    <w:rsid w:val="00747689"/>
    <w:rsid w:val="00747F9D"/>
    <w:rsid w:val="00750814"/>
    <w:rsid w:val="00750C38"/>
    <w:rsid w:val="00750F49"/>
    <w:rsid w:val="007516F0"/>
    <w:rsid w:val="00751942"/>
    <w:rsid w:val="00752108"/>
    <w:rsid w:val="00752DE9"/>
    <w:rsid w:val="0075335C"/>
    <w:rsid w:val="0075347E"/>
    <w:rsid w:val="00753978"/>
    <w:rsid w:val="00755865"/>
    <w:rsid w:val="00755DC9"/>
    <w:rsid w:val="00756940"/>
    <w:rsid w:val="007569C5"/>
    <w:rsid w:val="00757288"/>
    <w:rsid w:val="00760BD5"/>
    <w:rsid w:val="00760FF6"/>
    <w:rsid w:val="00761499"/>
    <w:rsid w:val="007614FB"/>
    <w:rsid w:val="007629B4"/>
    <w:rsid w:val="00762E05"/>
    <w:rsid w:val="007646AF"/>
    <w:rsid w:val="00764C1B"/>
    <w:rsid w:val="00765024"/>
    <w:rsid w:val="007657D7"/>
    <w:rsid w:val="00766331"/>
    <w:rsid w:val="00770D13"/>
    <w:rsid w:val="007711D2"/>
    <w:rsid w:val="0077167A"/>
    <w:rsid w:val="0077176C"/>
    <w:rsid w:val="00771A3A"/>
    <w:rsid w:val="00772711"/>
    <w:rsid w:val="00773344"/>
    <w:rsid w:val="007734A8"/>
    <w:rsid w:val="007735CB"/>
    <w:rsid w:val="00773B11"/>
    <w:rsid w:val="0077435C"/>
    <w:rsid w:val="007743E4"/>
    <w:rsid w:val="00774B7B"/>
    <w:rsid w:val="00775D2E"/>
    <w:rsid w:val="00775E81"/>
    <w:rsid w:val="007771A7"/>
    <w:rsid w:val="007776A1"/>
    <w:rsid w:val="00780CEA"/>
    <w:rsid w:val="0078172C"/>
    <w:rsid w:val="00781F1C"/>
    <w:rsid w:val="0078228C"/>
    <w:rsid w:val="007824A1"/>
    <w:rsid w:val="00782F09"/>
    <w:rsid w:val="00783235"/>
    <w:rsid w:val="007832F1"/>
    <w:rsid w:val="007833AE"/>
    <w:rsid w:val="007835DA"/>
    <w:rsid w:val="00783A80"/>
    <w:rsid w:val="00783CD2"/>
    <w:rsid w:val="00784C37"/>
    <w:rsid w:val="007868D2"/>
    <w:rsid w:val="00786951"/>
    <w:rsid w:val="007869A8"/>
    <w:rsid w:val="00786D21"/>
    <w:rsid w:val="00787B0E"/>
    <w:rsid w:val="00787D1F"/>
    <w:rsid w:val="00787D33"/>
    <w:rsid w:val="0079044B"/>
    <w:rsid w:val="007904D0"/>
    <w:rsid w:val="00790DDF"/>
    <w:rsid w:val="00790EA7"/>
    <w:rsid w:val="00790EE5"/>
    <w:rsid w:val="007912E4"/>
    <w:rsid w:val="007923C7"/>
    <w:rsid w:val="00792468"/>
    <w:rsid w:val="00792569"/>
    <w:rsid w:val="00792912"/>
    <w:rsid w:val="00792A10"/>
    <w:rsid w:val="00792A3F"/>
    <w:rsid w:val="007932C3"/>
    <w:rsid w:val="00793395"/>
    <w:rsid w:val="00793ADC"/>
    <w:rsid w:val="00793C6A"/>
    <w:rsid w:val="0079428D"/>
    <w:rsid w:val="007945C5"/>
    <w:rsid w:val="0079499F"/>
    <w:rsid w:val="0079503C"/>
    <w:rsid w:val="007952F6"/>
    <w:rsid w:val="00795695"/>
    <w:rsid w:val="00795C88"/>
    <w:rsid w:val="00796280"/>
    <w:rsid w:val="00796BAD"/>
    <w:rsid w:val="00797611"/>
    <w:rsid w:val="00797E15"/>
    <w:rsid w:val="00797EBD"/>
    <w:rsid w:val="007A0014"/>
    <w:rsid w:val="007A07EC"/>
    <w:rsid w:val="007A0802"/>
    <w:rsid w:val="007A0950"/>
    <w:rsid w:val="007A156A"/>
    <w:rsid w:val="007A1AF7"/>
    <w:rsid w:val="007A281F"/>
    <w:rsid w:val="007A2FE4"/>
    <w:rsid w:val="007A38C4"/>
    <w:rsid w:val="007A4214"/>
    <w:rsid w:val="007A4C75"/>
    <w:rsid w:val="007A5652"/>
    <w:rsid w:val="007A59A9"/>
    <w:rsid w:val="007A6D66"/>
    <w:rsid w:val="007A7C57"/>
    <w:rsid w:val="007A7F13"/>
    <w:rsid w:val="007B0043"/>
    <w:rsid w:val="007B0C02"/>
    <w:rsid w:val="007B1656"/>
    <w:rsid w:val="007B1712"/>
    <w:rsid w:val="007B18CD"/>
    <w:rsid w:val="007B1CDE"/>
    <w:rsid w:val="007B1CF0"/>
    <w:rsid w:val="007B2462"/>
    <w:rsid w:val="007B2529"/>
    <w:rsid w:val="007B3B8E"/>
    <w:rsid w:val="007B43F3"/>
    <w:rsid w:val="007B49B1"/>
    <w:rsid w:val="007B5123"/>
    <w:rsid w:val="007B6450"/>
    <w:rsid w:val="007B6D7C"/>
    <w:rsid w:val="007B6F3C"/>
    <w:rsid w:val="007B7892"/>
    <w:rsid w:val="007B7E0E"/>
    <w:rsid w:val="007C0EEB"/>
    <w:rsid w:val="007C1175"/>
    <w:rsid w:val="007C12CD"/>
    <w:rsid w:val="007C14EB"/>
    <w:rsid w:val="007C158D"/>
    <w:rsid w:val="007C1672"/>
    <w:rsid w:val="007C1BBB"/>
    <w:rsid w:val="007C1D81"/>
    <w:rsid w:val="007C2198"/>
    <w:rsid w:val="007C2CB8"/>
    <w:rsid w:val="007C2D70"/>
    <w:rsid w:val="007C2DF7"/>
    <w:rsid w:val="007C2E2B"/>
    <w:rsid w:val="007C355E"/>
    <w:rsid w:val="007C3B0D"/>
    <w:rsid w:val="007C3BBD"/>
    <w:rsid w:val="007C3BFC"/>
    <w:rsid w:val="007C4587"/>
    <w:rsid w:val="007C72FC"/>
    <w:rsid w:val="007C7CFC"/>
    <w:rsid w:val="007D1F72"/>
    <w:rsid w:val="007D240A"/>
    <w:rsid w:val="007D3165"/>
    <w:rsid w:val="007D33D3"/>
    <w:rsid w:val="007D3423"/>
    <w:rsid w:val="007D4329"/>
    <w:rsid w:val="007D5298"/>
    <w:rsid w:val="007D6087"/>
    <w:rsid w:val="007D618F"/>
    <w:rsid w:val="007D66E0"/>
    <w:rsid w:val="007D715D"/>
    <w:rsid w:val="007D7413"/>
    <w:rsid w:val="007D7657"/>
    <w:rsid w:val="007D78C3"/>
    <w:rsid w:val="007D7A13"/>
    <w:rsid w:val="007D7FCC"/>
    <w:rsid w:val="007E0C50"/>
    <w:rsid w:val="007E0DDF"/>
    <w:rsid w:val="007E232F"/>
    <w:rsid w:val="007E2438"/>
    <w:rsid w:val="007E28A2"/>
    <w:rsid w:val="007E2C28"/>
    <w:rsid w:val="007E36D8"/>
    <w:rsid w:val="007E37AA"/>
    <w:rsid w:val="007E40B0"/>
    <w:rsid w:val="007E413F"/>
    <w:rsid w:val="007E41A1"/>
    <w:rsid w:val="007E4687"/>
    <w:rsid w:val="007E4B30"/>
    <w:rsid w:val="007E5273"/>
    <w:rsid w:val="007E56E4"/>
    <w:rsid w:val="007E5CFF"/>
    <w:rsid w:val="007E615A"/>
    <w:rsid w:val="007E6EE5"/>
    <w:rsid w:val="007E70BE"/>
    <w:rsid w:val="007E7575"/>
    <w:rsid w:val="007E7CF1"/>
    <w:rsid w:val="007F03D9"/>
    <w:rsid w:val="007F03F9"/>
    <w:rsid w:val="007F0712"/>
    <w:rsid w:val="007F1000"/>
    <w:rsid w:val="007F199C"/>
    <w:rsid w:val="007F1FD1"/>
    <w:rsid w:val="007F2215"/>
    <w:rsid w:val="007F2D52"/>
    <w:rsid w:val="007F2F94"/>
    <w:rsid w:val="007F31AA"/>
    <w:rsid w:val="007F3E18"/>
    <w:rsid w:val="007F3FC3"/>
    <w:rsid w:val="007F41AA"/>
    <w:rsid w:val="007F4F14"/>
    <w:rsid w:val="007F506F"/>
    <w:rsid w:val="007F570F"/>
    <w:rsid w:val="007F6AFE"/>
    <w:rsid w:val="007F6F52"/>
    <w:rsid w:val="007F72F7"/>
    <w:rsid w:val="007F73B7"/>
    <w:rsid w:val="007F75EE"/>
    <w:rsid w:val="00800653"/>
    <w:rsid w:val="008008B8"/>
    <w:rsid w:val="00804377"/>
    <w:rsid w:val="008043F7"/>
    <w:rsid w:val="008046EE"/>
    <w:rsid w:val="0080486D"/>
    <w:rsid w:val="00805946"/>
    <w:rsid w:val="00805BE8"/>
    <w:rsid w:val="008071E0"/>
    <w:rsid w:val="00807CBD"/>
    <w:rsid w:val="00810DE6"/>
    <w:rsid w:val="00811664"/>
    <w:rsid w:val="00812BD5"/>
    <w:rsid w:val="00813F3F"/>
    <w:rsid w:val="00814D19"/>
    <w:rsid w:val="0081550D"/>
    <w:rsid w:val="00815670"/>
    <w:rsid w:val="00815698"/>
    <w:rsid w:val="00815BD0"/>
    <w:rsid w:val="0081722F"/>
    <w:rsid w:val="00817F52"/>
    <w:rsid w:val="008206AB"/>
    <w:rsid w:val="008207CD"/>
    <w:rsid w:val="00820818"/>
    <w:rsid w:val="00821938"/>
    <w:rsid w:val="00821DA6"/>
    <w:rsid w:val="00822C3D"/>
    <w:rsid w:val="008238F7"/>
    <w:rsid w:val="00824449"/>
    <w:rsid w:val="008246E4"/>
    <w:rsid w:val="008247B7"/>
    <w:rsid w:val="00824996"/>
    <w:rsid w:val="00824C9D"/>
    <w:rsid w:val="008259E0"/>
    <w:rsid w:val="00825AD6"/>
    <w:rsid w:val="00825B91"/>
    <w:rsid w:val="00826361"/>
    <w:rsid w:val="00826420"/>
    <w:rsid w:val="008279A4"/>
    <w:rsid w:val="008306C9"/>
    <w:rsid w:val="00830F17"/>
    <w:rsid w:val="008313D7"/>
    <w:rsid w:val="00831DDC"/>
    <w:rsid w:val="00832999"/>
    <w:rsid w:val="00832E72"/>
    <w:rsid w:val="008333B0"/>
    <w:rsid w:val="0083383A"/>
    <w:rsid w:val="00833A29"/>
    <w:rsid w:val="00833D5D"/>
    <w:rsid w:val="00834177"/>
    <w:rsid w:val="0083440D"/>
    <w:rsid w:val="00834AC6"/>
    <w:rsid w:val="00834DC9"/>
    <w:rsid w:val="0083569F"/>
    <w:rsid w:val="0083584A"/>
    <w:rsid w:val="00835B05"/>
    <w:rsid w:val="00837341"/>
    <w:rsid w:val="0083770E"/>
    <w:rsid w:val="00840416"/>
    <w:rsid w:val="008405C8"/>
    <w:rsid w:val="00841003"/>
    <w:rsid w:val="0084183C"/>
    <w:rsid w:val="00842031"/>
    <w:rsid w:val="00842172"/>
    <w:rsid w:val="008421F1"/>
    <w:rsid w:val="00842309"/>
    <w:rsid w:val="0084257D"/>
    <w:rsid w:val="0084273F"/>
    <w:rsid w:val="00842927"/>
    <w:rsid w:val="00843014"/>
    <w:rsid w:val="00843128"/>
    <w:rsid w:val="00843853"/>
    <w:rsid w:val="00843C1A"/>
    <w:rsid w:val="008441FC"/>
    <w:rsid w:val="00845337"/>
    <w:rsid w:val="0084659F"/>
    <w:rsid w:val="008466B6"/>
    <w:rsid w:val="008466EC"/>
    <w:rsid w:val="00846910"/>
    <w:rsid w:val="00846967"/>
    <w:rsid w:val="00846FA3"/>
    <w:rsid w:val="00847566"/>
    <w:rsid w:val="0085066E"/>
    <w:rsid w:val="00850E84"/>
    <w:rsid w:val="00851A87"/>
    <w:rsid w:val="00851D51"/>
    <w:rsid w:val="00851F23"/>
    <w:rsid w:val="00851F5A"/>
    <w:rsid w:val="00852797"/>
    <w:rsid w:val="00852EF8"/>
    <w:rsid w:val="00853605"/>
    <w:rsid w:val="0085361E"/>
    <w:rsid w:val="008537D4"/>
    <w:rsid w:val="00853802"/>
    <w:rsid w:val="00853978"/>
    <w:rsid w:val="0085438A"/>
    <w:rsid w:val="00855777"/>
    <w:rsid w:val="00855B42"/>
    <w:rsid w:val="00855BA1"/>
    <w:rsid w:val="00856B1A"/>
    <w:rsid w:val="00856CD4"/>
    <w:rsid w:val="00857471"/>
    <w:rsid w:val="00857909"/>
    <w:rsid w:val="008600D1"/>
    <w:rsid w:val="00860B38"/>
    <w:rsid w:val="00861000"/>
    <w:rsid w:val="008610EA"/>
    <w:rsid w:val="00862CE0"/>
    <w:rsid w:val="00863CBF"/>
    <w:rsid w:val="00864CB4"/>
    <w:rsid w:val="008654F5"/>
    <w:rsid w:val="0086588B"/>
    <w:rsid w:val="008664B8"/>
    <w:rsid w:val="008670C3"/>
    <w:rsid w:val="008672C4"/>
    <w:rsid w:val="0087076B"/>
    <w:rsid w:val="00870A4B"/>
    <w:rsid w:val="0087128A"/>
    <w:rsid w:val="00871319"/>
    <w:rsid w:val="00872125"/>
    <w:rsid w:val="0087240E"/>
    <w:rsid w:val="0087262E"/>
    <w:rsid w:val="00872827"/>
    <w:rsid w:val="00872F62"/>
    <w:rsid w:val="00873102"/>
    <w:rsid w:val="0087354F"/>
    <w:rsid w:val="00873B5B"/>
    <w:rsid w:val="008743A1"/>
    <w:rsid w:val="00874B85"/>
    <w:rsid w:val="00875A25"/>
    <w:rsid w:val="00876B0A"/>
    <w:rsid w:val="008772C0"/>
    <w:rsid w:val="00877A11"/>
    <w:rsid w:val="00880AD5"/>
    <w:rsid w:val="008820E0"/>
    <w:rsid w:val="00882342"/>
    <w:rsid w:val="00882358"/>
    <w:rsid w:val="00884416"/>
    <w:rsid w:val="00884BA8"/>
    <w:rsid w:val="0088501D"/>
    <w:rsid w:val="00885AB6"/>
    <w:rsid w:val="00885B82"/>
    <w:rsid w:val="00890012"/>
    <w:rsid w:val="008904A4"/>
    <w:rsid w:val="0089156C"/>
    <w:rsid w:val="00891C9E"/>
    <w:rsid w:val="00892092"/>
    <w:rsid w:val="008927AF"/>
    <w:rsid w:val="00892B4D"/>
    <w:rsid w:val="0089320A"/>
    <w:rsid w:val="00893B6D"/>
    <w:rsid w:val="00895D62"/>
    <w:rsid w:val="00896BAB"/>
    <w:rsid w:val="008970E4"/>
    <w:rsid w:val="00897461"/>
    <w:rsid w:val="00897B11"/>
    <w:rsid w:val="00897B5F"/>
    <w:rsid w:val="00897DA5"/>
    <w:rsid w:val="00897F8A"/>
    <w:rsid w:val="008A0D59"/>
    <w:rsid w:val="008A1135"/>
    <w:rsid w:val="008A2362"/>
    <w:rsid w:val="008A24DE"/>
    <w:rsid w:val="008A25C0"/>
    <w:rsid w:val="008A2812"/>
    <w:rsid w:val="008A390B"/>
    <w:rsid w:val="008A3D6C"/>
    <w:rsid w:val="008A4690"/>
    <w:rsid w:val="008A4815"/>
    <w:rsid w:val="008A4AD6"/>
    <w:rsid w:val="008A51D0"/>
    <w:rsid w:val="008A5918"/>
    <w:rsid w:val="008A5DD5"/>
    <w:rsid w:val="008A6249"/>
    <w:rsid w:val="008A633F"/>
    <w:rsid w:val="008B0405"/>
    <w:rsid w:val="008B1354"/>
    <w:rsid w:val="008B1972"/>
    <w:rsid w:val="008B22AD"/>
    <w:rsid w:val="008B35B2"/>
    <w:rsid w:val="008B45D7"/>
    <w:rsid w:val="008B5A0F"/>
    <w:rsid w:val="008B5B7D"/>
    <w:rsid w:val="008B5CEA"/>
    <w:rsid w:val="008B6672"/>
    <w:rsid w:val="008B6C4E"/>
    <w:rsid w:val="008B6CF0"/>
    <w:rsid w:val="008B6D5B"/>
    <w:rsid w:val="008C01FC"/>
    <w:rsid w:val="008C0453"/>
    <w:rsid w:val="008C0518"/>
    <w:rsid w:val="008C09B5"/>
    <w:rsid w:val="008C0B88"/>
    <w:rsid w:val="008C1AC7"/>
    <w:rsid w:val="008C1B7D"/>
    <w:rsid w:val="008C1F67"/>
    <w:rsid w:val="008C252D"/>
    <w:rsid w:val="008C2CF4"/>
    <w:rsid w:val="008C2EEE"/>
    <w:rsid w:val="008C3209"/>
    <w:rsid w:val="008C3579"/>
    <w:rsid w:val="008C4B41"/>
    <w:rsid w:val="008C532C"/>
    <w:rsid w:val="008C5535"/>
    <w:rsid w:val="008C555E"/>
    <w:rsid w:val="008C5CA0"/>
    <w:rsid w:val="008C5E46"/>
    <w:rsid w:val="008C6309"/>
    <w:rsid w:val="008C6A24"/>
    <w:rsid w:val="008C6EFB"/>
    <w:rsid w:val="008C769B"/>
    <w:rsid w:val="008C7778"/>
    <w:rsid w:val="008D057C"/>
    <w:rsid w:val="008D0687"/>
    <w:rsid w:val="008D15AA"/>
    <w:rsid w:val="008D1762"/>
    <w:rsid w:val="008D1CA9"/>
    <w:rsid w:val="008D1CF4"/>
    <w:rsid w:val="008D1E1A"/>
    <w:rsid w:val="008D225B"/>
    <w:rsid w:val="008D31F8"/>
    <w:rsid w:val="008D3D29"/>
    <w:rsid w:val="008D40C1"/>
    <w:rsid w:val="008D416B"/>
    <w:rsid w:val="008D4458"/>
    <w:rsid w:val="008D4B84"/>
    <w:rsid w:val="008D4E08"/>
    <w:rsid w:val="008D53F1"/>
    <w:rsid w:val="008D5644"/>
    <w:rsid w:val="008D6556"/>
    <w:rsid w:val="008D6FE6"/>
    <w:rsid w:val="008D70A0"/>
    <w:rsid w:val="008D743D"/>
    <w:rsid w:val="008D7580"/>
    <w:rsid w:val="008D7E11"/>
    <w:rsid w:val="008E02E8"/>
    <w:rsid w:val="008E09C2"/>
    <w:rsid w:val="008E0A19"/>
    <w:rsid w:val="008E1445"/>
    <w:rsid w:val="008E170C"/>
    <w:rsid w:val="008E1CE8"/>
    <w:rsid w:val="008E35DF"/>
    <w:rsid w:val="008E41F1"/>
    <w:rsid w:val="008E4F41"/>
    <w:rsid w:val="008E4F57"/>
    <w:rsid w:val="008E519E"/>
    <w:rsid w:val="008E5B77"/>
    <w:rsid w:val="008E65FF"/>
    <w:rsid w:val="008E6C34"/>
    <w:rsid w:val="008E6E35"/>
    <w:rsid w:val="008E77C6"/>
    <w:rsid w:val="008E790E"/>
    <w:rsid w:val="008F0354"/>
    <w:rsid w:val="008F05BB"/>
    <w:rsid w:val="008F0645"/>
    <w:rsid w:val="008F0833"/>
    <w:rsid w:val="008F11EB"/>
    <w:rsid w:val="008F12DE"/>
    <w:rsid w:val="008F214F"/>
    <w:rsid w:val="008F2401"/>
    <w:rsid w:val="008F2453"/>
    <w:rsid w:val="008F35BA"/>
    <w:rsid w:val="008F449D"/>
    <w:rsid w:val="008F486E"/>
    <w:rsid w:val="008F4D8C"/>
    <w:rsid w:val="008F56B1"/>
    <w:rsid w:val="008F57B0"/>
    <w:rsid w:val="008F5B59"/>
    <w:rsid w:val="008F63DE"/>
    <w:rsid w:val="008F6AB1"/>
    <w:rsid w:val="008F6AD9"/>
    <w:rsid w:val="008F7282"/>
    <w:rsid w:val="008F7DA4"/>
    <w:rsid w:val="008F7E90"/>
    <w:rsid w:val="00900028"/>
    <w:rsid w:val="00900621"/>
    <w:rsid w:val="00900921"/>
    <w:rsid w:val="00900BAC"/>
    <w:rsid w:val="0090134B"/>
    <w:rsid w:val="00901CFD"/>
    <w:rsid w:val="00902322"/>
    <w:rsid w:val="009029E0"/>
    <w:rsid w:val="00902BE5"/>
    <w:rsid w:val="00904130"/>
    <w:rsid w:val="00904561"/>
    <w:rsid w:val="00904A11"/>
    <w:rsid w:val="00904BE1"/>
    <w:rsid w:val="00905300"/>
    <w:rsid w:val="0090534E"/>
    <w:rsid w:val="00906B1A"/>
    <w:rsid w:val="0090742C"/>
    <w:rsid w:val="0091051A"/>
    <w:rsid w:val="00910FEE"/>
    <w:rsid w:val="00911318"/>
    <w:rsid w:val="009119D0"/>
    <w:rsid w:val="00911E22"/>
    <w:rsid w:val="009125CD"/>
    <w:rsid w:val="00912CB1"/>
    <w:rsid w:val="00912D18"/>
    <w:rsid w:val="009146D5"/>
    <w:rsid w:val="00914996"/>
    <w:rsid w:val="00914BEC"/>
    <w:rsid w:val="00916107"/>
    <w:rsid w:val="0092038A"/>
    <w:rsid w:val="00920464"/>
    <w:rsid w:val="00920970"/>
    <w:rsid w:val="00920ABC"/>
    <w:rsid w:val="00920B9F"/>
    <w:rsid w:val="00920FB6"/>
    <w:rsid w:val="00921921"/>
    <w:rsid w:val="00922CA9"/>
    <w:rsid w:val="00923625"/>
    <w:rsid w:val="00923865"/>
    <w:rsid w:val="009246B4"/>
    <w:rsid w:val="00924A33"/>
    <w:rsid w:val="0092575F"/>
    <w:rsid w:val="00925AAA"/>
    <w:rsid w:val="00926657"/>
    <w:rsid w:val="009267BA"/>
    <w:rsid w:val="009274A3"/>
    <w:rsid w:val="00927999"/>
    <w:rsid w:val="00927B28"/>
    <w:rsid w:val="00930509"/>
    <w:rsid w:val="00930EC1"/>
    <w:rsid w:val="00930F31"/>
    <w:rsid w:val="009317D2"/>
    <w:rsid w:val="00931E78"/>
    <w:rsid w:val="009322C0"/>
    <w:rsid w:val="009328A0"/>
    <w:rsid w:val="0093335C"/>
    <w:rsid w:val="00934A78"/>
    <w:rsid w:val="00935280"/>
    <w:rsid w:val="009357FC"/>
    <w:rsid w:val="009362F3"/>
    <w:rsid w:val="00936311"/>
    <w:rsid w:val="00936443"/>
    <w:rsid w:val="009370B1"/>
    <w:rsid w:val="009370B4"/>
    <w:rsid w:val="00937A19"/>
    <w:rsid w:val="00937A7D"/>
    <w:rsid w:val="00940E34"/>
    <w:rsid w:val="009414DB"/>
    <w:rsid w:val="009424C5"/>
    <w:rsid w:val="0094283B"/>
    <w:rsid w:val="009442FB"/>
    <w:rsid w:val="00944DA6"/>
    <w:rsid w:val="00945331"/>
    <w:rsid w:val="009472DA"/>
    <w:rsid w:val="00947308"/>
    <w:rsid w:val="0094765E"/>
    <w:rsid w:val="009500E3"/>
    <w:rsid w:val="00950ECE"/>
    <w:rsid w:val="009516EB"/>
    <w:rsid w:val="00951D6D"/>
    <w:rsid w:val="00952A24"/>
    <w:rsid w:val="00952AC8"/>
    <w:rsid w:val="00952FA7"/>
    <w:rsid w:val="0095313E"/>
    <w:rsid w:val="00953211"/>
    <w:rsid w:val="00953251"/>
    <w:rsid w:val="00953C35"/>
    <w:rsid w:val="00954096"/>
    <w:rsid w:val="00954673"/>
    <w:rsid w:val="00954AD4"/>
    <w:rsid w:val="00954C81"/>
    <w:rsid w:val="00955799"/>
    <w:rsid w:val="00955A10"/>
    <w:rsid w:val="00956FFF"/>
    <w:rsid w:val="00957078"/>
    <w:rsid w:val="009570B5"/>
    <w:rsid w:val="00957450"/>
    <w:rsid w:val="00957777"/>
    <w:rsid w:val="00957A14"/>
    <w:rsid w:val="00960D41"/>
    <w:rsid w:val="00960F4F"/>
    <w:rsid w:val="0096136D"/>
    <w:rsid w:val="00961725"/>
    <w:rsid w:val="00961CED"/>
    <w:rsid w:val="00963202"/>
    <w:rsid w:val="00963CB1"/>
    <w:rsid w:val="009646D6"/>
    <w:rsid w:val="00964C48"/>
    <w:rsid w:val="0096633B"/>
    <w:rsid w:val="0096674C"/>
    <w:rsid w:val="0096683E"/>
    <w:rsid w:val="00966F77"/>
    <w:rsid w:val="00967A7A"/>
    <w:rsid w:val="00970466"/>
    <w:rsid w:val="009720FF"/>
    <w:rsid w:val="00972AAC"/>
    <w:rsid w:val="00973482"/>
    <w:rsid w:val="00974C6C"/>
    <w:rsid w:val="009752CE"/>
    <w:rsid w:val="00975820"/>
    <w:rsid w:val="009770B0"/>
    <w:rsid w:val="00977532"/>
    <w:rsid w:val="00977BCC"/>
    <w:rsid w:val="00977CBE"/>
    <w:rsid w:val="009802F4"/>
    <w:rsid w:val="00980352"/>
    <w:rsid w:val="009804DF"/>
    <w:rsid w:val="00980A86"/>
    <w:rsid w:val="00980FDB"/>
    <w:rsid w:val="00982299"/>
    <w:rsid w:val="009828BE"/>
    <w:rsid w:val="0098298E"/>
    <w:rsid w:val="00982BAB"/>
    <w:rsid w:val="00982EAF"/>
    <w:rsid w:val="009831A8"/>
    <w:rsid w:val="0098366B"/>
    <w:rsid w:val="0098436B"/>
    <w:rsid w:val="00984AC8"/>
    <w:rsid w:val="00984E13"/>
    <w:rsid w:val="00984FF5"/>
    <w:rsid w:val="009850B8"/>
    <w:rsid w:val="0098523C"/>
    <w:rsid w:val="00985961"/>
    <w:rsid w:val="009860C8"/>
    <w:rsid w:val="00986107"/>
    <w:rsid w:val="00987260"/>
    <w:rsid w:val="00987C40"/>
    <w:rsid w:val="009903A1"/>
    <w:rsid w:val="00990962"/>
    <w:rsid w:val="00991B48"/>
    <w:rsid w:val="00991EB7"/>
    <w:rsid w:val="009920CD"/>
    <w:rsid w:val="009925A8"/>
    <w:rsid w:val="00992DFB"/>
    <w:rsid w:val="00993737"/>
    <w:rsid w:val="00993744"/>
    <w:rsid w:val="0099387C"/>
    <w:rsid w:val="00993F92"/>
    <w:rsid w:val="00994039"/>
    <w:rsid w:val="00994FC2"/>
    <w:rsid w:val="00995382"/>
    <w:rsid w:val="0099562F"/>
    <w:rsid w:val="00996615"/>
    <w:rsid w:val="009972C5"/>
    <w:rsid w:val="00997334"/>
    <w:rsid w:val="0099786F"/>
    <w:rsid w:val="009A01D3"/>
    <w:rsid w:val="009A0409"/>
    <w:rsid w:val="009A0981"/>
    <w:rsid w:val="009A0D19"/>
    <w:rsid w:val="009A1F21"/>
    <w:rsid w:val="009A20FA"/>
    <w:rsid w:val="009A28BB"/>
    <w:rsid w:val="009A324A"/>
    <w:rsid w:val="009A37DD"/>
    <w:rsid w:val="009A3F33"/>
    <w:rsid w:val="009A42C6"/>
    <w:rsid w:val="009A65B3"/>
    <w:rsid w:val="009A68CD"/>
    <w:rsid w:val="009A73AA"/>
    <w:rsid w:val="009A7A95"/>
    <w:rsid w:val="009B0424"/>
    <w:rsid w:val="009B111A"/>
    <w:rsid w:val="009B1721"/>
    <w:rsid w:val="009B1BCB"/>
    <w:rsid w:val="009B1FFB"/>
    <w:rsid w:val="009B21B0"/>
    <w:rsid w:val="009B24CC"/>
    <w:rsid w:val="009B3717"/>
    <w:rsid w:val="009B372B"/>
    <w:rsid w:val="009B436D"/>
    <w:rsid w:val="009B5277"/>
    <w:rsid w:val="009B546B"/>
    <w:rsid w:val="009B67E5"/>
    <w:rsid w:val="009B6D10"/>
    <w:rsid w:val="009B7075"/>
    <w:rsid w:val="009B71DC"/>
    <w:rsid w:val="009B7418"/>
    <w:rsid w:val="009B7B1B"/>
    <w:rsid w:val="009B7DDB"/>
    <w:rsid w:val="009B7E2B"/>
    <w:rsid w:val="009C0D81"/>
    <w:rsid w:val="009C0E92"/>
    <w:rsid w:val="009C0EA5"/>
    <w:rsid w:val="009C1015"/>
    <w:rsid w:val="009C1FFA"/>
    <w:rsid w:val="009C2368"/>
    <w:rsid w:val="009C23D6"/>
    <w:rsid w:val="009C285C"/>
    <w:rsid w:val="009C292D"/>
    <w:rsid w:val="009C4206"/>
    <w:rsid w:val="009C42CF"/>
    <w:rsid w:val="009C45AB"/>
    <w:rsid w:val="009C5309"/>
    <w:rsid w:val="009C5AB1"/>
    <w:rsid w:val="009C5C80"/>
    <w:rsid w:val="009C6165"/>
    <w:rsid w:val="009C6C8F"/>
    <w:rsid w:val="009C755E"/>
    <w:rsid w:val="009C7CCA"/>
    <w:rsid w:val="009D0150"/>
    <w:rsid w:val="009D03A2"/>
    <w:rsid w:val="009D0742"/>
    <w:rsid w:val="009D077A"/>
    <w:rsid w:val="009D0B69"/>
    <w:rsid w:val="009D0E77"/>
    <w:rsid w:val="009D106D"/>
    <w:rsid w:val="009D12E0"/>
    <w:rsid w:val="009D1532"/>
    <w:rsid w:val="009D1CBE"/>
    <w:rsid w:val="009D2F18"/>
    <w:rsid w:val="009D3292"/>
    <w:rsid w:val="009D4078"/>
    <w:rsid w:val="009D44E3"/>
    <w:rsid w:val="009D4F3F"/>
    <w:rsid w:val="009D5E0D"/>
    <w:rsid w:val="009D66D8"/>
    <w:rsid w:val="009D6CAC"/>
    <w:rsid w:val="009D6ED3"/>
    <w:rsid w:val="009D7598"/>
    <w:rsid w:val="009D75AE"/>
    <w:rsid w:val="009D7F02"/>
    <w:rsid w:val="009E1114"/>
    <w:rsid w:val="009E24FA"/>
    <w:rsid w:val="009E250E"/>
    <w:rsid w:val="009E3304"/>
    <w:rsid w:val="009E4484"/>
    <w:rsid w:val="009E473C"/>
    <w:rsid w:val="009E50E3"/>
    <w:rsid w:val="009E53B3"/>
    <w:rsid w:val="009E58E9"/>
    <w:rsid w:val="009E60BC"/>
    <w:rsid w:val="009E610D"/>
    <w:rsid w:val="009E63AC"/>
    <w:rsid w:val="009E73A3"/>
    <w:rsid w:val="009F03D0"/>
    <w:rsid w:val="009F0522"/>
    <w:rsid w:val="009F0900"/>
    <w:rsid w:val="009F1716"/>
    <w:rsid w:val="009F1750"/>
    <w:rsid w:val="009F1A43"/>
    <w:rsid w:val="009F1AC6"/>
    <w:rsid w:val="009F27E6"/>
    <w:rsid w:val="009F29B2"/>
    <w:rsid w:val="009F2BB3"/>
    <w:rsid w:val="009F3702"/>
    <w:rsid w:val="009F3918"/>
    <w:rsid w:val="009F3972"/>
    <w:rsid w:val="009F4054"/>
    <w:rsid w:val="009F517D"/>
    <w:rsid w:val="009F5955"/>
    <w:rsid w:val="009F597D"/>
    <w:rsid w:val="009F598F"/>
    <w:rsid w:val="009F5AB6"/>
    <w:rsid w:val="009F5F26"/>
    <w:rsid w:val="009F5F2E"/>
    <w:rsid w:val="009F662D"/>
    <w:rsid w:val="009F6F74"/>
    <w:rsid w:val="009F7629"/>
    <w:rsid w:val="00A00A8A"/>
    <w:rsid w:val="00A00CFC"/>
    <w:rsid w:val="00A01321"/>
    <w:rsid w:val="00A016DC"/>
    <w:rsid w:val="00A01D59"/>
    <w:rsid w:val="00A022F5"/>
    <w:rsid w:val="00A025B2"/>
    <w:rsid w:val="00A02A6F"/>
    <w:rsid w:val="00A03297"/>
    <w:rsid w:val="00A0504B"/>
    <w:rsid w:val="00A052AE"/>
    <w:rsid w:val="00A059A0"/>
    <w:rsid w:val="00A05B42"/>
    <w:rsid w:val="00A06D4E"/>
    <w:rsid w:val="00A06F58"/>
    <w:rsid w:val="00A072E2"/>
    <w:rsid w:val="00A076C3"/>
    <w:rsid w:val="00A0773A"/>
    <w:rsid w:val="00A07BCA"/>
    <w:rsid w:val="00A1011C"/>
    <w:rsid w:val="00A1065B"/>
    <w:rsid w:val="00A12094"/>
    <w:rsid w:val="00A12E82"/>
    <w:rsid w:val="00A13BF3"/>
    <w:rsid w:val="00A13C41"/>
    <w:rsid w:val="00A15C22"/>
    <w:rsid w:val="00A15DE0"/>
    <w:rsid w:val="00A16B44"/>
    <w:rsid w:val="00A171D1"/>
    <w:rsid w:val="00A17AB6"/>
    <w:rsid w:val="00A2006F"/>
    <w:rsid w:val="00A20E5A"/>
    <w:rsid w:val="00A214C3"/>
    <w:rsid w:val="00A2179D"/>
    <w:rsid w:val="00A21E20"/>
    <w:rsid w:val="00A2222D"/>
    <w:rsid w:val="00A22319"/>
    <w:rsid w:val="00A22A4E"/>
    <w:rsid w:val="00A235C7"/>
    <w:rsid w:val="00A24E45"/>
    <w:rsid w:val="00A25D5A"/>
    <w:rsid w:val="00A25DC0"/>
    <w:rsid w:val="00A26314"/>
    <w:rsid w:val="00A26FAA"/>
    <w:rsid w:val="00A27548"/>
    <w:rsid w:val="00A30B16"/>
    <w:rsid w:val="00A31844"/>
    <w:rsid w:val="00A32805"/>
    <w:rsid w:val="00A33840"/>
    <w:rsid w:val="00A33B33"/>
    <w:rsid w:val="00A33F5C"/>
    <w:rsid w:val="00A34FFC"/>
    <w:rsid w:val="00A352DE"/>
    <w:rsid w:val="00A35316"/>
    <w:rsid w:val="00A3540D"/>
    <w:rsid w:val="00A35B09"/>
    <w:rsid w:val="00A35BAA"/>
    <w:rsid w:val="00A35C23"/>
    <w:rsid w:val="00A35DA9"/>
    <w:rsid w:val="00A3774B"/>
    <w:rsid w:val="00A37B5F"/>
    <w:rsid w:val="00A401DF"/>
    <w:rsid w:val="00A405C1"/>
    <w:rsid w:val="00A40DB5"/>
    <w:rsid w:val="00A40DC6"/>
    <w:rsid w:val="00A40E63"/>
    <w:rsid w:val="00A41438"/>
    <w:rsid w:val="00A41FA7"/>
    <w:rsid w:val="00A43801"/>
    <w:rsid w:val="00A441AF"/>
    <w:rsid w:val="00A44222"/>
    <w:rsid w:val="00A44728"/>
    <w:rsid w:val="00A44CD3"/>
    <w:rsid w:val="00A44FE8"/>
    <w:rsid w:val="00A4509A"/>
    <w:rsid w:val="00A45EE3"/>
    <w:rsid w:val="00A471EF"/>
    <w:rsid w:val="00A47680"/>
    <w:rsid w:val="00A47871"/>
    <w:rsid w:val="00A47E7B"/>
    <w:rsid w:val="00A51AF3"/>
    <w:rsid w:val="00A53591"/>
    <w:rsid w:val="00A53E55"/>
    <w:rsid w:val="00A54260"/>
    <w:rsid w:val="00A54EA1"/>
    <w:rsid w:val="00A5501B"/>
    <w:rsid w:val="00A55331"/>
    <w:rsid w:val="00A55EFF"/>
    <w:rsid w:val="00A56D29"/>
    <w:rsid w:val="00A573AC"/>
    <w:rsid w:val="00A5741A"/>
    <w:rsid w:val="00A608BC"/>
    <w:rsid w:val="00A60F15"/>
    <w:rsid w:val="00A61039"/>
    <w:rsid w:val="00A6148E"/>
    <w:rsid w:val="00A61D0F"/>
    <w:rsid w:val="00A61DEA"/>
    <w:rsid w:val="00A6230A"/>
    <w:rsid w:val="00A6237E"/>
    <w:rsid w:val="00A623E1"/>
    <w:rsid w:val="00A62932"/>
    <w:rsid w:val="00A62943"/>
    <w:rsid w:val="00A6295F"/>
    <w:rsid w:val="00A62C8D"/>
    <w:rsid w:val="00A632D5"/>
    <w:rsid w:val="00A64222"/>
    <w:rsid w:val="00A64AB2"/>
    <w:rsid w:val="00A64E31"/>
    <w:rsid w:val="00A65F22"/>
    <w:rsid w:val="00A668D4"/>
    <w:rsid w:val="00A6720A"/>
    <w:rsid w:val="00A67E77"/>
    <w:rsid w:val="00A71357"/>
    <w:rsid w:val="00A719C9"/>
    <w:rsid w:val="00A719EB"/>
    <w:rsid w:val="00A71CCB"/>
    <w:rsid w:val="00A7299A"/>
    <w:rsid w:val="00A72C28"/>
    <w:rsid w:val="00A72E55"/>
    <w:rsid w:val="00A73199"/>
    <w:rsid w:val="00A73250"/>
    <w:rsid w:val="00A73C27"/>
    <w:rsid w:val="00A73CC1"/>
    <w:rsid w:val="00A74735"/>
    <w:rsid w:val="00A747CF"/>
    <w:rsid w:val="00A74AFF"/>
    <w:rsid w:val="00A7587F"/>
    <w:rsid w:val="00A761EA"/>
    <w:rsid w:val="00A7712F"/>
    <w:rsid w:val="00A77CE9"/>
    <w:rsid w:val="00A80104"/>
    <w:rsid w:val="00A80CC4"/>
    <w:rsid w:val="00A80FCD"/>
    <w:rsid w:val="00A81777"/>
    <w:rsid w:val="00A829D0"/>
    <w:rsid w:val="00A82A17"/>
    <w:rsid w:val="00A83261"/>
    <w:rsid w:val="00A83D45"/>
    <w:rsid w:val="00A83E73"/>
    <w:rsid w:val="00A845AE"/>
    <w:rsid w:val="00A85F94"/>
    <w:rsid w:val="00A86464"/>
    <w:rsid w:val="00A866E9"/>
    <w:rsid w:val="00A86806"/>
    <w:rsid w:val="00A870E3"/>
    <w:rsid w:val="00A87A4E"/>
    <w:rsid w:val="00A87CAB"/>
    <w:rsid w:val="00A901A7"/>
    <w:rsid w:val="00A90399"/>
    <w:rsid w:val="00A90A2F"/>
    <w:rsid w:val="00A91A12"/>
    <w:rsid w:val="00A91D48"/>
    <w:rsid w:val="00A9261A"/>
    <w:rsid w:val="00A92756"/>
    <w:rsid w:val="00A92B9F"/>
    <w:rsid w:val="00A92FD0"/>
    <w:rsid w:val="00A93450"/>
    <w:rsid w:val="00A94139"/>
    <w:rsid w:val="00A94246"/>
    <w:rsid w:val="00A94568"/>
    <w:rsid w:val="00A94BBD"/>
    <w:rsid w:val="00A95B75"/>
    <w:rsid w:val="00A95BB4"/>
    <w:rsid w:val="00A9632B"/>
    <w:rsid w:val="00A963E4"/>
    <w:rsid w:val="00A974C4"/>
    <w:rsid w:val="00A9777E"/>
    <w:rsid w:val="00AA0B81"/>
    <w:rsid w:val="00AA120B"/>
    <w:rsid w:val="00AA285A"/>
    <w:rsid w:val="00AA2AE8"/>
    <w:rsid w:val="00AA3098"/>
    <w:rsid w:val="00AA359C"/>
    <w:rsid w:val="00AA4044"/>
    <w:rsid w:val="00AA40F2"/>
    <w:rsid w:val="00AA425E"/>
    <w:rsid w:val="00AA47AE"/>
    <w:rsid w:val="00AA49D1"/>
    <w:rsid w:val="00AA4D14"/>
    <w:rsid w:val="00AA4FE7"/>
    <w:rsid w:val="00AA53CF"/>
    <w:rsid w:val="00AA564D"/>
    <w:rsid w:val="00AA5D3F"/>
    <w:rsid w:val="00AA6C6E"/>
    <w:rsid w:val="00AA7E4A"/>
    <w:rsid w:val="00AB1A51"/>
    <w:rsid w:val="00AB255A"/>
    <w:rsid w:val="00AB26CB"/>
    <w:rsid w:val="00AB2D41"/>
    <w:rsid w:val="00AB3314"/>
    <w:rsid w:val="00AB3325"/>
    <w:rsid w:val="00AB3C4F"/>
    <w:rsid w:val="00AB3E5B"/>
    <w:rsid w:val="00AB3EB2"/>
    <w:rsid w:val="00AB4A22"/>
    <w:rsid w:val="00AB4E08"/>
    <w:rsid w:val="00AB5351"/>
    <w:rsid w:val="00AB6D1D"/>
    <w:rsid w:val="00AB6EE5"/>
    <w:rsid w:val="00AB7263"/>
    <w:rsid w:val="00AB7768"/>
    <w:rsid w:val="00AB7DE3"/>
    <w:rsid w:val="00AB7E56"/>
    <w:rsid w:val="00AC0ADF"/>
    <w:rsid w:val="00AC12AD"/>
    <w:rsid w:val="00AC16BC"/>
    <w:rsid w:val="00AC1A16"/>
    <w:rsid w:val="00AC25FB"/>
    <w:rsid w:val="00AC2860"/>
    <w:rsid w:val="00AC2871"/>
    <w:rsid w:val="00AC33C1"/>
    <w:rsid w:val="00AC3772"/>
    <w:rsid w:val="00AC5366"/>
    <w:rsid w:val="00AC5921"/>
    <w:rsid w:val="00AC5B61"/>
    <w:rsid w:val="00AC69A6"/>
    <w:rsid w:val="00AC6A87"/>
    <w:rsid w:val="00AC738B"/>
    <w:rsid w:val="00AC7854"/>
    <w:rsid w:val="00AD0A7C"/>
    <w:rsid w:val="00AD0C61"/>
    <w:rsid w:val="00AD1D00"/>
    <w:rsid w:val="00AD2CB7"/>
    <w:rsid w:val="00AD315D"/>
    <w:rsid w:val="00AD343C"/>
    <w:rsid w:val="00AD49F2"/>
    <w:rsid w:val="00AD4A56"/>
    <w:rsid w:val="00AD57FB"/>
    <w:rsid w:val="00AD6C18"/>
    <w:rsid w:val="00AD7185"/>
    <w:rsid w:val="00AD789A"/>
    <w:rsid w:val="00AE0E21"/>
    <w:rsid w:val="00AE10A3"/>
    <w:rsid w:val="00AE1324"/>
    <w:rsid w:val="00AE1724"/>
    <w:rsid w:val="00AE1F1E"/>
    <w:rsid w:val="00AE28C9"/>
    <w:rsid w:val="00AE3025"/>
    <w:rsid w:val="00AE36A2"/>
    <w:rsid w:val="00AE418A"/>
    <w:rsid w:val="00AE5C26"/>
    <w:rsid w:val="00AE5C87"/>
    <w:rsid w:val="00AE6073"/>
    <w:rsid w:val="00AE658B"/>
    <w:rsid w:val="00AF000A"/>
    <w:rsid w:val="00AF012D"/>
    <w:rsid w:val="00AF056C"/>
    <w:rsid w:val="00AF0E1F"/>
    <w:rsid w:val="00AF2135"/>
    <w:rsid w:val="00AF2442"/>
    <w:rsid w:val="00AF265F"/>
    <w:rsid w:val="00AF2C3E"/>
    <w:rsid w:val="00AF2F91"/>
    <w:rsid w:val="00AF3693"/>
    <w:rsid w:val="00AF4E99"/>
    <w:rsid w:val="00AF536A"/>
    <w:rsid w:val="00AF63FA"/>
    <w:rsid w:val="00AF64F3"/>
    <w:rsid w:val="00AF661A"/>
    <w:rsid w:val="00AF6950"/>
    <w:rsid w:val="00AF6AB2"/>
    <w:rsid w:val="00AF76EE"/>
    <w:rsid w:val="00AF77A2"/>
    <w:rsid w:val="00AF7F4D"/>
    <w:rsid w:val="00B001A8"/>
    <w:rsid w:val="00B001CD"/>
    <w:rsid w:val="00B0072A"/>
    <w:rsid w:val="00B00E1E"/>
    <w:rsid w:val="00B00FB8"/>
    <w:rsid w:val="00B011A4"/>
    <w:rsid w:val="00B017DE"/>
    <w:rsid w:val="00B01D65"/>
    <w:rsid w:val="00B02308"/>
    <w:rsid w:val="00B02594"/>
    <w:rsid w:val="00B02F9C"/>
    <w:rsid w:val="00B03388"/>
    <w:rsid w:val="00B03654"/>
    <w:rsid w:val="00B0371C"/>
    <w:rsid w:val="00B0470D"/>
    <w:rsid w:val="00B0477F"/>
    <w:rsid w:val="00B0492A"/>
    <w:rsid w:val="00B055F6"/>
    <w:rsid w:val="00B05623"/>
    <w:rsid w:val="00B0585A"/>
    <w:rsid w:val="00B05C9B"/>
    <w:rsid w:val="00B05CC6"/>
    <w:rsid w:val="00B065E9"/>
    <w:rsid w:val="00B0767D"/>
    <w:rsid w:val="00B07BDF"/>
    <w:rsid w:val="00B10184"/>
    <w:rsid w:val="00B10205"/>
    <w:rsid w:val="00B1026C"/>
    <w:rsid w:val="00B10ABF"/>
    <w:rsid w:val="00B11D59"/>
    <w:rsid w:val="00B129C2"/>
    <w:rsid w:val="00B1351B"/>
    <w:rsid w:val="00B13608"/>
    <w:rsid w:val="00B13B52"/>
    <w:rsid w:val="00B13C9A"/>
    <w:rsid w:val="00B14265"/>
    <w:rsid w:val="00B14570"/>
    <w:rsid w:val="00B14A2B"/>
    <w:rsid w:val="00B14BFB"/>
    <w:rsid w:val="00B156AD"/>
    <w:rsid w:val="00B15A88"/>
    <w:rsid w:val="00B15AC2"/>
    <w:rsid w:val="00B16142"/>
    <w:rsid w:val="00B16475"/>
    <w:rsid w:val="00B16CF2"/>
    <w:rsid w:val="00B16F80"/>
    <w:rsid w:val="00B17711"/>
    <w:rsid w:val="00B20CA5"/>
    <w:rsid w:val="00B218AC"/>
    <w:rsid w:val="00B22651"/>
    <w:rsid w:val="00B22CF5"/>
    <w:rsid w:val="00B23169"/>
    <w:rsid w:val="00B23967"/>
    <w:rsid w:val="00B24165"/>
    <w:rsid w:val="00B247CA"/>
    <w:rsid w:val="00B249FC"/>
    <w:rsid w:val="00B24E35"/>
    <w:rsid w:val="00B24EBD"/>
    <w:rsid w:val="00B24F63"/>
    <w:rsid w:val="00B24F66"/>
    <w:rsid w:val="00B26022"/>
    <w:rsid w:val="00B26F93"/>
    <w:rsid w:val="00B274C9"/>
    <w:rsid w:val="00B27BA6"/>
    <w:rsid w:val="00B27D38"/>
    <w:rsid w:val="00B3058E"/>
    <w:rsid w:val="00B3071B"/>
    <w:rsid w:val="00B308B4"/>
    <w:rsid w:val="00B3099B"/>
    <w:rsid w:val="00B30C99"/>
    <w:rsid w:val="00B30F3C"/>
    <w:rsid w:val="00B31354"/>
    <w:rsid w:val="00B31554"/>
    <w:rsid w:val="00B31C1A"/>
    <w:rsid w:val="00B31D17"/>
    <w:rsid w:val="00B31DC6"/>
    <w:rsid w:val="00B32123"/>
    <w:rsid w:val="00B32C5A"/>
    <w:rsid w:val="00B32DB2"/>
    <w:rsid w:val="00B32FDF"/>
    <w:rsid w:val="00B330DC"/>
    <w:rsid w:val="00B33963"/>
    <w:rsid w:val="00B33B7C"/>
    <w:rsid w:val="00B33C60"/>
    <w:rsid w:val="00B345D7"/>
    <w:rsid w:val="00B34608"/>
    <w:rsid w:val="00B3582D"/>
    <w:rsid w:val="00B36091"/>
    <w:rsid w:val="00B361CB"/>
    <w:rsid w:val="00B36A6E"/>
    <w:rsid w:val="00B36E3E"/>
    <w:rsid w:val="00B3762E"/>
    <w:rsid w:val="00B37751"/>
    <w:rsid w:val="00B40FF6"/>
    <w:rsid w:val="00B41D75"/>
    <w:rsid w:val="00B424FC"/>
    <w:rsid w:val="00B42D21"/>
    <w:rsid w:val="00B42DF5"/>
    <w:rsid w:val="00B42ECC"/>
    <w:rsid w:val="00B42EEA"/>
    <w:rsid w:val="00B42FE1"/>
    <w:rsid w:val="00B43398"/>
    <w:rsid w:val="00B43C38"/>
    <w:rsid w:val="00B43D64"/>
    <w:rsid w:val="00B4401C"/>
    <w:rsid w:val="00B44CB7"/>
    <w:rsid w:val="00B44EDF"/>
    <w:rsid w:val="00B455C2"/>
    <w:rsid w:val="00B45A08"/>
    <w:rsid w:val="00B461C1"/>
    <w:rsid w:val="00B461E9"/>
    <w:rsid w:val="00B463AF"/>
    <w:rsid w:val="00B4647A"/>
    <w:rsid w:val="00B4791C"/>
    <w:rsid w:val="00B508BD"/>
    <w:rsid w:val="00B50E29"/>
    <w:rsid w:val="00B50FC6"/>
    <w:rsid w:val="00B51030"/>
    <w:rsid w:val="00B51D21"/>
    <w:rsid w:val="00B52719"/>
    <w:rsid w:val="00B53C32"/>
    <w:rsid w:val="00B54152"/>
    <w:rsid w:val="00B54964"/>
    <w:rsid w:val="00B5699B"/>
    <w:rsid w:val="00B56ED0"/>
    <w:rsid w:val="00B57479"/>
    <w:rsid w:val="00B578C0"/>
    <w:rsid w:val="00B608AC"/>
    <w:rsid w:val="00B609AE"/>
    <w:rsid w:val="00B60DA7"/>
    <w:rsid w:val="00B61015"/>
    <w:rsid w:val="00B618E7"/>
    <w:rsid w:val="00B6199B"/>
    <w:rsid w:val="00B61C42"/>
    <w:rsid w:val="00B6326F"/>
    <w:rsid w:val="00B6404E"/>
    <w:rsid w:val="00B640E5"/>
    <w:rsid w:val="00B641DC"/>
    <w:rsid w:val="00B64C91"/>
    <w:rsid w:val="00B653FB"/>
    <w:rsid w:val="00B6636A"/>
    <w:rsid w:val="00B674EC"/>
    <w:rsid w:val="00B7153F"/>
    <w:rsid w:val="00B721EE"/>
    <w:rsid w:val="00B722DB"/>
    <w:rsid w:val="00B72631"/>
    <w:rsid w:val="00B72AA0"/>
    <w:rsid w:val="00B73524"/>
    <w:rsid w:val="00B735D0"/>
    <w:rsid w:val="00B739B3"/>
    <w:rsid w:val="00B74228"/>
    <w:rsid w:val="00B74377"/>
    <w:rsid w:val="00B7442C"/>
    <w:rsid w:val="00B7481E"/>
    <w:rsid w:val="00B75337"/>
    <w:rsid w:val="00B75348"/>
    <w:rsid w:val="00B75863"/>
    <w:rsid w:val="00B75D2E"/>
    <w:rsid w:val="00B764A7"/>
    <w:rsid w:val="00B766B9"/>
    <w:rsid w:val="00B77C3E"/>
    <w:rsid w:val="00B806D1"/>
    <w:rsid w:val="00B809BF"/>
    <w:rsid w:val="00B80BAF"/>
    <w:rsid w:val="00B8165C"/>
    <w:rsid w:val="00B82C13"/>
    <w:rsid w:val="00B837B3"/>
    <w:rsid w:val="00B83A45"/>
    <w:rsid w:val="00B83A5A"/>
    <w:rsid w:val="00B83C0B"/>
    <w:rsid w:val="00B83F56"/>
    <w:rsid w:val="00B84036"/>
    <w:rsid w:val="00B8414C"/>
    <w:rsid w:val="00B847C4"/>
    <w:rsid w:val="00B851F8"/>
    <w:rsid w:val="00B854F8"/>
    <w:rsid w:val="00B85590"/>
    <w:rsid w:val="00B857E2"/>
    <w:rsid w:val="00B8627D"/>
    <w:rsid w:val="00B86BCF"/>
    <w:rsid w:val="00B87DC9"/>
    <w:rsid w:val="00B87DFF"/>
    <w:rsid w:val="00B9003E"/>
    <w:rsid w:val="00B90778"/>
    <w:rsid w:val="00B90AF3"/>
    <w:rsid w:val="00B91024"/>
    <w:rsid w:val="00B912C1"/>
    <w:rsid w:val="00B927C6"/>
    <w:rsid w:val="00B92B2E"/>
    <w:rsid w:val="00B92CA3"/>
    <w:rsid w:val="00B92F67"/>
    <w:rsid w:val="00B93BC5"/>
    <w:rsid w:val="00B94386"/>
    <w:rsid w:val="00B9459C"/>
    <w:rsid w:val="00B95C15"/>
    <w:rsid w:val="00B9637B"/>
    <w:rsid w:val="00B9649C"/>
    <w:rsid w:val="00B966AB"/>
    <w:rsid w:val="00B96C25"/>
    <w:rsid w:val="00B9749C"/>
    <w:rsid w:val="00BA026A"/>
    <w:rsid w:val="00BA0999"/>
    <w:rsid w:val="00BA100E"/>
    <w:rsid w:val="00BA152E"/>
    <w:rsid w:val="00BA18D8"/>
    <w:rsid w:val="00BA19C0"/>
    <w:rsid w:val="00BA251B"/>
    <w:rsid w:val="00BA4EA8"/>
    <w:rsid w:val="00BA511B"/>
    <w:rsid w:val="00BA524E"/>
    <w:rsid w:val="00BA62B1"/>
    <w:rsid w:val="00BA6543"/>
    <w:rsid w:val="00BA772F"/>
    <w:rsid w:val="00BA7B3B"/>
    <w:rsid w:val="00BB0086"/>
    <w:rsid w:val="00BB07CC"/>
    <w:rsid w:val="00BB08D2"/>
    <w:rsid w:val="00BB0E24"/>
    <w:rsid w:val="00BB0F15"/>
    <w:rsid w:val="00BB248A"/>
    <w:rsid w:val="00BB3A02"/>
    <w:rsid w:val="00BB462D"/>
    <w:rsid w:val="00BB4678"/>
    <w:rsid w:val="00BB46C2"/>
    <w:rsid w:val="00BB47F3"/>
    <w:rsid w:val="00BB484E"/>
    <w:rsid w:val="00BB486E"/>
    <w:rsid w:val="00BB53D9"/>
    <w:rsid w:val="00BB5C8A"/>
    <w:rsid w:val="00BB60D4"/>
    <w:rsid w:val="00BB6CBD"/>
    <w:rsid w:val="00BB6DCC"/>
    <w:rsid w:val="00BB72E3"/>
    <w:rsid w:val="00BB75C8"/>
    <w:rsid w:val="00BC0FDD"/>
    <w:rsid w:val="00BC12FC"/>
    <w:rsid w:val="00BC14C8"/>
    <w:rsid w:val="00BC1C64"/>
    <w:rsid w:val="00BC1C79"/>
    <w:rsid w:val="00BC369C"/>
    <w:rsid w:val="00BC4AFF"/>
    <w:rsid w:val="00BC4B2D"/>
    <w:rsid w:val="00BC4C87"/>
    <w:rsid w:val="00BC7203"/>
    <w:rsid w:val="00BD0215"/>
    <w:rsid w:val="00BD14D2"/>
    <w:rsid w:val="00BD154F"/>
    <w:rsid w:val="00BD1A59"/>
    <w:rsid w:val="00BD2C38"/>
    <w:rsid w:val="00BD2D32"/>
    <w:rsid w:val="00BD30AD"/>
    <w:rsid w:val="00BD30C6"/>
    <w:rsid w:val="00BD331A"/>
    <w:rsid w:val="00BD4131"/>
    <w:rsid w:val="00BD524A"/>
    <w:rsid w:val="00BD5F12"/>
    <w:rsid w:val="00BD6074"/>
    <w:rsid w:val="00BD6424"/>
    <w:rsid w:val="00BD649B"/>
    <w:rsid w:val="00BD654E"/>
    <w:rsid w:val="00BD6BF4"/>
    <w:rsid w:val="00BE0101"/>
    <w:rsid w:val="00BE0232"/>
    <w:rsid w:val="00BE07FA"/>
    <w:rsid w:val="00BE105B"/>
    <w:rsid w:val="00BE160E"/>
    <w:rsid w:val="00BE18CE"/>
    <w:rsid w:val="00BE1A3A"/>
    <w:rsid w:val="00BE1C07"/>
    <w:rsid w:val="00BE25FF"/>
    <w:rsid w:val="00BE2602"/>
    <w:rsid w:val="00BE2799"/>
    <w:rsid w:val="00BE2A8D"/>
    <w:rsid w:val="00BE6D3C"/>
    <w:rsid w:val="00BE77CB"/>
    <w:rsid w:val="00BE7A22"/>
    <w:rsid w:val="00BF072F"/>
    <w:rsid w:val="00BF0C49"/>
    <w:rsid w:val="00BF0DB2"/>
    <w:rsid w:val="00BF0EBD"/>
    <w:rsid w:val="00BF181D"/>
    <w:rsid w:val="00BF1856"/>
    <w:rsid w:val="00BF238C"/>
    <w:rsid w:val="00BF38CB"/>
    <w:rsid w:val="00BF3CBE"/>
    <w:rsid w:val="00BF43DB"/>
    <w:rsid w:val="00BF471B"/>
    <w:rsid w:val="00BF4C59"/>
    <w:rsid w:val="00BF5687"/>
    <w:rsid w:val="00BF5C4C"/>
    <w:rsid w:val="00BF5D2E"/>
    <w:rsid w:val="00BF633F"/>
    <w:rsid w:val="00BF746B"/>
    <w:rsid w:val="00C0052C"/>
    <w:rsid w:val="00C00F51"/>
    <w:rsid w:val="00C00F5F"/>
    <w:rsid w:val="00C01154"/>
    <w:rsid w:val="00C016E2"/>
    <w:rsid w:val="00C04C4E"/>
    <w:rsid w:val="00C04CB8"/>
    <w:rsid w:val="00C04F20"/>
    <w:rsid w:val="00C05230"/>
    <w:rsid w:val="00C056A9"/>
    <w:rsid w:val="00C05E79"/>
    <w:rsid w:val="00C06140"/>
    <w:rsid w:val="00C06338"/>
    <w:rsid w:val="00C06873"/>
    <w:rsid w:val="00C06A56"/>
    <w:rsid w:val="00C0714C"/>
    <w:rsid w:val="00C10946"/>
    <w:rsid w:val="00C11878"/>
    <w:rsid w:val="00C12A8E"/>
    <w:rsid w:val="00C12DF9"/>
    <w:rsid w:val="00C13B1A"/>
    <w:rsid w:val="00C13C7C"/>
    <w:rsid w:val="00C13D1C"/>
    <w:rsid w:val="00C13E95"/>
    <w:rsid w:val="00C14E9E"/>
    <w:rsid w:val="00C14EE6"/>
    <w:rsid w:val="00C1572C"/>
    <w:rsid w:val="00C15A3D"/>
    <w:rsid w:val="00C15F61"/>
    <w:rsid w:val="00C16640"/>
    <w:rsid w:val="00C16835"/>
    <w:rsid w:val="00C171E2"/>
    <w:rsid w:val="00C1751B"/>
    <w:rsid w:val="00C1759C"/>
    <w:rsid w:val="00C20F42"/>
    <w:rsid w:val="00C214F5"/>
    <w:rsid w:val="00C2184F"/>
    <w:rsid w:val="00C21E83"/>
    <w:rsid w:val="00C227D2"/>
    <w:rsid w:val="00C22FBA"/>
    <w:rsid w:val="00C23389"/>
    <w:rsid w:val="00C241E3"/>
    <w:rsid w:val="00C243B9"/>
    <w:rsid w:val="00C247A4"/>
    <w:rsid w:val="00C24B4C"/>
    <w:rsid w:val="00C259E1"/>
    <w:rsid w:val="00C25F49"/>
    <w:rsid w:val="00C26862"/>
    <w:rsid w:val="00C2765A"/>
    <w:rsid w:val="00C2783A"/>
    <w:rsid w:val="00C27EBB"/>
    <w:rsid w:val="00C30380"/>
    <w:rsid w:val="00C3133B"/>
    <w:rsid w:val="00C314EA"/>
    <w:rsid w:val="00C314F7"/>
    <w:rsid w:val="00C31A43"/>
    <w:rsid w:val="00C31C1B"/>
    <w:rsid w:val="00C31DEA"/>
    <w:rsid w:val="00C3237C"/>
    <w:rsid w:val="00C32741"/>
    <w:rsid w:val="00C328FB"/>
    <w:rsid w:val="00C330B8"/>
    <w:rsid w:val="00C336DA"/>
    <w:rsid w:val="00C3372A"/>
    <w:rsid w:val="00C3396D"/>
    <w:rsid w:val="00C33D4B"/>
    <w:rsid w:val="00C34397"/>
    <w:rsid w:val="00C344BE"/>
    <w:rsid w:val="00C35B3E"/>
    <w:rsid w:val="00C35D88"/>
    <w:rsid w:val="00C3618D"/>
    <w:rsid w:val="00C366CA"/>
    <w:rsid w:val="00C368F1"/>
    <w:rsid w:val="00C40159"/>
    <w:rsid w:val="00C40FE6"/>
    <w:rsid w:val="00C41141"/>
    <w:rsid w:val="00C42F78"/>
    <w:rsid w:val="00C44241"/>
    <w:rsid w:val="00C44364"/>
    <w:rsid w:val="00C44390"/>
    <w:rsid w:val="00C44CB1"/>
    <w:rsid w:val="00C44ED9"/>
    <w:rsid w:val="00C4510C"/>
    <w:rsid w:val="00C45740"/>
    <w:rsid w:val="00C46661"/>
    <w:rsid w:val="00C47061"/>
    <w:rsid w:val="00C471FC"/>
    <w:rsid w:val="00C473D2"/>
    <w:rsid w:val="00C47D8F"/>
    <w:rsid w:val="00C504A9"/>
    <w:rsid w:val="00C50C4D"/>
    <w:rsid w:val="00C50FE1"/>
    <w:rsid w:val="00C51109"/>
    <w:rsid w:val="00C517A3"/>
    <w:rsid w:val="00C51FCF"/>
    <w:rsid w:val="00C525D9"/>
    <w:rsid w:val="00C52647"/>
    <w:rsid w:val="00C527DD"/>
    <w:rsid w:val="00C534FD"/>
    <w:rsid w:val="00C54BB1"/>
    <w:rsid w:val="00C5588E"/>
    <w:rsid w:val="00C55ABC"/>
    <w:rsid w:val="00C561FA"/>
    <w:rsid w:val="00C61D5C"/>
    <w:rsid w:val="00C61EC8"/>
    <w:rsid w:val="00C62147"/>
    <w:rsid w:val="00C6215B"/>
    <w:rsid w:val="00C6257E"/>
    <w:rsid w:val="00C62A18"/>
    <w:rsid w:val="00C62D6C"/>
    <w:rsid w:val="00C62F18"/>
    <w:rsid w:val="00C64145"/>
    <w:rsid w:val="00C65E3C"/>
    <w:rsid w:val="00C6618B"/>
    <w:rsid w:val="00C667FB"/>
    <w:rsid w:val="00C66B61"/>
    <w:rsid w:val="00C675ED"/>
    <w:rsid w:val="00C719FA"/>
    <w:rsid w:val="00C71B4F"/>
    <w:rsid w:val="00C71D39"/>
    <w:rsid w:val="00C7256E"/>
    <w:rsid w:val="00C72572"/>
    <w:rsid w:val="00C72739"/>
    <w:rsid w:val="00C727DF"/>
    <w:rsid w:val="00C731D9"/>
    <w:rsid w:val="00C73FB6"/>
    <w:rsid w:val="00C74304"/>
    <w:rsid w:val="00C746F1"/>
    <w:rsid w:val="00C74749"/>
    <w:rsid w:val="00C7665C"/>
    <w:rsid w:val="00C76760"/>
    <w:rsid w:val="00C77834"/>
    <w:rsid w:val="00C8015B"/>
    <w:rsid w:val="00C8030C"/>
    <w:rsid w:val="00C80B10"/>
    <w:rsid w:val="00C816BF"/>
    <w:rsid w:val="00C81F79"/>
    <w:rsid w:val="00C822E0"/>
    <w:rsid w:val="00C82303"/>
    <w:rsid w:val="00C8235D"/>
    <w:rsid w:val="00C83812"/>
    <w:rsid w:val="00C845CC"/>
    <w:rsid w:val="00C84F53"/>
    <w:rsid w:val="00C858FB"/>
    <w:rsid w:val="00C86844"/>
    <w:rsid w:val="00C869DB"/>
    <w:rsid w:val="00C90AA1"/>
    <w:rsid w:val="00C90BDB"/>
    <w:rsid w:val="00C92169"/>
    <w:rsid w:val="00C92D4B"/>
    <w:rsid w:val="00C9352F"/>
    <w:rsid w:val="00C94AE5"/>
    <w:rsid w:val="00C95B4E"/>
    <w:rsid w:val="00CA0727"/>
    <w:rsid w:val="00CA09A6"/>
    <w:rsid w:val="00CA0F3D"/>
    <w:rsid w:val="00CA1AEE"/>
    <w:rsid w:val="00CA1DE9"/>
    <w:rsid w:val="00CA1F1D"/>
    <w:rsid w:val="00CA241E"/>
    <w:rsid w:val="00CA2625"/>
    <w:rsid w:val="00CA2806"/>
    <w:rsid w:val="00CA3318"/>
    <w:rsid w:val="00CA3839"/>
    <w:rsid w:val="00CA4962"/>
    <w:rsid w:val="00CA56A7"/>
    <w:rsid w:val="00CA66C1"/>
    <w:rsid w:val="00CA69F5"/>
    <w:rsid w:val="00CA71B8"/>
    <w:rsid w:val="00CA73E5"/>
    <w:rsid w:val="00CA755F"/>
    <w:rsid w:val="00CA780B"/>
    <w:rsid w:val="00CA7DC4"/>
    <w:rsid w:val="00CB182B"/>
    <w:rsid w:val="00CB1D12"/>
    <w:rsid w:val="00CB1E26"/>
    <w:rsid w:val="00CB3018"/>
    <w:rsid w:val="00CB34AF"/>
    <w:rsid w:val="00CB36FB"/>
    <w:rsid w:val="00CB3859"/>
    <w:rsid w:val="00CB4263"/>
    <w:rsid w:val="00CB549F"/>
    <w:rsid w:val="00CB5885"/>
    <w:rsid w:val="00CB6289"/>
    <w:rsid w:val="00CB634B"/>
    <w:rsid w:val="00CB6F30"/>
    <w:rsid w:val="00CB7B8D"/>
    <w:rsid w:val="00CB7E90"/>
    <w:rsid w:val="00CC0421"/>
    <w:rsid w:val="00CC126A"/>
    <w:rsid w:val="00CC1487"/>
    <w:rsid w:val="00CC1ADF"/>
    <w:rsid w:val="00CC29C2"/>
    <w:rsid w:val="00CC2B0F"/>
    <w:rsid w:val="00CC381A"/>
    <w:rsid w:val="00CC3ACE"/>
    <w:rsid w:val="00CC3B4E"/>
    <w:rsid w:val="00CC444F"/>
    <w:rsid w:val="00CC44D4"/>
    <w:rsid w:val="00CC460A"/>
    <w:rsid w:val="00CC46E8"/>
    <w:rsid w:val="00CC4717"/>
    <w:rsid w:val="00CC4C13"/>
    <w:rsid w:val="00CC4E3A"/>
    <w:rsid w:val="00CC4FDB"/>
    <w:rsid w:val="00CC52C0"/>
    <w:rsid w:val="00CC541A"/>
    <w:rsid w:val="00CC5B88"/>
    <w:rsid w:val="00CC654E"/>
    <w:rsid w:val="00CC69F0"/>
    <w:rsid w:val="00CC6A34"/>
    <w:rsid w:val="00CC76AC"/>
    <w:rsid w:val="00CD0096"/>
    <w:rsid w:val="00CD0156"/>
    <w:rsid w:val="00CD069D"/>
    <w:rsid w:val="00CD3526"/>
    <w:rsid w:val="00CD361A"/>
    <w:rsid w:val="00CD4B50"/>
    <w:rsid w:val="00CD5CCD"/>
    <w:rsid w:val="00CD64DA"/>
    <w:rsid w:val="00CD6722"/>
    <w:rsid w:val="00CD6734"/>
    <w:rsid w:val="00CD7032"/>
    <w:rsid w:val="00CE03E4"/>
    <w:rsid w:val="00CE1427"/>
    <w:rsid w:val="00CE1C5F"/>
    <w:rsid w:val="00CE25EF"/>
    <w:rsid w:val="00CE28D5"/>
    <w:rsid w:val="00CE4670"/>
    <w:rsid w:val="00CE47C8"/>
    <w:rsid w:val="00CE50BC"/>
    <w:rsid w:val="00CE577B"/>
    <w:rsid w:val="00CE6102"/>
    <w:rsid w:val="00CE63F4"/>
    <w:rsid w:val="00CE651D"/>
    <w:rsid w:val="00CE6614"/>
    <w:rsid w:val="00CE79E5"/>
    <w:rsid w:val="00CF0A73"/>
    <w:rsid w:val="00CF1EE2"/>
    <w:rsid w:val="00CF2136"/>
    <w:rsid w:val="00CF21DC"/>
    <w:rsid w:val="00CF3189"/>
    <w:rsid w:val="00CF38E2"/>
    <w:rsid w:val="00CF3902"/>
    <w:rsid w:val="00CF3DD5"/>
    <w:rsid w:val="00CF3DE6"/>
    <w:rsid w:val="00CF5423"/>
    <w:rsid w:val="00CF6781"/>
    <w:rsid w:val="00CF6D74"/>
    <w:rsid w:val="00CF7673"/>
    <w:rsid w:val="00CF78C9"/>
    <w:rsid w:val="00CF7C2B"/>
    <w:rsid w:val="00D00ABC"/>
    <w:rsid w:val="00D01118"/>
    <w:rsid w:val="00D01CB7"/>
    <w:rsid w:val="00D0333A"/>
    <w:rsid w:val="00D04461"/>
    <w:rsid w:val="00D0526F"/>
    <w:rsid w:val="00D053D2"/>
    <w:rsid w:val="00D05453"/>
    <w:rsid w:val="00D05A34"/>
    <w:rsid w:val="00D05AAC"/>
    <w:rsid w:val="00D06705"/>
    <w:rsid w:val="00D06868"/>
    <w:rsid w:val="00D06CE6"/>
    <w:rsid w:val="00D06EF0"/>
    <w:rsid w:val="00D076AF"/>
    <w:rsid w:val="00D07753"/>
    <w:rsid w:val="00D07C47"/>
    <w:rsid w:val="00D10698"/>
    <w:rsid w:val="00D10910"/>
    <w:rsid w:val="00D1118F"/>
    <w:rsid w:val="00D1126A"/>
    <w:rsid w:val="00D11AF1"/>
    <w:rsid w:val="00D12688"/>
    <w:rsid w:val="00D1371F"/>
    <w:rsid w:val="00D149CC"/>
    <w:rsid w:val="00D14BE4"/>
    <w:rsid w:val="00D152CD"/>
    <w:rsid w:val="00D15876"/>
    <w:rsid w:val="00D158BA"/>
    <w:rsid w:val="00D15D2D"/>
    <w:rsid w:val="00D15F7B"/>
    <w:rsid w:val="00D16718"/>
    <w:rsid w:val="00D17B1F"/>
    <w:rsid w:val="00D17E4F"/>
    <w:rsid w:val="00D20550"/>
    <w:rsid w:val="00D21347"/>
    <w:rsid w:val="00D21889"/>
    <w:rsid w:val="00D21A6B"/>
    <w:rsid w:val="00D21C66"/>
    <w:rsid w:val="00D21DC7"/>
    <w:rsid w:val="00D220E8"/>
    <w:rsid w:val="00D23EA6"/>
    <w:rsid w:val="00D2471D"/>
    <w:rsid w:val="00D2595B"/>
    <w:rsid w:val="00D25D47"/>
    <w:rsid w:val="00D262BD"/>
    <w:rsid w:val="00D26916"/>
    <w:rsid w:val="00D26E99"/>
    <w:rsid w:val="00D27730"/>
    <w:rsid w:val="00D27CC9"/>
    <w:rsid w:val="00D30375"/>
    <w:rsid w:val="00D31930"/>
    <w:rsid w:val="00D31DEA"/>
    <w:rsid w:val="00D326C7"/>
    <w:rsid w:val="00D32ADF"/>
    <w:rsid w:val="00D32CD7"/>
    <w:rsid w:val="00D332B8"/>
    <w:rsid w:val="00D33C8A"/>
    <w:rsid w:val="00D33DD0"/>
    <w:rsid w:val="00D33E83"/>
    <w:rsid w:val="00D342AF"/>
    <w:rsid w:val="00D34824"/>
    <w:rsid w:val="00D35DA9"/>
    <w:rsid w:val="00D3610B"/>
    <w:rsid w:val="00D36180"/>
    <w:rsid w:val="00D36BD0"/>
    <w:rsid w:val="00D36DBE"/>
    <w:rsid w:val="00D36F17"/>
    <w:rsid w:val="00D36F90"/>
    <w:rsid w:val="00D37207"/>
    <w:rsid w:val="00D37629"/>
    <w:rsid w:val="00D37C02"/>
    <w:rsid w:val="00D400C5"/>
    <w:rsid w:val="00D409F6"/>
    <w:rsid w:val="00D4152D"/>
    <w:rsid w:val="00D41E64"/>
    <w:rsid w:val="00D41EDA"/>
    <w:rsid w:val="00D420CD"/>
    <w:rsid w:val="00D4219D"/>
    <w:rsid w:val="00D42A76"/>
    <w:rsid w:val="00D42F80"/>
    <w:rsid w:val="00D4348C"/>
    <w:rsid w:val="00D43594"/>
    <w:rsid w:val="00D43DF2"/>
    <w:rsid w:val="00D444FE"/>
    <w:rsid w:val="00D45A35"/>
    <w:rsid w:val="00D45E0B"/>
    <w:rsid w:val="00D46B6A"/>
    <w:rsid w:val="00D47E20"/>
    <w:rsid w:val="00D50170"/>
    <w:rsid w:val="00D50281"/>
    <w:rsid w:val="00D50293"/>
    <w:rsid w:val="00D51114"/>
    <w:rsid w:val="00D514F7"/>
    <w:rsid w:val="00D51A30"/>
    <w:rsid w:val="00D52C4D"/>
    <w:rsid w:val="00D543F8"/>
    <w:rsid w:val="00D554F3"/>
    <w:rsid w:val="00D5556F"/>
    <w:rsid w:val="00D55A8D"/>
    <w:rsid w:val="00D55D12"/>
    <w:rsid w:val="00D55DA9"/>
    <w:rsid w:val="00D55DDE"/>
    <w:rsid w:val="00D575B5"/>
    <w:rsid w:val="00D57753"/>
    <w:rsid w:val="00D60247"/>
    <w:rsid w:val="00D6049F"/>
    <w:rsid w:val="00D60B76"/>
    <w:rsid w:val="00D60BE7"/>
    <w:rsid w:val="00D61537"/>
    <w:rsid w:val="00D61C25"/>
    <w:rsid w:val="00D61D5D"/>
    <w:rsid w:val="00D61DD2"/>
    <w:rsid w:val="00D63255"/>
    <w:rsid w:val="00D63494"/>
    <w:rsid w:val="00D64901"/>
    <w:rsid w:val="00D64C8C"/>
    <w:rsid w:val="00D650A3"/>
    <w:rsid w:val="00D65C64"/>
    <w:rsid w:val="00D66736"/>
    <w:rsid w:val="00D67049"/>
    <w:rsid w:val="00D67773"/>
    <w:rsid w:val="00D6799A"/>
    <w:rsid w:val="00D7044F"/>
    <w:rsid w:val="00D708ED"/>
    <w:rsid w:val="00D70C8C"/>
    <w:rsid w:val="00D70DAB"/>
    <w:rsid w:val="00D70F84"/>
    <w:rsid w:val="00D71091"/>
    <w:rsid w:val="00D7162E"/>
    <w:rsid w:val="00D71A70"/>
    <w:rsid w:val="00D73417"/>
    <w:rsid w:val="00D73F45"/>
    <w:rsid w:val="00D7459C"/>
    <w:rsid w:val="00D74B1C"/>
    <w:rsid w:val="00D74E31"/>
    <w:rsid w:val="00D76440"/>
    <w:rsid w:val="00D77593"/>
    <w:rsid w:val="00D7773A"/>
    <w:rsid w:val="00D7775E"/>
    <w:rsid w:val="00D801AE"/>
    <w:rsid w:val="00D80207"/>
    <w:rsid w:val="00D8239E"/>
    <w:rsid w:val="00D8350C"/>
    <w:rsid w:val="00D83887"/>
    <w:rsid w:val="00D83A6E"/>
    <w:rsid w:val="00D85A1F"/>
    <w:rsid w:val="00D85A25"/>
    <w:rsid w:val="00D86ED6"/>
    <w:rsid w:val="00D86FBB"/>
    <w:rsid w:val="00D875D5"/>
    <w:rsid w:val="00D87828"/>
    <w:rsid w:val="00D909D1"/>
    <w:rsid w:val="00D90B3E"/>
    <w:rsid w:val="00D91205"/>
    <w:rsid w:val="00D914D3"/>
    <w:rsid w:val="00D915FD"/>
    <w:rsid w:val="00D92F10"/>
    <w:rsid w:val="00D930B7"/>
    <w:rsid w:val="00D936BE"/>
    <w:rsid w:val="00D93907"/>
    <w:rsid w:val="00D93B8D"/>
    <w:rsid w:val="00D93C1F"/>
    <w:rsid w:val="00D94CA2"/>
    <w:rsid w:val="00D94DB2"/>
    <w:rsid w:val="00D95399"/>
    <w:rsid w:val="00D95804"/>
    <w:rsid w:val="00D9596B"/>
    <w:rsid w:val="00D95BCE"/>
    <w:rsid w:val="00D9613C"/>
    <w:rsid w:val="00D971B7"/>
    <w:rsid w:val="00D97A38"/>
    <w:rsid w:val="00DA08A0"/>
    <w:rsid w:val="00DA0945"/>
    <w:rsid w:val="00DA0B67"/>
    <w:rsid w:val="00DA1008"/>
    <w:rsid w:val="00DA16E5"/>
    <w:rsid w:val="00DA1ECA"/>
    <w:rsid w:val="00DA2A40"/>
    <w:rsid w:val="00DA2F57"/>
    <w:rsid w:val="00DA2FC7"/>
    <w:rsid w:val="00DA34A5"/>
    <w:rsid w:val="00DA497E"/>
    <w:rsid w:val="00DA5F71"/>
    <w:rsid w:val="00DA5FB7"/>
    <w:rsid w:val="00DA66F3"/>
    <w:rsid w:val="00DA6D19"/>
    <w:rsid w:val="00DA7A57"/>
    <w:rsid w:val="00DA7AA5"/>
    <w:rsid w:val="00DA7E13"/>
    <w:rsid w:val="00DB1618"/>
    <w:rsid w:val="00DB1A1E"/>
    <w:rsid w:val="00DB22DD"/>
    <w:rsid w:val="00DB232B"/>
    <w:rsid w:val="00DB2DD0"/>
    <w:rsid w:val="00DB2DE1"/>
    <w:rsid w:val="00DB3EC3"/>
    <w:rsid w:val="00DB40D8"/>
    <w:rsid w:val="00DB433E"/>
    <w:rsid w:val="00DB5E3C"/>
    <w:rsid w:val="00DB6042"/>
    <w:rsid w:val="00DB64F8"/>
    <w:rsid w:val="00DB6600"/>
    <w:rsid w:val="00DB76BE"/>
    <w:rsid w:val="00DB7D0F"/>
    <w:rsid w:val="00DB7D82"/>
    <w:rsid w:val="00DB7E08"/>
    <w:rsid w:val="00DC04C4"/>
    <w:rsid w:val="00DC0F91"/>
    <w:rsid w:val="00DC1127"/>
    <w:rsid w:val="00DC1B46"/>
    <w:rsid w:val="00DC1E3F"/>
    <w:rsid w:val="00DC1EC2"/>
    <w:rsid w:val="00DC34BB"/>
    <w:rsid w:val="00DC3A93"/>
    <w:rsid w:val="00DC3F66"/>
    <w:rsid w:val="00DC4002"/>
    <w:rsid w:val="00DC4480"/>
    <w:rsid w:val="00DC499C"/>
    <w:rsid w:val="00DC52D1"/>
    <w:rsid w:val="00DC5772"/>
    <w:rsid w:val="00DC5775"/>
    <w:rsid w:val="00DC61BB"/>
    <w:rsid w:val="00DC65A4"/>
    <w:rsid w:val="00DC76E0"/>
    <w:rsid w:val="00DC7D4D"/>
    <w:rsid w:val="00DD0B22"/>
    <w:rsid w:val="00DD125C"/>
    <w:rsid w:val="00DD135B"/>
    <w:rsid w:val="00DD226C"/>
    <w:rsid w:val="00DD26B2"/>
    <w:rsid w:val="00DD273C"/>
    <w:rsid w:val="00DD2C44"/>
    <w:rsid w:val="00DD2E0E"/>
    <w:rsid w:val="00DD3257"/>
    <w:rsid w:val="00DD375B"/>
    <w:rsid w:val="00DD3964"/>
    <w:rsid w:val="00DD3DB2"/>
    <w:rsid w:val="00DD4861"/>
    <w:rsid w:val="00DD5360"/>
    <w:rsid w:val="00DD551B"/>
    <w:rsid w:val="00DD5DF1"/>
    <w:rsid w:val="00DD6E88"/>
    <w:rsid w:val="00DD72C5"/>
    <w:rsid w:val="00DD78EA"/>
    <w:rsid w:val="00DD7B3A"/>
    <w:rsid w:val="00DE060C"/>
    <w:rsid w:val="00DE0F1F"/>
    <w:rsid w:val="00DE12A8"/>
    <w:rsid w:val="00DE145E"/>
    <w:rsid w:val="00DE1470"/>
    <w:rsid w:val="00DE14C2"/>
    <w:rsid w:val="00DE1E03"/>
    <w:rsid w:val="00DE2059"/>
    <w:rsid w:val="00DE2306"/>
    <w:rsid w:val="00DE24E5"/>
    <w:rsid w:val="00DE28B0"/>
    <w:rsid w:val="00DE4702"/>
    <w:rsid w:val="00DE4DE7"/>
    <w:rsid w:val="00DE60C5"/>
    <w:rsid w:val="00DE66BA"/>
    <w:rsid w:val="00DE683A"/>
    <w:rsid w:val="00DE6BFD"/>
    <w:rsid w:val="00DE73C5"/>
    <w:rsid w:val="00DE7A4C"/>
    <w:rsid w:val="00DE7F7B"/>
    <w:rsid w:val="00DF00FD"/>
    <w:rsid w:val="00DF0D2D"/>
    <w:rsid w:val="00DF15F2"/>
    <w:rsid w:val="00DF1634"/>
    <w:rsid w:val="00DF18A3"/>
    <w:rsid w:val="00DF218F"/>
    <w:rsid w:val="00DF23CF"/>
    <w:rsid w:val="00DF3C5B"/>
    <w:rsid w:val="00DF43A0"/>
    <w:rsid w:val="00DF45D0"/>
    <w:rsid w:val="00DF48A9"/>
    <w:rsid w:val="00DF60D4"/>
    <w:rsid w:val="00DF663B"/>
    <w:rsid w:val="00DF67F4"/>
    <w:rsid w:val="00DF6E23"/>
    <w:rsid w:val="00DF6FE6"/>
    <w:rsid w:val="00DF7101"/>
    <w:rsid w:val="00E00D99"/>
    <w:rsid w:val="00E01610"/>
    <w:rsid w:val="00E01B1B"/>
    <w:rsid w:val="00E023D6"/>
    <w:rsid w:val="00E02DEE"/>
    <w:rsid w:val="00E02FF3"/>
    <w:rsid w:val="00E03187"/>
    <w:rsid w:val="00E03937"/>
    <w:rsid w:val="00E03C18"/>
    <w:rsid w:val="00E03D14"/>
    <w:rsid w:val="00E03FDE"/>
    <w:rsid w:val="00E0489F"/>
    <w:rsid w:val="00E05BB8"/>
    <w:rsid w:val="00E07A06"/>
    <w:rsid w:val="00E07F14"/>
    <w:rsid w:val="00E10D53"/>
    <w:rsid w:val="00E10DD2"/>
    <w:rsid w:val="00E11569"/>
    <w:rsid w:val="00E115DF"/>
    <w:rsid w:val="00E1250D"/>
    <w:rsid w:val="00E126F0"/>
    <w:rsid w:val="00E13313"/>
    <w:rsid w:val="00E1335C"/>
    <w:rsid w:val="00E133D7"/>
    <w:rsid w:val="00E134A5"/>
    <w:rsid w:val="00E144B0"/>
    <w:rsid w:val="00E14CC1"/>
    <w:rsid w:val="00E15255"/>
    <w:rsid w:val="00E157D7"/>
    <w:rsid w:val="00E15C6B"/>
    <w:rsid w:val="00E163F3"/>
    <w:rsid w:val="00E16B5E"/>
    <w:rsid w:val="00E16CCF"/>
    <w:rsid w:val="00E176C5"/>
    <w:rsid w:val="00E17986"/>
    <w:rsid w:val="00E1798A"/>
    <w:rsid w:val="00E2009D"/>
    <w:rsid w:val="00E20C76"/>
    <w:rsid w:val="00E21C3B"/>
    <w:rsid w:val="00E222FA"/>
    <w:rsid w:val="00E2264D"/>
    <w:rsid w:val="00E23A7C"/>
    <w:rsid w:val="00E23DBC"/>
    <w:rsid w:val="00E24042"/>
    <w:rsid w:val="00E24AFC"/>
    <w:rsid w:val="00E252D2"/>
    <w:rsid w:val="00E25463"/>
    <w:rsid w:val="00E2628E"/>
    <w:rsid w:val="00E268DD"/>
    <w:rsid w:val="00E26939"/>
    <w:rsid w:val="00E26DBF"/>
    <w:rsid w:val="00E270E7"/>
    <w:rsid w:val="00E27D82"/>
    <w:rsid w:val="00E306E7"/>
    <w:rsid w:val="00E30764"/>
    <w:rsid w:val="00E307B3"/>
    <w:rsid w:val="00E319DA"/>
    <w:rsid w:val="00E31AA6"/>
    <w:rsid w:val="00E32526"/>
    <w:rsid w:val="00E32AF1"/>
    <w:rsid w:val="00E32C71"/>
    <w:rsid w:val="00E32E89"/>
    <w:rsid w:val="00E33604"/>
    <w:rsid w:val="00E3381E"/>
    <w:rsid w:val="00E34593"/>
    <w:rsid w:val="00E34C63"/>
    <w:rsid w:val="00E34FB5"/>
    <w:rsid w:val="00E34FD7"/>
    <w:rsid w:val="00E35C73"/>
    <w:rsid w:val="00E35C94"/>
    <w:rsid w:val="00E36A67"/>
    <w:rsid w:val="00E36F9E"/>
    <w:rsid w:val="00E3723F"/>
    <w:rsid w:val="00E3784B"/>
    <w:rsid w:val="00E37AA7"/>
    <w:rsid w:val="00E37E8E"/>
    <w:rsid w:val="00E408BE"/>
    <w:rsid w:val="00E41B91"/>
    <w:rsid w:val="00E4231A"/>
    <w:rsid w:val="00E425DE"/>
    <w:rsid w:val="00E42F0D"/>
    <w:rsid w:val="00E4366F"/>
    <w:rsid w:val="00E4397C"/>
    <w:rsid w:val="00E441B0"/>
    <w:rsid w:val="00E45B5D"/>
    <w:rsid w:val="00E46E7D"/>
    <w:rsid w:val="00E470DF"/>
    <w:rsid w:val="00E4719E"/>
    <w:rsid w:val="00E47E5A"/>
    <w:rsid w:val="00E5002D"/>
    <w:rsid w:val="00E502DC"/>
    <w:rsid w:val="00E50349"/>
    <w:rsid w:val="00E50836"/>
    <w:rsid w:val="00E50F70"/>
    <w:rsid w:val="00E510A3"/>
    <w:rsid w:val="00E511D3"/>
    <w:rsid w:val="00E512A7"/>
    <w:rsid w:val="00E51A21"/>
    <w:rsid w:val="00E51D47"/>
    <w:rsid w:val="00E51F65"/>
    <w:rsid w:val="00E535C1"/>
    <w:rsid w:val="00E53B18"/>
    <w:rsid w:val="00E5414E"/>
    <w:rsid w:val="00E547DE"/>
    <w:rsid w:val="00E54DFD"/>
    <w:rsid w:val="00E55169"/>
    <w:rsid w:val="00E5714C"/>
    <w:rsid w:val="00E57551"/>
    <w:rsid w:val="00E60802"/>
    <w:rsid w:val="00E61C49"/>
    <w:rsid w:val="00E61E68"/>
    <w:rsid w:val="00E62A73"/>
    <w:rsid w:val="00E62E09"/>
    <w:rsid w:val="00E63095"/>
    <w:rsid w:val="00E6374C"/>
    <w:rsid w:val="00E63B86"/>
    <w:rsid w:val="00E63BF8"/>
    <w:rsid w:val="00E6451C"/>
    <w:rsid w:val="00E6462C"/>
    <w:rsid w:val="00E648B9"/>
    <w:rsid w:val="00E6496B"/>
    <w:rsid w:val="00E65285"/>
    <w:rsid w:val="00E6544F"/>
    <w:rsid w:val="00E65C7F"/>
    <w:rsid w:val="00E65D3E"/>
    <w:rsid w:val="00E67BEA"/>
    <w:rsid w:val="00E702E7"/>
    <w:rsid w:val="00E70486"/>
    <w:rsid w:val="00E7064E"/>
    <w:rsid w:val="00E70D43"/>
    <w:rsid w:val="00E71254"/>
    <w:rsid w:val="00E71664"/>
    <w:rsid w:val="00E71E65"/>
    <w:rsid w:val="00E71FE1"/>
    <w:rsid w:val="00E72A8B"/>
    <w:rsid w:val="00E731FF"/>
    <w:rsid w:val="00E7335B"/>
    <w:rsid w:val="00E735C1"/>
    <w:rsid w:val="00E7367F"/>
    <w:rsid w:val="00E73BF9"/>
    <w:rsid w:val="00E73C4D"/>
    <w:rsid w:val="00E73E51"/>
    <w:rsid w:val="00E743F0"/>
    <w:rsid w:val="00E74B94"/>
    <w:rsid w:val="00E75E02"/>
    <w:rsid w:val="00E7775E"/>
    <w:rsid w:val="00E77BFA"/>
    <w:rsid w:val="00E77D08"/>
    <w:rsid w:val="00E81B2A"/>
    <w:rsid w:val="00E81B44"/>
    <w:rsid w:val="00E81D39"/>
    <w:rsid w:val="00E822E0"/>
    <w:rsid w:val="00E829BA"/>
    <w:rsid w:val="00E83E2D"/>
    <w:rsid w:val="00E8404C"/>
    <w:rsid w:val="00E841A0"/>
    <w:rsid w:val="00E84FB9"/>
    <w:rsid w:val="00E85CC9"/>
    <w:rsid w:val="00E85ECC"/>
    <w:rsid w:val="00E877C0"/>
    <w:rsid w:val="00E9081D"/>
    <w:rsid w:val="00E93A0D"/>
    <w:rsid w:val="00E942AC"/>
    <w:rsid w:val="00E96095"/>
    <w:rsid w:val="00E96198"/>
    <w:rsid w:val="00E96270"/>
    <w:rsid w:val="00E96AC4"/>
    <w:rsid w:val="00E96C35"/>
    <w:rsid w:val="00E96D34"/>
    <w:rsid w:val="00E976A3"/>
    <w:rsid w:val="00E97D73"/>
    <w:rsid w:val="00EA0321"/>
    <w:rsid w:val="00EA0901"/>
    <w:rsid w:val="00EA0DDB"/>
    <w:rsid w:val="00EA1BF6"/>
    <w:rsid w:val="00EA1E3D"/>
    <w:rsid w:val="00EA290E"/>
    <w:rsid w:val="00EA2ED0"/>
    <w:rsid w:val="00EA306D"/>
    <w:rsid w:val="00EA3A0C"/>
    <w:rsid w:val="00EA42C0"/>
    <w:rsid w:val="00EA4A70"/>
    <w:rsid w:val="00EA4BA0"/>
    <w:rsid w:val="00EA4E61"/>
    <w:rsid w:val="00EA4EF2"/>
    <w:rsid w:val="00EA6DB7"/>
    <w:rsid w:val="00EB0778"/>
    <w:rsid w:val="00EB08C4"/>
    <w:rsid w:val="00EB17EC"/>
    <w:rsid w:val="00EB1E26"/>
    <w:rsid w:val="00EB1E85"/>
    <w:rsid w:val="00EB1FE6"/>
    <w:rsid w:val="00EB3F14"/>
    <w:rsid w:val="00EB471A"/>
    <w:rsid w:val="00EB47F1"/>
    <w:rsid w:val="00EB4885"/>
    <w:rsid w:val="00EB4B31"/>
    <w:rsid w:val="00EB4BB5"/>
    <w:rsid w:val="00EB4C45"/>
    <w:rsid w:val="00EB4C8C"/>
    <w:rsid w:val="00EB4F3E"/>
    <w:rsid w:val="00EB5124"/>
    <w:rsid w:val="00EB5168"/>
    <w:rsid w:val="00EB5A5A"/>
    <w:rsid w:val="00EB6677"/>
    <w:rsid w:val="00EB79A3"/>
    <w:rsid w:val="00EC0005"/>
    <w:rsid w:val="00EC1A79"/>
    <w:rsid w:val="00EC1E5F"/>
    <w:rsid w:val="00EC2486"/>
    <w:rsid w:val="00EC26E2"/>
    <w:rsid w:val="00EC3B6E"/>
    <w:rsid w:val="00EC3ED0"/>
    <w:rsid w:val="00EC451D"/>
    <w:rsid w:val="00EC4BFF"/>
    <w:rsid w:val="00EC4E28"/>
    <w:rsid w:val="00EC4E82"/>
    <w:rsid w:val="00EC4EA6"/>
    <w:rsid w:val="00EC5285"/>
    <w:rsid w:val="00EC544D"/>
    <w:rsid w:val="00EC5D2F"/>
    <w:rsid w:val="00EC630F"/>
    <w:rsid w:val="00EC6B8E"/>
    <w:rsid w:val="00EC755A"/>
    <w:rsid w:val="00EC7C42"/>
    <w:rsid w:val="00EC7DC6"/>
    <w:rsid w:val="00ED06F6"/>
    <w:rsid w:val="00ED1A99"/>
    <w:rsid w:val="00ED224A"/>
    <w:rsid w:val="00ED2A2C"/>
    <w:rsid w:val="00ED2EC3"/>
    <w:rsid w:val="00ED3014"/>
    <w:rsid w:val="00ED35DC"/>
    <w:rsid w:val="00ED3806"/>
    <w:rsid w:val="00ED4599"/>
    <w:rsid w:val="00ED47E2"/>
    <w:rsid w:val="00ED5B4A"/>
    <w:rsid w:val="00ED5D69"/>
    <w:rsid w:val="00ED5F46"/>
    <w:rsid w:val="00ED7211"/>
    <w:rsid w:val="00ED7826"/>
    <w:rsid w:val="00ED7B64"/>
    <w:rsid w:val="00EE0744"/>
    <w:rsid w:val="00EE0E07"/>
    <w:rsid w:val="00EE0E33"/>
    <w:rsid w:val="00EE36AC"/>
    <w:rsid w:val="00EE382A"/>
    <w:rsid w:val="00EE4033"/>
    <w:rsid w:val="00EE5131"/>
    <w:rsid w:val="00EE5478"/>
    <w:rsid w:val="00EE55A2"/>
    <w:rsid w:val="00EE5966"/>
    <w:rsid w:val="00EE656A"/>
    <w:rsid w:val="00EE6B54"/>
    <w:rsid w:val="00EE7515"/>
    <w:rsid w:val="00EE7ED1"/>
    <w:rsid w:val="00EF05A2"/>
    <w:rsid w:val="00EF0749"/>
    <w:rsid w:val="00EF08D4"/>
    <w:rsid w:val="00EF1528"/>
    <w:rsid w:val="00EF1835"/>
    <w:rsid w:val="00EF1922"/>
    <w:rsid w:val="00EF19B5"/>
    <w:rsid w:val="00EF2693"/>
    <w:rsid w:val="00EF328D"/>
    <w:rsid w:val="00EF3B2E"/>
    <w:rsid w:val="00EF3DE7"/>
    <w:rsid w:val="00EF7805"/>
    <w:rsid w:val="00F007C5"/>
    <w:rsid w:val="00F01759"/>
    <w:rsid w:val="00F01F7C"/>
    <w:rsid w:val="00F02147"/>
    <w:rsid w:val="00F024EA"/>
    <w:rsid w:val="00F02C4E"/>
    <w:rsid w:val="00F03273"/>
    <w:rsid w:val="00F048EF"/>
    <w:rsid w:val="00F061EA"/>
    <w:rsid w:val="00F06A6F"/>
    <w:rsid w:val="00F06CA5"/>
    <w:rsid w:val="00F07762"/>
    <w:rsid w:val="00F10585"/>
    <w:rsid w:val="00F106F2"/>
    <w:rsid w:val="00F10BFC"/>
    <w:rsid w:val="00F10C7F"/>
    <w:rsid w:val="00F11332"/>
    <w:rsid w:val="00F115AB"/>
    <w:rsid w:val="00F115DB"/>
    <w:rsid w:val="00F11687"/>
    <w:rsid w:val="00F11946"/>
    <w:rsid w:val="00F11F52"/>
    <w:rsid w:val="00F120A9"/>
    <w:rsid w:val="00F12190"/>
    <w:rsid w:val="00F12616"/>
    <w:rsid w:val="00F12AA1"/>
    <w:rsid w:val="00F12AE4"/>
    <w:rsid w:val="00F133A6"/>
    <w:rsid w:val="00F13B9E"/>
    <w:rsid w:val="00F148D4"/>
    <w:rsid w:val="00F14B45"/>
    <w:rsid w:val="00F16A52"/>
    <w:rsid w:val="00F16E07"/>
    <w:rsid w:val="00F17264"/>
    <w:rsid w:val="00F17971"/>
    <w:rsid w:val="00F17FD5"/>
    <w:rsid w:val="00F20544"/>
    <w:rsid w:val="00F207B2"/>
    <w:rsid w:val="00F2161E"/>
    <w:rsid w:val="00F21695"/>
    <w:rsid w:val="00F2216C"/>
    <w:rsid w:val="00F23A2C"/>
    <w:rsid w:val="00F23CD1"/>
    <w:rsid w:val="00F248DA"/>
    <w:rsid w:val="00F24D26"/>
    <w:rsid w:val="00F24DFB"/>
    <w:rsid w:val="00F24E94"/>
    <w:rsid w:val="00F26AB1"/>
    <w:rsid w:val="00F26CD0"/>
    <w:rsid w:val="00F26EAB"/>
    <w:rsid w:val="00F276B7"/>
    <w:rsid w:val="00F277DE"/>
    <w:rsid w:val="00F27976"/>
    <w:rsid w:val="00F279FA"/>
    <w:rsid w:val="00F27FB0"/>
    <w:rsid w:val="00F30796"/>
    <w:rsid w:val="00F30C25"/>
    <w:rsid w:val="00F30D5A"/>
    <w:rsid w:val="00F3191B"/>
    <w:rsid w:val="00F3287D"/>
    <w:rsid w:val="00F34650"/>
    <w:rsid w:val="00F3494A"/>
    <w:rsid w:val="00F3630A"/>
    <w:rsid w:val="00F3673D"/>
    <w:rsid w:val="00F368C7"/>
    <w:rsid w:val="00F368CD"/>
    <w:rsid w:val="00F36976"/>
    <w:rsid w:val="00F36E99"/>
    <w:rsid w:val="00F40394"/>
    <w:rsid w:val="00F413BE"/>
    <w:rsid w:val="00F413FF"/>
    <w:rsid w:val="00F419B1"/>
    <w:rsid w:val="00F425E9"/>
    <w:rsid w:val="00F42B85"/>
    <w:rsid w:val="00F44783"/>
    <w:rsid w:val="00F45530"/>
    <w:rsid w:val="00F466D8"/>
    <w:rsid w:val="00F468DE"/>
    <w:rsid w:val="00F47A1A"/>
    <w:rsid w:val="00F47E87"/>
    <w:rsid w:val="00F50A09"/>
    <w:rsid w:val="00F50D46"/>
    <w:rsid w:val="00F50DBE"/>
    <w:rsid w:val="00F511E6"/>
    <w:rsid w:val="00F5181D"/>
    <w:rsid w:val="00F52948"/>
    <w:rsid w:val="00F52A5C"/>
    <w:rsid w:val="00F537DB"/>
    <w:rsid w:val="00F541BB"/>
    <w:rsid w:val="00F54211"/>
    <w:rsid w:val="00F546EE"/>
    <w:rsid w:val="00F550AB"/>
    <w:rsid w:val="00F55504"/>
    <w:rsid w:val="00F55760"/>
    <w:rsid w:val="00F55EF9"/>
    <w:rsid w:val="00F55F4D"/>
    <w:rsid w:val="00F56380"/>
    <w:rsid w:val="00F56E9C"/>
    <w:rsid w:val="00F57294"/>
    <w:rsid w:val="00F5736B"/>
    <w:rsid w:val="00F578D2"/>
    <w:rsid w:val="00F57A6B"/>
    <w:rsid w:val="00F57E75"/>
    <w:rsid w:val="00F604A7"/>
    <w:rsid w:val="00F60647"/>
    <w:rsid w:val="00F60A5A"/>
    <w:rsid w:val="00F60ADC"/>
    <w:rsid w:val="00F60EED"/>
    <w:rsid w:val="00F61172"/>
    <w:rsid w:val="00F61CC2"/>
    <w:rsid w:val="00F62C6C"/>
    <w:rsid w:val="00F6370F"/>
    <w:rsid w:val="00F6393D"/>
    <w:rsid w:val="00F63D24"/>
    <w:rsid w:val="00F6444B"/>
    <w:rsid w:val="00F645B7"/>
    <w:rsid w:val="00F646A7"/>
    <w:rsid w:val="00F65274"/>
    <w:rsid w:val="00F65D86"/>
    <w:rsid w:val="00F66880"/>
    <w:rsid w:val="00F66A4B"/>
    <w:rsid w:val="00F70F50"/>
    <w:rsid w:val="00F730CE"/>
    <w:rsid w:val="00F73A13"/>
    <w:rsid w:val="00F73D78"/>
    <w:rsid w:val="00F74829"/>
    <w:rsid w:val="00F751F1"/>
    <w:rsid w:val="00F758C4"/>
    <w:rsid w:val="00F75A6A"/>
    <w:rsid w:val="00F75FBD"/>
    <w:rsid w:val="00F77559"/>
    <w:rsid w:val="00F8012D"/>
    <w:rsid w:val="00F803CB"/>
    <w:rsid w:val="00F8062E"/>
    <w:rsid w:val="00F8064B"/>
    <w:rsid w:val="00F80F55"/>
    <w:rsid w:val="00F814D6"/>
    <w:rsid w:val="00F81D7C"/>
    <w:rsid w:val="00F827B9"/>
    <w:rsid w:val="00F828AE"/>
    <w:rsid w:val="00F82BAB"/>
    <w:rsid w:val="00F83158"/>
    <w:rsid w:val="00F83A1D"/>
    <w:rsid w:val="00F83D4E"/>
    <w:rsid w:val="00F846E6"/>
    <w:rsid w:val="00F857A0"/>
    <w:rsid w:val="00F857FD"/>
    <w:rsid w:val="00F86D55"/>
    <w:rsid w:val="00F87CA3"/>
    <w:rsid w:val="00F87E27"/>
    <w:rsid w:val="00F90308"/>
    <w:rsid w:val="00F91400"/>
    <w:rsid w:val="00F9205E"/>
    <w:rsid w:val="00F92C90"/>
    <w:rsid w:val="00F932BA"/>
    <w:rsid w:val="00F93B2D"/>
    <w:rsid w:val="00F9428E"/>
    <w:rsid w:val="00F9442F"/>
    <w:rsid w:val="00F94730"/>
    <w:rsid w:val="00F94D56"/>
    <w:rsid w:val="00F94DED"/>
    <w:rsid w:val="00F95B1F"/>
    <w:rsid w:val="00F96437"/>
    <w:rsid w:val="00F96BB5"/>
    <w:rsid w:val="00FA00DB"/>
    <w:rsid w:val="00FA14AB"/>
    <w:rsid w:val="00FA1663"/>
    <w:rsid w:val="00FA2526"/>
    <w:rsid w:val="00FA2F7D"/>
    <w:rsid w:val="00FA3A43"/>
    <w:rsid w:val="00FA4437"/>
    <w:rsid w:val="00FA4AA7"/>
    <w:rsid w:val="00FA4D9C"/>
    <w:rsid w:val="00FA55DC"/>
    <w:rsid w:val="00FA6762"/>
    <w:rsid w:val="00FA7591"/>
    <w:rsid w:val="00FA79A0"/>
    <w:rsid w:val="00FA7D0C"/>
    <w:rsid w:val="00FA7EC0"/>
    <w:rsid w:val="00FA7FDB"/>
    <w:rsid w:val="00FB043E"/>
    <w:rsid w:val="00FB0D65"/>
    <w:rsid w:val="00FB1917"/>
    <w:rsid w:val="00FB1FA2"/>
    <w:rsid w:val="00FB22E6"/>
    <w:rsid w:val="00FB41DC"/>
    <w:rsid w:val="00FB5587"/>
    <w:rsid w:val="00FB58B7"/>
    <w:rsid w:val="00FB5910"/>
    <w:rsid w:val="00FB6B0C"/>
    <w:rsid w:val="00FC0E0B"/>
    <w:rsid w:val="00FC193F"/>
    <w:rsid w:val="00FC3256"/>
    <w:rsid w:val="00FC36B4"/>
    <w:rsid w:val="00FC36F3"/>
    <w:rsid w:val="00FC3C40"/>
    <w:rsid w:val="00FC41E9"/>
    <w:rsid w:val="00FC4C3F"/>
    <w:rsid w:val="00FC58DF"/>
    <w:rsid w:val="00FC643A"/>
    <w:rsid w:val="00FC6823"/>
    <w:rsid w:val="00FC6B48"/>
    <w:rsid w:val="00FC7477"/>
    <w:rsid w:val="00FC79F6"/>
    <w:rsid w:val="00FC7E75"/>
    <w:rsid w:val="00FD003B"/>
    <w:rsid w:val="00FD0944"/>
    <w:rsid w:val="00FD0B10"/>
    <w:rsid w:val="00FD15F0"/>
    <w:rsid w:val="00FD1685"/>
    <w:rsid w:val="00FD18A9"/>
    <w:rsid w:val="00FD220F"/>
    <w:rsid w:val="00FD287D"/>
    <w:rsid w:val="00FD2E28"/>
    <w:rsid w:val="00FD321F"/>
    <w:rsid w:val="00FD40AD"/>
    <w:rsid w:val="00FD50C1"/>
    <w:rsid w:val="00FD53F0"/>
    <w:rsid w:val="00FD5633"/>
    <w:rsid w:val="00FD68F0"/>
    <w:rsid w:val="00FD6912"/>
    <w:rsid w:val="00FD715E"/>
    <w:rsid w:val="00FD7747"/>
    <w:rsid w:val="00FD7C45"/>
    <w:rsid w:val="00FE1398"/>
    <w:rsid w:val="00FE14FB"/>
    <w:rsid w:val="00FE159F"/>
    <w:rsid w:val="00FE1F08"/>
    <w:rsid w:val="00FE2FA9"/>
    <w:rsid w:val="00FE305D"/>
    <w:rsid w:val="00FE3877"/>
    <w:rsid w:val="00FE38EE"/>
    <w:rsid w:val="00FE524A"/>
    <w:rsid w:val="00FE5CEC"/>
    <w:rsid w:val="00FE5D64"/>
    <w:rsid w:val="00FE6C16"/>
    <w:rsid w:val="00FE7C8A"/>
    <w:rsid w:val="00FF0651"/>
    <w:rsid w:val="00FF15B3"/>
    <w:rsid w:val="00FF239C"/>
    <w:rsid w:val="00FF3002"/>
    <w:rsid w:val="00FF3088"/>
    <w:rsid w:val="00FF3097"/>
    <w:rsid w:val="00FF31CA"/>
    <w:rsid w:val="00FF375B"/>
    <w:rsid w:val="00FF3E5C"/>
    <w:rsid w:val="00FF4F0F"/>
    <w:rsid w:val="00FF4FBF"/>
    <w:rsid w:val="00FF58B6"/>
    <w:rsid w:val="00FF5962"/>
    <w:rsid w:val="00FF705C"/>
    <w:rsid w:val="00FF789F"/>
    <w:rsid w:val="00FF793B"/>
    <w:rsid w:val="010046E5"/>
    <w:rsid w:val="01692974"/>
    <w:rsid w:val="018B732D"/>
    <w:rsid w:val="01C20892"/>
    <w:rsid w:val="01E512C4"/>
    <w:rsid w:val="01E87028"/>
    <w:rsid w:val="01FB655F"/>
    <w:rsid w:val="022D4DF0"/>
    <w:rsid w:val="023A349F"/>
    <w:rsid w:val="023C4EA3"/>
    <w:rsid w:val="024D054B"/>
    <w:rsid w:val="026F71D9"/>
    <w:rsid w:val="02AB6609"/>
    <w:rsid w:val="02B66650"/>
    <w:rsid w:val="02D02D64"/>
    <w:rsid w:val="02DE238B"/>
    <w:rsid w:val="02EC3A21"/>
    <w:rsid w:val="03021BD9"/>
    <w:rsid w:val="03127B56"/>
    <w:rsid w:val="03353560"/>
    <w:rsid w:val="034021B7"/>
    <w:rsid w:val="034176AA"/>
    <w:rsid w:val="034241E8"/>
    <w:rsid w:val="03522072"/>
    <w:rsid w:val="036615BB"/>
    <w:rsid w:val="03734098"/>
    <w:rsid w:val="03B00894"/>
    <w:rsid w:val="03B76EB7"/>
    <w:rsid w:val="03E309A7"/>
    <w:rsid w:val="03E70A78"/>
    <w:rsid w:val="03E721AC"/>
    <w:rsid w:val="03E72230"/>
    <w:rsid w:val="03E9001A"/>
    <w:rsid w:val="03F70A63"/>
    <w:rsid w:val="04490BD3"/>
    <w:rsid w:val="045D35BD"/>
    <w:rsid w:val="0473471A"/>
    <w:rsid w:val="04B6190A"/>
    <w:rsid w:val="04D073E9"/>
    <w:rsid w:val="04D175B6"/>
    <w:rsid w:val="04E56F8B"/>
    <w:rsid w:val="0523207D"/>
    <w:rsid w:val="0559128B"/>
    <w:rsid w:val="05980367"/>
    <w:rsid w:val="05E5610E"/>
    <w:rsid w:val="063935D2"/>
    <w:rsid w:val="06462A59"/>
    <w:rsid w:val="06540F4C"/>
    <w:rsid w:val="06675835"/>
    <w:rsid w:val="06806AF7"/>
    <w:rsid w:val="06C0552B"/>
    <w:rsid w:val="06D649BF"/>
    <w:rsid w:val="06FE1C9B"/>
    <w:rsid w:val="071A6676"/>
    <w:rsid w:val="07474692"/>
    <w:rsid w:val="074E2AD8"/>
    <w:rsid w:val="078A4350"/>
    <w:rsid w:val="078B6048"/>
    <w:rsid w:val="07A1281B"/>
    <w:rsid w:val="07A4589D"/>
    <w:rsid w:val="07B03478"/>
    <w:rsid w:val="07DB62BB"/>
    <w:rsid w:val="07EB6B93"/>
    <w:rsid w:val="07FA091B"/>
    <w:rsid w:val="082E6CB3"/>
    <w:rsid w:val="083B4DEF"/>
    <w:rsid w:val="08A34C9F"/>
    <w:rsid w:val="08AA6B24"/>
    <w:rsid w:val="090970C6"/>
    <w:rsid w:val="090A4091"/>
    <w:rsid w:val="090E60FA"/>
    <w:rsid w:val="095F021D"/>
    <w:rsid w:val="0960280E"/>
    <w:rsid w:val="096857BD"/>
    <w:rsid w:val="09743274"/>
    <w:rsid w:val="09B65381"/>
    <w:rsid w:val="09D63748"/>
    <w:rsid w:val="09DA595F"/>
    <w:rsid w:val="09F53FB6"/>
    <w:rsid w:val="09FF5130"/>
    <w:rsid w:val="0A097D6F"/>
    <w:rsid w:val="0A115F8D"/>
    <w:rsid w:val="0A2C4E36"/>
    <w:rsid w:val="0A2D49C9"/>
    <w:rsid w:val="0A497B17"/>
    <w:rsid w:val="0A62316F"/>
    <w:rsid w:val="0A7C2D8D"/>
    <w:rsid w:val="0A92192A"/>
    <w:rsid w:val="0AD430C4"/>
    <w:rsid w:val="0ADA17AB"/>
    <w:rsid w:val="0AEB7B8C"/>
    <w:rsid w:val="0AEF3C59"/>
    <w:rsid w:val="0AFC7343"/>
    <w:rsid w:val="0B247131"/>
    <w:rsid w:val="0B2F4697"/>
    <w:rsid w:val="0B590A72"/>
    <w:rsid w:val="0B612466"/>
    <w:rsid w:val="0B6A5E33"/>
    <w:rsid w:val="0B805016"/>
    <w:rsid w:val="0B942E7B"/>
    <w:rsid w:val="0BBD1D8D"/>
    <w:rsid w:val="0BCE5B9F"/>
    <w:rsid w:val="0BF659B9"/>
    <w:rsid w:val="0C00413A"/>
    <w:rsid w:val="0C360AA6"/>
    <w:rsid w:val="0C396F42"/>
    <w:rsid w:val="0C6B238B"/>
    <w:rsid w:val="0C7C43E5"/>
    <w:rsid w:val="0CC14470"/>
    <w:rsid w:val="0CC440FF"/>
    <w:rsid w:val="0D003690"/>
    <w:rsid w:val="0D3C5948"/>
    <w:rsid w:val="0D8A6960"/>
    <w:rsid w:val="0DAF44E4"/>
    <w:rsid w:val="0DBA001A"/>
    <w:rsid w:val="0E1D3E90"/>
    <w:rsid w:val="0E2232DF"/>
    <w:rsid w:val="0E33302D"/>
    <w:rsid w:val="0E367327"/>
    <w:rsid w:val="0E6035CB"/>
    <w:rsid w:val="0E970B59"/>
    <w:rsid w:val="0EA81C18"/>
    <w:rsid w:val="0F0121F4"/>
    <w:rsid w:val="0FBF6000"/>
    <w:rsid w:val="0FD128F3"/>
    <w:rsid w:val="0FE83ED5"/>
    <w:rsid w:val="0FE84A6C"/>
    <w:rsid w:val="0FEB2392"/>
    <w:rsid w:val="0FF36889"/>
    <w:rsid w:val="10352D1D"/>
    <w:rsid w:val="10382270"/>
    <w:rsid w:val="106A76F9"/>
    <w:rsid w:val="10790798"/>
    <w:rsid w:val="10F04643"/>
    <w:rsid w:val="10F251B4"/>
    <w:rsid w:val="10FF7A10"/>
    <w:rsid w:val="114A7534"/>
    <w:rsid w:val="12001EA1"/>
    <w:rsid w:val="12011A9C"/>
    <w:rsid w:val="12106960"/>
    <w:rsid w:val="1247555C"/>
    <w:rsid w:val="12672EF9"/>
    <w:rsid w:val="1287116E"/>
    <w:rsid w:val="12982437"/>
    <w:rsid w:val="12A830A0"/>
    <w:rsid w:val="13225CC8"/>
    <w:rsid w:val="137A10F5"/>
    <w:rsid w:val="139B392D"/>
    <w:rsid w:val="13DB51F5"/>
    <w:rsid w:val="1406586A"/>
    <w:rsid w:val="143D6B26"/>
    <w:rsid w:val="148964F9"/>
    <w:rsid w:val="148B010E"/>
    <w:rsid w:val="14B6432C"/>
    <w:rsid w:val="14B82AD3"/>
    <w:rsid w:val="14CA3F21"/>
    <w:rsid w:val="14CD7DB5"/>
    <w:rsid w:val="152A5B7D"/>
    <w:rsid w:val="15493027"/>
    <w:rsid w:val="15674046"/>
    <w:rsid w:val="15C803E1"/>
    <w:rsid w:val="15D04EE0"/>
    <w:rsid w:val="15E61184"/>
    <w:rsid w:val="15F80BBF"/>
    <w:rsid w:val="16114CFF"/>
    <w:rsid w:val="16146F5A"/>
    <w:rsid w:val="162527DF"/>
    <w:rsid w:val="165759E8"/>
    <w:rsid w:val="1664782F"/>
    <w:rsid w:val="168F5A0B"/>
    <w:rsid w:val="16970396"/>
    <w:rsid w:val="16C81C9B"/>
    <w:rsid w:val="16F2307E"/>
    <w:rsid w:val="17153A0D"/>
    <w:rsid w:val="172E07C6"/>
    <w:rsid w:val="1743498B"/>
    <w:rsid w:val="175E6162"/>
    <w:rsid w:val="17727CC7"/>
    <w:rsid w:val="17843D26"/>
    <w:rsid w:val="17F84A15"/>
    <w:rsid w:val="18550AE0"/>
    <w:rsid w:val="186371B0"/>
    <w:rsid w:val="188F0214"/>
    <w:rsid w:val="18942BC4"/>
    <w:rsid w:val="18B058F6"/>
    <w:rsid w:val="18D332DE"/>
    <w:rsid w:val="18E96D43"/>
    <w:rsid w:val="19317F97"/>
    <w:rsid w:val="1961536D"/>
    <w:rsid w:val="19807C5F"/>
    <w:rsid w:val="198D7D55"/>
    <w:rsid w:val="199641D5"/>
    <w:rsid w:val="19B84728"/>
    <w:rsid w:val="19C6447C"/>
    <w:rsid w:val="19CD607F"/>
    <w:rsid w:val="19EC024B"/>
    <w:rsid w:val="1A0E1ECE"/>
    <w:rsid w:val="1A166B43"/>
    <w:rsid w:val="1A1C3CC6"/>
    <w:rsid w:val="1A1D7D8D"/>
    <w:rsid w:val="1A2B3622"/>
    <w:rsid w:val="1A300C67"/>
    <w:rsid w:val="1A5E2DD7"/>
    <w:rsid w:val="1A9D2457"/>
    <w:rsid w:val="1ABE2977"/>
    <w:rsid w:val="1AE14CDF"/>
    <w:rsid w:val="1AE6471E"/>
    <w:rsid w:val="1B0745DD"/>
    <w:rsid w:val="1B1D01B6"/>
    <w:rsid w:val="1B7230E7"/>
    <w:rsid w:val="1B757AF4"/>
    <w:rsid w:val="1BB63E9E"/>
    <w:rsid w:val="1BBF1A35"/>
    <w:rsid w:val="1BC637B6"/>
    <w:rsid w:val="1BC964AF"/>
    <w:rsid w:val="1C0A3483"/>
    <w:rsid w:val="1C156263"/>
    <w:rsid w:val="1C2C0FCD"/>
    <w:rsid w:val="1C2E5AE7"/>
    <w:rsid w:val="1C366D69"/>
    <w:rsid w:val="1C750952"/>
    <w:rsid w:val="1CB7489D"/>
    <w:rsid w:val="1CC5442D"/>
    <w:rsid w:val="1CC71E8B"/>
    <w:rsid w:val="1CC9133B"/>
    <w:rsid w:val="1D354E01"/>
    <w:rsid w:val="1D537190"/>
    <w:rsid w:val="1DAD3BCF"/>
    <w:rsid w:val="1E14345E"/>
    <w:rsid w:val="1E812B95"/>
    <w:rsid w:val="1EB06EA3"/>
    <w:rsid w:val="1F0A557F"/>
    <w:rsid w:val="1F0D4DA0"/>
    <w:rsid w:val="1F102157"/>
    <w:rsid w:val="1F1B5AF2"/>
    <w:rsid w:val="1F362DB7"/>
    <w:rsid w:val="1F7C3DB0"/>
    <w:rsid w:val="1FA4059E"/>
    <w:rsid w:val="1FD743EB"/>
    <w:rsid w:val="1FDE221F"/>
    <w:rsid w:val="1FED5348"/>
    <w:rsid w:val="203A17DB"/>
    <w:rsid w:val="20465386"/>
    <w:rsid w:val="20512653"/>
    <w:rsid w:val="20590D37"/>
    <w:rsid w:val="206A3A62"/>
    <w:rsid w:val="207F0EB3"/>
    <w:rsid w:val="20847B81"/>
    <w:rsid w:val="20D7597E"/>
    <w:rsid w:val="20E808CE"/>
    <w:rsid w:val="21056EBA"/>
    <w:rsid w:val="21190420"/>
    <w:rsid w:val="21365B69"/>
    <w:rsid w:val="21377455"/>
    <w:rsid w:val="21596CD6"/>
    <w:rsid w:val="21B9065E"/>
    <w:rsid w:val="21BC4485"/>
    <w:rsid w:val="21BD166F"/>
    <w:rsid w:val="21D84BB6"/>
    <w:rsid w:val="21DF0D41"/>
    <w:rsid w:val="221C5568"/>
    <w:rsid w:val="2220062F"/>
    <w:rsid w:val="22280909"/>
    <w:rsid w:val="22727BED"/>
    <w:rsid w:val="22764FFC"/>
    <w:rsid w:val="227D5E41"/>
    <w:rsid w:val="22800501"/>
    <w:rsid w:val="2299671D"/>
    <w:rsid w:val="229D4C8A"/>
    <w:rsid w:val="22FB1316"/>
    <w:rsid w:val="231D6A6C"/>
    <w:rsid w:val="232E292A"/>
    <w:rsid w:val="233D6273"/>
    <w:rsid w:val="234F0908"/>
    <w:rsid w:val="23505797"/>
    <w:rsid w:val="23863414"/>
    <w:rsid w:val="23980D97"/>
    <w:rsid w:val="239D2982"/>
    <w:rsid w:val="23B937B2"/>
    <w:rsid w:val="23FF49E3"/>
    <w:rsid w:val="24103AA7"/>
    <w:rsid w:val="24185C17"/>
    <w:rsid w:val="242C61CA"/>
    <w:rsid w:val="243F7EFE"/>
    <w:rsid w:val="2461234F"/>
    <w:rsid w:val="24716369"/>
    <w:rsid w:val="248A31EE"/>
    <w:rsid w:val="24BA5DC2"/>
    <w:rsid w:val="25271F34"/>
    <w:rsid w:val="253A0438"/>
    <w:rsid w:val="25502027"/>
    <w:rsid w:val="2555450D"/>
    <w:rsid w:val="255C1DDD"/>
    <w:rsid w:val="26217B14"/>
    <w:rsid w:val="2633179E"/>
    <w:rsid w:val="265359FE"/>
    <w:rsid w:val="265815AC"/>
    <w:rsid w:val="2674598B"/>
    <w:rsid w:val="269663F7"/>
    <w:rsid w:val="26A54D11"/>
    <w:rsid w:val="26D16AAC"/>
    <w:rsid w:val="26DD517C"/>
    <w:rsid w:val="26F26CCA"/>
    <w:rsid w:val="26F64D0A"/>
    <w:rsid w:val="270C2FCF"/>
    <w:rsid w:val="27232657"/>
    <w:rsid w:val="2787482E"/>
    <w:rsid w:val="27C91054"/>
    <w:rsid w:val="27E2194D"/>
    <w:rsid w:val="280427E0"/>
    <w:rsid w:val="2809341C"/>
    <w:rsid w:val="28356F12"/>
    <w:rsid w:val="285F0ED4"/>
    <w:rsid w:val="285F4D94"/>
    <w:rsid w:val="285F6A9E"/>
    <w:rsid w:val="28826FAB"/>
    <w:rsid w:val="28A77CD4"/>
    <w:rsid w:val="28C377D2"/>
    <w:rsid w:val="28CB7B66"/>
    <w:rsid w:val="28CC23C7"/>
    <w:rsid w:val="28CE2ACB"/>
    <w:rsid w:val="28DB11B9"/>
    <w:rsid w:val="28E63144"/>
    <w:rsid w:val="293954AD"/>
    <w:rsid w:val="29495499"/>
    <w:rsid w:val="296B5A38"/>
    <w:rsid w:val="29AC0A80"/>
    <w:rsid w:val="29BF47BA"/>
    <w:rsid w:val="29DC1A37"/>
    <w:rsid w:val="29EC3789"/>
    <w:rsid w:val="2AA9334E"/>
    <w:rsid w:val="2AEE191F"/>
    <w:rsid w:val="2AFB653F"/>
    <w:rsid w:val="2B0F74A9"/>
    <w:rsid w:val="2BA76124"/>
    <w:rsid w:val="2BF9457B"/>
    <w:rsid w:val="2C001EED"/>
    <w:rsid w:val="2C23052F"/>
    <w:rsid w:val="2C5218E2"/>
    <w:rsid w:val="2C702C46"/>
    <w:rsid w:val="2CA5052E"/>
    <w:rsid w:val="2CC914F7"/>
    <w:rsid w:val="2D0A31CC"/>
    <w:rsid w:val="2D3D3889"/>
    <w:rsid w:val="2D6B2A20"/>
    <w:rsid w:val="2D883B6C"/>
    <w:rsid w:val="2D9978CC"/>
    <w:rsid w:val="2DBF15DA"/>
    <w:rsid w:val="2E0019BC"/>
    <w:rsid w:val="2E533608"/>
    <w:rsid w:val="2E6C4F04"/>
    <w:rsid w:val="2E9C0B1B"/>
    <w:rsid w:val="2EBC76A2"/>
    <w:rsid w:val="2EEB6CA9"/>
    <w:rsid w:val="2EF802EE"/>
    <w:rsid w:val="2F22604C"/>
    <w:rsid w:val="2F3026A8"/>
    <w:rsid w:val="2F364696"/>
    <w:rsid w:val="2F503D41"/>
    <w:rsid w:val="2F6A3E54"/>
    <w:rsid w:val="2F81526D"/>
    <w:rsid w:val="2F891DD0"/>
    <w:rsid w:val="2FAB58C9"/>
    <w:rsid w:val="2FAC0104"/>
    <w:rsid w:val="2FC3655F"/>
    <w:rsid w:val="2FDC254E"/>
    <w:rsid w:val="2FE56519"/>
    <w:rsid w:val="2FF73F4C"/>
    <w:rsid w:val="30324FC5"/>
    <w:rsid w:val="30466F09"/>
    <w:rsid w:val="308663B8"/>
    <w:rsid w:val="308A7B44"/>
    <w:rsid w:val="30A5657D"/>
    <w:rsid w:val="30B90314"/>
    <w:rsid w:val="310D3457"/>
    <w:rsid w:val="315D66BC"/>
    <w:rsid w:val="316F13C8"/>
    <w:rsid w:val="31B13670"/>
    <w:rsid w:val="31C629CD"/>
    <w:rsid w:val="31D11834"/>
    <w:rsid w:val="31EE0372"/>
    <w:rsid w:val="31F37E11"/>
    <w:rsid w:val="31F43211"/>
    <w:rsid w:val="32823B37"/>
    <w:rsid w:val="32D234F7"/>
    <w:rsid w:val="32D7313A"/>
    <w:rsid w:val="33224762"/>
    <w:rsid w:val="33567AD8"/>
    <w:rsid w:val="337B270B"/>
    <w:rsid w:val="33C941E7"/>
    <w:rsid w:val="340943A0"/>
    <w:rsid w:val="343F26D7"/>
    <w:rsid w:val="34434303"/>
    <w:rsid w:val="348D070A"/>
    <w:rsid w:val="34A27CFD"/>
    <w:rsid w:val="34BE601B"/>
    <w:rsid w:val="34DF7ABE"/>
    <w:rsid w:val="34EC6694"/>
    <w:rsid w:val="34F3351B"/>
    <w:rsid w:val="35337D28"/>
    <w:rsid w:val="35432DB6"/>
    <w:rsid w:val="35445779"/>
    <w:rsid w:val="35583611"/>
    <w:rsid w:val="356F41F4"/>
    <w:rsid w:val="358D07F2"/>
    <w:rsid w:val="35C83AF7"/>
    <w:rsid w:val="35CD1F17"/>
    <w:rsid w:val="35E2231D"/>
    <w:rsid w:val="35EC0CCF"/>
    <w:rsid w:val="35FB0F3F"/>
    <w:rsid w:val="36301E78"/>
    <w:rsid w:val="36613981"/>
    <w:rsid w:val="36BA6A6A"/>
    <w:rsid w:val="36BF7951"/>
    <w:rsid w:val="36C91ACE"/>
    <w:rsid w:val="372E2665"/>
    <w:rsid w:val="3740289C"/>
    <w:rsid w:val="37672455"/>
    <w:rsid w:val="376901F7"/>
    <w:rsid w:val="3791165E"/>
    <w:rsid w:val="37B758A5"/>
    <w:rsid w:val="37DB349B"/>
    <w:rsid w:val="37F22C0E"/>
    <w:rsid w:val="381E5F46"/>
    <w:rsid w:val="385A49B1"/>
    <w:rsid w:val="38657E5C"/>
    <w:rsid w:val="38CC2B38"/>
    <w:rsid w:val="38D5254B"/>
    <w:rsid w:val="38E17896"/>
    <w:rsid w:val="391C7B6D"/>
    <w:rsid w:val="391F6B8B"/>
    <w:rsid w:val="393A4C47"/>
    <w:rsid w:val="394B740D"/>
    <w:rsid w:val="3951370A"/>
    <w:rsid w:val="39821BB4"/>
    <w:rsid w:val="3987390A"/>
    <w:rsid w:val="39C605C1"/>
    <w:rsid w:val="39CD3A70"/>
    <w:rsid w:val="39E027B8"/>
    <w:rsid w:val="3A743289"/>
    <w:rsid w:val="3A761B1A"/>
    <w:rsid w:val="3A7B1B0D"/>
    <w:rsid w:val="3A7E657F"/>
    <w:rsid w:val="3A9C341D"/>
    <w:rsid w:val="3AA87A82"/>
    <w:rsid w:val="3AE0703B"/>
    <w:rsid w:val="3B2C0812"/>
    <w:rsid w:val="3B3434AD"/>
    <w:rsid w:val="3B3D2C01"/>
    <w:rsid w:val="3B3E6F49"/>
    <w:rsid w:val="3BAC517C"/>
    <w:rsid w:val="3BB340B3"/>
    <w:rsid w:val="3BB641DD"/>
    <w:rsid w:val="3BF04736"/>
    <w:rsid w:val="3C0B7360"/>
    <w:rsid w:val="3C211418"/>
    <w:rsid w:val="3C3C17B0"/>
    <w:rsid w:val="3C3C3318"/>
    <w:rsid w:val="3C574A84"/>
    <w:rsid w:val="3C603F9F"/>
    <w:rsid w:val="3C8A44F6"/>
    <w:rsid w:val="3C961A65"/>
    <w:rsid w:val="3CAE4BC5"/>
    <w:rsid w:val="3CD54B57"/>
    <w:rsid w:val="3D064AB7"/>
    <w:rsid w:val="3D0B0DD1"/>
    <w:rsid w:val="3D395671"/>
    <w:rsid w:val="3D3B4E3D"/>
    <w:rsid w:val="3D8B6C34"/>
    <w:rsid w:val="3DA0138B"/>
    <w:rsid w:val="3DA41568"/>
    <w:rsid w:val="3DE943B6"/>
    <w:rsid w:val="3DF47B86"/>
    <w:rsid w:val="3E57559E"/>
    <w:rsid w:val="3E607CDF"/>
    <w:rsid w:val="3E6F4C58"/>
    <w:rsid w:val="3E8E3D23"/>
    <w:rsid w:val="3ECE4025"/>
    <w:rsid w:val="3ED34788"/>
    <w:rsid w:val="3EDE4517"/>
    <w:rsid w:val="3EF22B6A"/>
    <w:rsid w:val="3F1F5C9D"/>
    <w:rsid w:val="3F334763"/>
    <w:rsid w:val="3F4261AA"/>
    <w:rsid w:val="3F5B22E1"/>
    <w:rsid w:val="3F5E6267"/>
    <w:rsid w:val="3F8734EC"/>
    <w:rsid w:val="3FA20D98"/>
    <w:rsid w:val="3FC41441"/>
    <w:rsid w:val="400C1FBD"/>
    <w:rsid w:val="401640CE"/>
    <w:rsid w:val="401F17C6"/>
    <w:rsid w:val="402A7AA2"/>
    <w:rsid w:val="40660100"/>
    <w:rsid w:val="4074579F"/>
    <w:rsid w:val="4090569F"/>
    <w:rsid w:val="40923348"/>
    <w:rsid w:val="40AB4D6D"/>
    <w:rsid w:val="40C265D7"/>
    <w:rsid w:val="40DC2A33"/>
    <w:rsid w:val="40E21775"/>
    <w:rsid w:val="411D17FE"/>
    <w:rsid w:val="41300A19"/>
    <w:rsid w:val="41477F3C"/>
    <w:rsid w:val="41947435"/>
    <w:rsid w:val="41990609"/>
    <w:rsid w:val="41A43D0A"/>
    <w:rsid w:val="41C30F70"/>
    <w:rsid w:val="41FD5F3E"/>
    <w:rsid w:val="426E1418"/>
    <w:rsid w:val="42D262B8"/>
    <w:rsid w:val="42E86AD6"/>
    <w:rsid w:val="42EE5482"/>
    <w:rsid w:val="43103541"/>
    <w:rsid w:val="431A17B5"/>
    <w:rsid w:val="43420D5C"/>
    <w:rsid w:val="43465B3F"/>
    <w:rsid w:val="43662DA8"/>
    <w:rsid w:val="439A224C"/>
    <w:rsid w:val="43DC3F1E"/>
    <w:rsid w:val="441140AB"/>
    <w:rsid w:val="44156346"/>
    <w:rsid w:val="443A5D3F"/>
    <w:rsid w:val="444E1A30"/>
    <w:rsid w:val="446D09E8"/>
    <w:rsid w:val="446E217E"/>
    <w:rsid w:val="44706B94"/>
    <w:rsid w:val="44972C16"/>
    <w:rsid w:val="44BC7FD9"/>
    <w:rsid w:val="44CD6817"/>
    <w:rsid w:val="44CE6782"/>
    <w:rsid w:val="44DF2DD7"/>
    <w:rsid w:val="44E0269D"/>
    <w:rsid w:val="451D73F4"/>
    <w:rsid w:val="453864B8"/>
    <w:rsid w:val="45626802"/>
    <w:rsid w:val="4579387F"/>
    <w:rsid w:val="45825912"/>
    <w:rsid w:val="45873325"/>
    <w:rsid w:val="45AC5FD4"/>
    <w:rsid w:val="45FE5FBA"/>
    <w:rsid w:val="463B7468"/>
    <w:rsid w:val="4661446E"/>
    <w:rsid w:val="46702380"/>
    <w:rsid w:val="4671143C"/>
    <w:rsid w:val="4697393D"/>
    <w:rsid w:val="469C4DF4"/>
    <w:rsid w:val="46CD7C7E"/>
    <w:rsid w:val="470B2B52"/>
    <w:rsid w:val="47466EC0"/>
    <w:rsid w:val="475A2B64"/>
    <w:rsid w:val="47612364"/>
    <w:rsid w:val="476164A8"/>
    <w:rsid w:val="476954BA"/>
    <w:rsid w:val="47791E30"/>
    <w:rsid w:val="47E516B4"/>
    <w:rsid w:val="47E528FD"/>
    <w:rsid w:val="47E61B95"/>
    <w:rsid w:val="48153C8D"/>
    <w:rsid w:val="483B0E87"/>
    <w:rsid w:val="48667412"/>
    <w:rsid w:val="488D2768"/>
    <w:rsid w:val="48C06D3B"/>
    <w:rsid w:val="48D47F9A"/>
    <w:rsid w:val="48ED1945"/>
    <w:rsid w:val="490940CA"/>
    <w:rsid w:val="49210848"/>
    <w:rsid w:val="492E54CB"/>
    <w:rsid w:val="496B4DD6"/>
    <w:rsid w:val="498C5FE7"/>
    <w:rsid w:val="49A45E82"/>
    <w:rsid w:val="49CD4BFB"/>
    <w:rsid w:val="49DC486D"/>
    <w:rsid w:val="49DC7D9C"/>
    <w:rsid w:val="4A430C18"/>
    <w:rsid w:val="4A83412A"/>
    <w:rsid w:val="4AC4504A"/>
    <w:rsid w:val="4AD12FD4"/>
    <w:rsid w:val="4AF85333"/>
    <w:rsid w:val="4AFC5B54"/>
    <w:rsid w:val="4B020EF8"/>
    <w:rsid w:val="4B2436D8"/>
    <w:rsid w:val="4B276F05"/>
    <w:rsid w:val="4B313056"/>
    <w:rsid w:val="4B4020FE"/>
    <w:rsid w:val="4B435160"/>
    <w:rsid w:val="4B494F2E"/>
    <w:rsid w:val="4B53298A"/>
    <w:rsid w:val="4B667CAD"/>
    <w:rsid w:val="4B6E0A23"/>
    <w:rsid w:val="4B7B5462"/>
    <w:rsid w:val="4B7D0BE2"/>
    <w:rsid w:val="4B871EB9"/>
    <w:rsid w:val="4BA6677F"/>
    <w:rsid w:val="4BBD2DEA"/>
    <w:rsid w:val="4BC61CDF"/>
    <w:rsid w:val="4BF8088D"/>
    <w:rsid w:val="4C5A2311"/>
    <w:rsid w:val="4C9F3A3B"/>
    <w:rsid w:val="4CAE4C2E"/>
    <w:rsid w:val="4CBD7BAD"/>
    <w:rsid w:val="4CC7600F"/>
    <w:rsid w:val="4CCD7D07"/>
    <w:rsid w:val="4CCE71B4"/>
    <w:rsid w:val="4CEB36B2"/>
    <w:rsid w:val="4D2B44E2"/>
    <w:rsid w:val="4D43237F"/>
    <w:rsid w:val="4D542717"/>
    <w:rsid w:val="4D841B16"/>
    <w:rsid w:val="4DB0285B"/>
    <w:rsid w:val="4DB8660C"/>
    <w:rsid w:val="4DE556B7"/>
    <w:rsid w:val="4E0B6FBC"/>
    <w:rsid w:val="4E130716"/>
    <w:rsid w:val="4E467816"/>
    <w:rsid w:val="4E4D060D"/>
    <w:rsid w:val="4E614600"/>
    <w:rsid w:val="4E8353DF"/>
    <w:rsid w:val="4E8C51D3"/>
    <w:rsid w:val="4E9A2132"/>
    <w:rsid w:val="4EAF190D"/>
    <w:rsid w:val="4EBF4391"/>
    <w:rsid w:val="4EC4098E"/>
    <w:rsid w:val="4ED95840"/>
    <w:rsid w:val="4EF13201"/>
    <w:rsid w:val="4F36315B"/>
    <w:rsid w:val="4F3A198A"/>
    <w:rsid w:val="4F4D729B"/>
    <w:rsid w:val="4F6B7785"/>
    <w:rsid w:val="4F8C01D2"/>
    <w:rsid w:val="4FC11575"/>
    <w:rsid w:val="4FC40FFF"/>
    <w:rsid w:val="4FDE7C1D"/>
    <w:rsid w:val="4FF828E1"/>
    <w:rsid w:val="4FFE6F74"/>
    <w:rsid w:val="50544422"/>
    <w:rsid w:val="506851EC"/>
    <w:rsid w:val="50A61F56"/>
    <w:rsid w:val="50AB211F"/>
    <w:rsid w:val="50C35A7C"/>
    <w:rsid w:val="511D3C0B"/>
    <w:rsid w:val="512743D7"/>
    <w:rsid w:val="51357949"/>
    <w:rsid w:val="515F7ED3"/>
    <w:rsid w:val="51725916"/>
    <w:rsid w:val="51785067"/>
    <w:rsid w:val="51957A97"/>
    <w:rsid w:val="51CD37B8"/>
    <w:rsid w:val="526C2713"/>
    <w:rsid w:val="527559FD"/>
    <w:rsid w:val="52757B64"/>
    <w:rsid w:val="528A31F3"/>
    <w:rsid w:val="52B35950"/>
    <w:rsid w:val="52F4776A"/>
    <w:rsid w:val="53467E2D"/>
    <w:rsid w:val="53513DAA"/>
    <w:rsid w:val="535F40A8"/>
    <w:rsid w:val="53AE5409"/>
    <w:rsid w:val="53B43910"/>
    <w:rsid w:val="53B70C55"/>
    <w:rsid w:val="54086169"/>
    <w:rsid w:val="543D7107"/>
    <w:rsid w:val="544D2526"/>
    <w:rsid w:val="544F35BC"/>
    <w:rsid w:val="548F1A4C"/>
    <w:rsid w:val="54923CD6"/>
    <w:rsid w:val="549740EE"/>
    <w:rsid w:val="54AA26F7"/>
    <w:rsid w:val="54BD4926"/>
    <w:rsid w:val="54DB10F1"/>
    <w:rsid w:val="54E964D4"/>
    <w:rsid w:val="54EE40E4"/>
    <w:rsid w:val="551309DD"/>
    <w:rsid w:val="551B7DF8"/>
    <w:rsid w:val="55311B2C"/>
    <w:rsid w:val="556E37AD"/>
    <w:rsid w:val="55723C05"/>
    <w:rsid w:val="55981C9E"/>
    <w:rsid w:val="55996D10"/>
    <w:rsid w:val="55D7075D"/>
    <w:rsid w:val="55EB2322"/>
    <w:rsid w:val="56173E85"/>
    <w:rsid w:val="56262394"/>
    <w:rsid w:val="5682148F"/>
    <w:rsid w:val="569F1B4F"/>
    <w:rsid w:val="56B550C0"/>
    <w:rsid w:val="56D05042"/>
    <w:rsid w:val="571453C2"/>
    <w:rsid w:val="57297BF9"/>
    <w:rsid w:val="572A1E6E"/>
    <w:rsid w:val="573231FF"/>
    <w:rsid w:val="57324C9B"/>
    <w:rsid w:val="573C64C9"/>
    <w:rsid w:val="57882F46"/>
    <w:rsid w:val="579334EB"/>
    <w:rsid w:val="57963694"/>
    <w:rsid w:val="579C7419"/>
    <w:rsid w:val="579E5E01"/>
    <w:rsid w:val="57A07B99"/>
    <w:rsid w:val="58090BCC"/>
    <w:rsid w:val="58462B12"/>
    <w:rsid w:val="5848271A"/>
    <w:rsid w:val="585F0C75"/>
    <w:rsid w:val="58647BF9"/>
    <w:rsid w:val="58712466"/>
    <w:rsid w:val="58C6221A"/>
    <w:rsid w:val="58FA4A5D"/>
    <w:rsid w:val="5968733C"/>
    <w:rsid w:val="597B4B20"/>
    <w:rsid w:val="59BA6588"/>
    <w:rsid w:val="59CB58F2"/>
    <w:rsid w:val="5A002E68"/>
    <w:rsid w:val="5A074ED5"/>
    <w:rsid w:val="5A0D2F64"/>
    <w:rsid w:val="5A18776C"/>
    <w:rsid w:val="5A437DFD"/>
    <w:rsid w:val="5A487574"/>
    <w:rsid w:val="5A4909C0"/>
    <w:rsid w:val="5A693317"/>
    <w:rsid w:val="5A760056"/>
    <w:rsid w:val="5A7A56FE"/>
    <w:rsid w:val="5A8836E3"/>
    <w:rsid w:val="5A984CE2"/>
    <w:rsid w:val="5AC11E7E"/>
    <w:rsid w:val="5ACD5A83"/>
    <w:rsid w:val="5B0561C8"/>
    <w:rsid w:val="5B327CB0"/>
    <w:rsid w:val="5B5D66EF"/>
    <w:rsid w:val="5B645984"/>
    <w:rsid w:val="5BA050AE"/>
    <w:rsid w:val="5BD9327D"/>
    <w:rsid w:val="5C4D62B6"/>
    <w:rsid w:val="5C4E5318"/>
    <w:rsid w:val="5C522F28"/>
    <w:rsid w:val="5C5E7A34"/>
    <w:rsid w:val="5CAF4DDE"/>
    <w:rsid w:val="5CB37FD1"/>
    <w:rsid w:val="5D1B2230"/>
    <w:rsid w:val="5D6A081D"/>
    <w:rsid w:val="5D6E2040"/>
    <w:rsid w:val="5D743486"/>
    <w:rsid w:val="5D7A4672"/>
    <w:rsid w:val="5D99309D"/>
    <w:rsid w:val="5D9973A9"/>
    <w:rsid w:val="5DCF5DB8"/>
    <w:rsid w:val="5DD24619"/>
    <w:rsid w:val="5E2C1620"/>
    <w:rsid w:val="5E2C342E"/>
    <w:rsid w:val="5E336181"/>
    <w:rsid w:val="5E372028"/>
    <w:rsid w:val="5E8F209B"/>
    <w:rsid w:val="5E983F13"/>
    <w:rsid w:val="5E9D50DD"/>
    <w:rsid w:val="5ECB4FE5"/>
    <w:rsid w:val="5EDE4E9F"/>
    <w:rsid w:val="5EEC06AC"/>
    <w:rsid w:val="5F190F0F"/>
    <w:rsid w:val="5F4B56F9"/>
    <w:rsid w:val="5F7A1C76"/>
    <w:rsid w:val="5F905D28"/>
    <w:rsid w:val="5FB1761A"/>
    <w:rsid w:val="5FD60407"/>
    <w:rsid w:val="5FE70BE8"/>
    <w:rsid w:val="606457ED"/>
    <w:rsid w:val="60970019"/>
    <w:rsid w:val="60D46AE6"/>
    <w:rsid w:val="60F06165"/>
    <w:rsid w:val="61115003"/>
    <w:rsid w:val="611D1A5D"/>
    <w:rsid w:val="614B3FDC"/>
    <w:rsid w:val="615E4E4D"/>
    <w:rsid w:val="616C2B9B"/>
    <w:rsid w:val="617A3530"/>
    <w:rsid w:val="619E1B17"/>
    <w:rsid w:val="619F0893"/>
    <w:rsid w:val="61AD4D37"/>
    <w:rsid w:val="61C34F38"/>
    <w:rsid w:val="61EE392D"/>
    <w:rsid w:val="61EE5EB4"/>
    <w:rsid w:val="620764AF"/>
    <w:rsid w:val="624437DC"/>
    <w:rsid w:val="628B6027"/>
    <w:rsid w:val="629F2463"/>
    <w:rsid w:val="62A710B9"/>
    <w:rsid w:val="62DA1892"/>
    <w:rsid w:val="63061C36"/>
    <w:rsid w:val="630D002C"/>
    <w:rsid w:val="635E7AC8"/>
    <w:rsid w:val="6387091E"/>
    <w:rsid w:val="63FA48E9"/>
    <w:rsid w:val="640C3444"/>
    <w:rsid w:val="641253D1"/>
    <w:rsid w:val="64221802"/>
    <w:rsid w:val="642926F1"/>
    <w:rsid w:val="642A3625"/>
    <w:rsid w:val="643D1935"/>
    <w:rsid w:val="644C16E1"/>
    <w:rsid w:val="644D535E"/>
    <w:rsid w:val="64771E2C"/>
    <w:rsid w:val="6488259A"/>
    <w:rsid w:val="64962968"/>
    <w:rsid w:val="64A14E4F"/>
    <w:rsid w:val="64B5429E"/>
    <w:rsid w:val="64F57493"/>
    <w:rsid w:val="64FA1605"/>
    <w:rsid w:val="650B4FFF"/>
    <w:rsid w:val="652818CB"/>
    <w:rsid w:val="65517BF7"/>
    <w:rsid w:val="65833FC9"/>
    <w:rsid w:val="65897776"/>
    <w:rsid w:val="658A6038"/>
    <w:rsid w:val="65D614BA"/>
    <w:rsid w:val="65E15B98"/>
    <w:rsid w:val="66302956"/>
    <w:rsid w:val="666A0ED9"/>
    <w:rsid w:val="66706611"/>
    <w:rsid w:val="669727BE"/>
    <w:rsid w:val="66B24BE0"/>
    <w:rsid w:val="66C3530A"/>
    <w:rsid w:val="66DA0FB4"/>
    <w:rsid w:val="66F73F1A"/>
    <w:rsid w:val="67035F63"/>
    <w:rsid w:val="670E0BBF"/>
    <w:rsid w:val="671F6755"/>
    <w:rsid w:val="67282513"/>
    <w:rsid w:val="67347C30"/>
    <w:rsid w:val="67386A57"/>
    <w:rsid w:val="67B700DF"/>
    <w:rsid w:val="67E47674"/>
    <w:rsid w:val="67F15529"/>
    <w:rsid w:val="68043B96"/>
    <w:rsid w:val="681B687D"/>
    <w:rsid w:val="682B53BB"/>
    <w:rsid w:val="683E21E5"/>
    <w:rsid w:val="68420285"/>
    <w:rsid w:val="68483821"/>
    <w:rsid w:val="68C13EBE"/>
    <w:rsid w:val="68DE3785"/>
    <w:rsid w:val="68E50474"/>
    <w:rsid w:val="68E704C9"/>
    <w:rsid w:val="6902606D"/>
    <w:rsid w:val="69087D72"/>
    <w:rsid w:val="69230B62"/>
    <w:rsid w:val="69282D99"/>
    <w:rsid w:val="692D6F5B"/>
    <w:rsid w:val="6942499D"/>
    <w:rsid w:val="695E469F"/>
    <w:rsid w:val="69705F12"/>
    <w:rsid w:val="697303BD"/>
    <w:rsid w:val="697675CE"/>
    <w:rsid w:val="698935E5"/>
    <w:rsid w:val="699A063A"/>
    <w:rsid w:val="69AE19DF"/>
    <w:rsid w:val="69BD31C2"/>
    <w:rsid w:val="69C7759C"/>
    <w:rsid w:val="69DF76D2"/>
    <w:rsid w:val="69E27790"/>
    <w:rsid w:val="69E506A9"/>
    <w:rsid w:val="69E7115F"/>
    <w:rsid w:val="69EB65B2"/>
    <w:rsid w:val="6A0665D5"/>
    <w:rsid w:val="6A2E03AA"/>
    <w:rsid w:val="6A4A2BC8"/>
    <w:rsid w:val="6A5A2A74"/>
    <w:rsid w:val="6A732F4C"/>
    <w:rsid w:val="6A772770"/>
    <w:rsid w:val="6A820B1B"/>
    <w:rsid w:val="6A8361E9"/>
    <w:rsid w:val="6AE02264"/>
    <w:rsid w:val="6AE13EEB"/>
    <w:rsid w:val="6AEF0F39"/>
    <w:rsid w:val="6AEF1141"/>
    <w:rsid w:val="6AFA281B"/>
    <w:rsid w:val="6B1D2D14"/>
    <w:rsid w:val="6B2F758E"/>
    <w:rsid w:val="6B515B6B"/>
    <w:rsid w:val="6B6342EC"/>
    <w:rsid w:val="6B7702BB"/>
    <w:rsid w:val="6B780750"/>
    <w:rsid w:val="6B984B25"/>
    <w:rsid w:val="6BB426C7"/>
    <w:rsid w:val="6C330D39"/>
    <w:rsid w:val="6C607DD4"/>
    <w:rsid w:val="6C646D2E"/>
    <w:rsid w:val="6C696F86"/>
    <w:rsid w:val="6CDC39FC"/>
    <w:rsid w:val="6CE418F1"/>
    <w:rsid w:val="6D012592"/>
    <w:rsid w:val="6D08542A"/>
    <w:rsid w:val="6D3738D7"/>
    <w:rsid w:val="6D7025EC"/>
    <w:rsid w:val="6D867EAF"/>
    <w:rsid w:val="6DCF69B3"/>
    <w:rsid w:val="6DE466E1"/>
    <w:rsid w:val="6DEF4F55"/>
    <w:rsid w:val="6E012319"/>
    <w:rsid w:val="6E166CA8"/>
    <w:rsid w:val="6E227295"/>
    <w:rsid w:val="6E4F17E2"/>
    <w:rsid w:val="6E6231AC"/>
    <w:rsid w:val="6E8C76B3"/>
    <w:rsid w:val="6E95516E"/>
    <w:rsid w:val="6EE81A2B"/>
    <w:rsid w:val="6EFB4018"/>
    <w:rsid w:val="6F0718F6"/>
    <w:rsid w:val="6F0B6C1B"/>
    <w:rsid w:val="6F2968A9"/>
    <w:rsid w:val="6F333356"/>
    <w:rsid w:val="6F3D1272"/>
    <w:rsid w:val="6F76081B"/>
    <w:rsid w:val="6FB77C1F"/>
    <w:rsid w:val="6FE537C1"/>
    <w:rsid w:val="6FFC6CD1"/>
    <w:rsid w:val="702024E1"/>
    <w:rsid w:val="70250884"/>
    <w:rsid w:val="7091030B"/>
    <w:rsid w:val="70C34EAA"/>
    <w:rsid w:val="70D474E8"/>
    <w:rsid w:val="70D77A74"/>
    <w:rsid w:val="70D827D4"/>
    <w:rsid w:val="70EB2709"/>
    <w:rsid w:val="71334936"/>
    <w:rsid w:val="718163F1"/>
    <w:rsid w:val="71B02A6C"/>
    <w:rsid w:val="71BC5709"/>
    <w:rsid w:val="71BE4F2C"/>
    <w:rsid w:val="71D9055E"/>
    <w:rsid w:val="72036A96"/>
    <w:rsid w:val="720457DF"/>
    <w:rsid w:val="7210685F"/>
    <w:rsid w:val="721A1C8E"/>
    <w:rsid w:val="72223B85"/>
    <w:rsid w:val="72A10807"/>
    <w:rsid w:val="72E6546E"/>
    <w:rsid w:val="736E5CD2"/>
    <w:rsid w:val="73AE4CFE"/>
    <w:rsid w:val="73B3718E"/>
    <w:rsid w:val="73B72994"/>
    <w:rsid w:val="73F577C1"/>
    <w:rsid w:val="740926D1"/>
    <w:rsid w:val="7419737D"/>
    <w:rsid w:val="74285B28"/>
    <w:rsid w:val="74326F20"/>
    <w:rsid w:val="744C57A7"/>
    <w:rsid w:val="744F614F"/>
    <w:rsid w:val="749F2B28"/>
    <w:rsid w:val="74B45E12"/>
    <w:rsid w:val="751C01F0"/>
    <w:rsid w:val="75261B1C"/>
    <w:rsid w:val="752C6CC0"/>
    <w:rsid w:val="7566724A"/>
    <w:rsid w:val="75726FCF"/>
    <w:rsid w:val="757A74B7"/>
    <w:rsid w:val="7586524B"/>
    <w:rsid w:val="7598670D"/>
    <w:rsid w:val="75AA5A0C"/>
    <w:rsid w:val="75B12D35"/>
    <w:rsid w:val="75B82BCD"/>
    <w:rsid w:val="75DF0FB3"/>
    <w:rsid w:val="75E013CD"/>
    <w:rsid w:val="7610623E"/>
    <w:rsid w:val="76144BCC"/>
    <w:rsid w:val="76340653"/>
    <w:rsid w:val="764A4E9A"/>
    <w:rsid w:val="76835C5C"/>
    <w:rsid w:val="76A01E01"/>
    <w:rsid w:val="76C12589"/>
    <w:rsid w:val="76C330BE"/>
    <w:rsid w:val="76FB3DBA"/>
    <w:rsid w:val="77193720"/>
    <w:rsid w:val="77530886"/>
    <w:rsid w:val="77AC7904"/>
    <w:rsid w:val="77B87729"/>
    <w:rsid w:val="77E041AE"/>
    <w:rsid w:val="77E4458F"/>
    <w:rsid w:val="77EF4448"/>
    <w:rsid w:val="77EF6053"/>
    <w:rsid w:val="78004D62"/>
    <w:rsid w:val="78164E61"/>
    <w:rsid w:val="781E413C"/>
    <w:rsid w:val="781F66BB"/>
    <w:rsid w:val="78311E26"/>
    <w:rsid w:val="78464D19"/>
    <w:rsid w:val="786326C8"/>
    <w:rsid w:val="786B5B25"/>
    <w:rsid w:val="787F28F5"/>
    <w:rsid w:val="789F03AF"/>
    <w:rsid w:val="78DF4FF4"/>
    <w:rsid w:val="78E55D94"/>
    <w:rsid w:val="78EA2F13"/>
    <w:rsid w:val="790423FA"/>
    <w:rsid w:val="793627FC"/>
    <w:rsid w:val="7939186C"/>
    <w:rsid w:val="794B7150"/>
    <w:rsid w:val="79797A2F"/>
    <w:rsid w:val="79876783"/>
    <w:rsid w:val="798E7822"/>
    <w:rsid w:val="79F60E1E"/>
    <w:rsid w:val="79FC44CD"/>
    <w:rsid w:val="7A213705"/>
    <w:rsid w:val="7A440FC1"/>
    <w:rsid w:val="7A4572D5"/>
    <w:rsid w:val="7A5D35F0"/>
    <w:rsid w:val="7A6C2083"/>
    <w:rsid w:val="7A855056"/>
    <w:rsid w:val="7ABB1CAC"/>
    <w:rsid w:val="7AE27711"/>
    <w:rsid w:val="7B0C32C1"/>
    <w:rsid w:val="7B43409D"/>
    <w:rsid w:val="7B745417"/>
    <w:rsid w:val="7B7A252B"/>
    <w:rsid w:val="7B9C7738"/>
    <w:rsid w:val="7BC2049D"/>
    <w:rsid w:val="7C1C36C8"/>
    <w:rsid w:val="7C381987"/>
    <w:rsid w:val="7C6E4EED"/>
    <w:rsid w:val="7C8236A6"/>
    <w:rsid w:val="7CC26A77"/>
    <w:rsid w:val="7CE42BCC"/>
    <w:rsid w:val="7CFA1342"/>
    <w:rsid w:val="7D0E0CA5"/>
    <w:rsid w:val="7D154E7E"/>
    <w:rsid w:val="7D182648"/>
    <w:rsid w:val="7D303649"/>
    <w:rsid w:val="7D48602D"/>
    <w:rsid w:val="7D4F19BE"/>
    <w:rsid w:val="7D522BD3"/>
    <w:rsid w:val="7D79068E"/>
    <w:rsid w:val="7D7F0752"/>
    <w:rsid w:val="7D891BAB"/>
    <w:rsid w:val="7DAA0C98"/>
    <w:rsid w:val="7DB23306"/>
    <w:rsid w:val="7E5A141D"/>
    <w:rsid w:val="7E73392D"/>
    <w:rsid w:val="7EB7358F"/>
    <w:rsid w:val="7EB855A8"/>
    <w:rsid w:val="7EBA687B"/>
    <w:rsid w:val="7EBF0E07"/>
    <w:rsid w:val="7F2E004B"/>
    <w:rsid w:val="7FA626CE"/>
    <w:rsid w:val="7FB47685"/>
    <w:rsid w:val="7FB80BA8"/>
    <w:rsid w:val="7FC6778A"/>
    <w:rsid w:val="7FFB49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36"/>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semiHidden/>
    <w:qFormat/>
    <w:uiPriority w:val="0"/>
    <w:pPr>
      <w:shd w:val="clear" w:color="auto" w:fill="000080"/>
    </w:pPr>
  </w:style>
  <w:style w:type="paragraph" w:styleId="7">
    <w:name w:val="annotation text"/>
    <w:basedOn w:val="1"/>
    <w:link w:val="29"/>
    <w:semiHidden/>
    <w:qFormat/>
    <w:uiPriority w:val="0"/>
    <w:pPr>
      <w:jc w:val="left"/>
    </w:pPr>
  </w:style>
  <w:style w:type="paragraph" w:styleId="8">
    <w:name w:val="Body Text"/>
    <w:basedOn w:val="1"/>
    <w:qFormat/>
    <w:uiPriority w:val="0"/>
    <w:rPr>
      <w:bCs/>
      <w:sz w:val="24"/>
      <w:szCs w:val="20"/>
    </w:rPr>
  </w:style>
  <w:style w:type="paragraph" w:styleId="9">
    <w:name w:val="Body Text Indent"/>
    <w:basedOn w:val="1"/>
    <w:link w:val="30"/>
    <w:qFormat/>
    <w:uiPriority w:val="0"/>
    <w:pPr>
      <w:spacing w:after="120"/>
      <w:ind w:left="420" w:leftChars="200"/>
    </w:pPr>
  </w:style>
  <w:style w:type="paragraph" w:styleId="10">
    <w:name w:val="toc 3"/>
    <w:basedOn w:val="1"/>
    <w:next w:val="1"/>
    <w:qFormat/>
    <w:uiPriority w:val="39"/>
    <w:pPr>
      <w:ind w:left="840" w:leftChars="400"/>
    </w:pPr>
  </w:style>
  <w:style w:type="paragraph" w:styleId="11">
    <w:name w:val="Plain Text"/>
    <w:basedOn w:val="1"/>
    <w:qFormat/>
    <w:uiPriority w:val="0"/>
    <w:pPr>
      <w:spacing w:line="360" w:lineRule="auto"/>
      <w:ind w:firstLine="480" w:firstLineChars="200"/>
    </w:pPr>
    <w:rPr>
      <w:rFonts w:ascii="仿宋_GB2312"/>
      <w:sz w:val="24"/>
    </w:rPr>
  </w:style>
  <w:style w:type="paragraph" w:styleId="12">
    <w:name w:val="Date"/>
    <w:basedOn w:val="1"/>
    <w:next w:val="1"/>
    <w:qFormat/>
    <w:uiPriority w:val="0"/>
    <w:pPr>
      <w:ind w:left="100" w:leftChars="2500"/>
    </w:pPr>
  </w:style>
  <w:style w:type="paragraph" w:styleId="13">
    <w:name w:val="Body Text Indent 2"/>
    <w:basedOn w:val="1"/>
    <w:qFormat/>
    <w:uiPriority w:val="0"/>
    <w:pPr>
      <w:spacing w:after="120" w:line="480" w:lineRule="auto"/>
      <w:ind w:left="420" w:leftChars="200"/>
    </w:pPr>
  </w:style>
  <w:style w:type="paragraph" w:styleId="14">
    <w:name w:val="Balloon Text"/>
    <w:basedOn w:val="1"/>
    <w:semiHidden/>
    <w:qFormat/>
    <w:uiPriority w:val="0"/>
    <w:rPr>
      <w:sz w:val="18"/>
      <w:szCs w:val="18"/>
    </w:rPr>
  </w:style>
  <w:style w:type="paragraph" w:styleId="15">
    <w:name w:val="footer"/>
    <w:basedOn w:val="1"/>
    <w:link w:val="31"/>
    <w:qFormat/>
    <w:uiPriority w:val="99"/>
    <w:pPr>
      <w:tabs>
        <w:tab w:val="center" w:pos="4153"/>
        <w:tab w:val="right" w:pos="8306"/>
      </w:tabs>
      <w:snapToGrid w:val="0"/>
      <w:jc w:val="left"/>
    </w:pPr>
    <w:rPr>
      <w:sz w:val="18"/>
      <w:szCs w:val="18"/>
    </w:rPr>
  </w:style>
  <w:style w:type="paragraph" w:styleId="16">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b/>
      <w:bCs/>
      <w:caps/>
      <w:sz w:val="24"/>
      <w:szCs w:val="20"/>
    </w:rPr>
  </w:style>
  <w:style w:type="paragraph" w:styleId="18">
    <w:name w:val="toc 2"/>
    <w:basedOn w:val="1"/>
    <w:next w:val="1"/>
    <w:uiPriority w:val="39"/>
    <w:pPr>
      <w:spacing w:line="360" w:lineRule="auto"/>
      <w:ind w:left="210"/>
      <w:jc w:val="left"/>
    </w:pPr>
    <w:rPr>
      <w:smallCaps/>
      <w:sz w:val="24"/>
      <w:szCs w:val="20"/>
    </w:rPr>
  </w:style>
  <w:style w:type="paragraph" w:styleId="19">
    <w:name w:val="Normal (Web)"/>
    <w:basedOn w:val="1"/>
    <w:qFormat/>
    <w:uiPriority w:val="99"/>
    <w:pPr>
      <w:widowControl/>
      <w:jc w:val="left"/>
    </w:pPr>
    <w:rPr>
      <w:rFonts w:ascii="宋体" w:hAnsi="宋体" w:cs="宋体"/>
      <w:kern w:val="0"/>
      <w:sz w:val="24"/>
    </w:rPr>
  </w:style>
  <w:style w:type="paragraph" w:styleId="20">
    <w:name w:val="annotation subject"/>
    <w:basedOn w:val="7"/>
    <w:next w:val="7"/>
    <w:semiHidden/>
    <w:qFormat/>
    <w:uiPriority w:val="0"/>
    <w:rPr>
      <w:b/>
      <w:bCs/>
    </w:r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page number"/>
    <w:qFormat/>
    <w:uiPriority w:val="0"/>
  </w:style>
  <w:style w:type="character" w:styleId="26">
    <w:name w:val="Emphasis"/>
    <w:qFormat/>
    <w:uiPriority w:val="20"/>
    <w:rPr>
      <w:i/>
      <w:iCs/>
    </w:rPr>
  </w:style>
  <w:style w:type="character" w:styleId="27">
    <w:name w:val="Hyperlink"/>
    <w:qFormat/>
    <w:uiPriority w:val="99"/>
    <w:rPr>
      <w:color w:val="000000"/>
      <w:u w:val="none"/>
    </w:rPr>
  </w:style>
  <w:style w:type="character" w:styleId="28">
    <w:name w:val="annotation reference"/>
    <w:semiHidden/>
    <w:qFormat/>
    <w:uiPriority w:val="0"/>
    <w:rPr>
      <w:sz w:val="21"/>
      <w:szCs w:val="21"/>
    </w:rPr>
  </w:style>
  <w:style w:type="character" w:customStyle="1" w:styleId="29">
    <w:name w:val="批注文字 Char"/>
    <w:link w:val="7"/>
    <w:semiHidden/>
    <w:qFormat/>
    <w:uiPriority w:val="0"/>
    <w:rPr>
      <w:kern w:val="2"/>
      <w:sz w:val="21"/>
      <w:szCs w:val="24"/>
    </w:rPr>
  </w:style>
  <w:style w:type="character" w:customStyle="1" w:styleId="30">
    <w:name w:val="正文文本缩进 Char"/>
    <w:link w:val="9"/>
    <w:uiPriority w:val="0"/>
    <w:rPr>
      <w:kern w:val="2"/>
      <w:sz w:val="21"/>
      <w:szCs w:val="24"/>
    </w:rPr>
  </w:style>
  <w:style w:type="character" w:customStyle="1" w:styleId="31">
    <w:name w:val="页脚 Char"/>
    <w:link w:val="15"/>
    <w:uiPriority w:val="99"/>
    <w:rPr>
      <w:rFonts w:eastAsia="宋体"/>
      <w:kern w:val="2"/>
      <w:sz w:val="18"/>
      <w:szCs w:val="18"/>
      <w:lang w:val="en-US" w:eastAsia="zh-CN" w:bidi="ar-SA"/>
    </w:rPr>
  </w:style>
  <w:style w:type="character" w:customStyle="1" w:styleId="32">
    <w:name w:val="页眉 Char"/>
    <w:link w:val="16"/>
    <w:qFormat/>
    <w:uiPriority w:val="99"/>
    <w:rPr>
      <w:rFonts w:eastAsia="宋体"/>
      <w:kern w:val="2"/>
      <w:sz w:val="18"/>
      <w:szCs w:val="18"/>
      <w:lang w:val="en-US" w:eastAsia="zh-CN" w:bidi="ar-SA"/>
    </w:rPr>
  </w:style>
  <w:style w:type="character" w:customStyle="1" w:styleId="33">
    <w:name w:val="font14 line-height"/>
    <w:uiPriority w:val="0"/>
  </w:style>
  <w:style w:type="character" w:customStyle="1" w:styleId="34">
    <w:name w:val="apple-converted-space"/>
    <w:qFormat/>
    <w:uiPriority w:val="0"/>
  </w:style>
  <w:style w:type="character" w:customStyle="1" w:styleId="35">
    <w:name w:val="四号 + 首行缩进:  2 字符 + 首行缩进:  2 字符 Char"/>
    <w:link w:val="36"/>
    <w:qFormat/>
    <w:uiPriority w:val="0"/>
    <w:rPr>
      <w:rFonts w:cs="宋体"/>
      <w:kern w:val="2"/>
      <w:sz w:val="28"/>
      <w:szCs w:val="28"/>
    </w:rPr>
  </w:style>
  <w:style w:type="paragraph" w:customStyle="1" w:styleId="36">
    <w:name w:val="四号 + 首行缩进:  2 字符 + 首行缩进:  2 字符"/>
    <w:basedOn w:val="1"/>
    <w:link w:val="35"/>
    <w:qFormat/>
    <w:uiPriority w:val="0"/>
    <w:pPr>
      <w:spacing w:line="360" w:lineRule="auto"/>
      <w:ind w:firstLine="200" w:firstLineChars="200"/>
    </w:pPr>
    <w:rPr>
      <w:sz w:val="28"/>
      <w:szCs w:val="28"/>
    </w:rPr>
  </w:style>
  <w:style w:type="character" w:customStyle="1" w:styleId="37">
    <w:name w:val="Char Char2"/>
    <w:qFormat/>
    <w:uiPriority w:val="0"/>
    <w:rPr>
      <w:kern w:val="2"/>
      <w:sz w:val="18"/>
      <w:szCs w:val="18"/>
    </w:rPr>
  </w:style>
  <w:style w:type="paragraph" w:customStyle="1" w:styleId="38">
    <w:name w:val="列出段落1"/>
    <w:basedOn w:val="1"/>
    <w:qFormat/>
    <w:uiPriority w:val="0"/>
    <w:pPr>
      <w:ind w:firstLine="420" w:firstLineChars="200"/>
    </w:pPr>
    <w:rPr>
      <w:szCs w:val="22"/>
    </w:rPr>
  </w:style>
  <w:style w:type="paragraph" w:customStyle="1" w:styleId="39">
    <w:name w:val="Char Char Char Char Char Char Char"/>
    <w:basedOn w:val="1"/>
    <w:qFormat/>
    <w:uiPriority w:val="0"/>
    <w:rPr>
      <w:szCs w:val="21"/>
    </w:rPr>
  </w:style>
  <w:style w:type="paragraph" w:customStyle="1" w:styleId="40">
    <w:name w:val="Char Char1"/>
    <w:basedOn w:val="6"/>
    <w:qFormat/>
    <w:uiPriority w:val="0"/>
    <w:rPr>
      <w:rFonts w:ascii="Tahoma" w:hAnsi="Tahoma" w:cs="Tahoma"/>
      <w:sz w:val="24"/>
    </w:rPr>
  </w:style>
  <w:style w:type="paragraph" w:customStyle="1" w:styleId="41">
    <w:name w:val="样式 标题 3 + 仿宋_GB2312"/>
    <w:basedOn w:val="2"/>
    <w:uiPriority w:val="0"/>
    <w:pPr>
      <w:tabs>
        <w:tab w:val="left" w:pos="620"/>
      </w:tabs>
      <w:spacing w:line="415" w:lineRule="auto"/>
      <w:ind w:left="620" w:firstLine="200" w:firstLineChars="200"/>
    </w:pPr>
    <w:rPr>
      <w:rFonts w:ascii="仿宋_GB2312" w:hAnsi="仿宋_GB2312" w:eastAsia="仿宋_GB2312"/>
      <w:w w:val="101"/>
      <w:kern w:val="0"/>
    </w:rPr>
  </w:style>
  <w:style w:type="paragraph" w:customStyle="1" w:styleId="42">
    <w:name w:val="样式 标题 3 + 字符缩放: 101%"/>
    <w:basedOn w:val="2"/>
    <w:qFormat/>
    <w:uiPriority w:val="0"/>
    <w:rPr>
      <w:w w:val="101"/>
      <w:kern w:val="0"/>
    </w:rPr>
  </w:style>
  <w:style w:type="paragraph" w:customStyle="1" w:styleId="43">
    <w:name w:val="Char"/>
    <w:basedOn w:val="1"/>
    <w:uiPriority w:val="0"/>
    <w:rPr>
      <w:rFonts w:ascii="Tahoma" w:hAnsi="Tahoma"/>
      <w:sz w:val="24"/>
      <w:szCs w:val="20"/>
    </w:rPr>
  </w:style>
  <w:style w:type="paragraph" w:customStyle="1" w:styleId="44">
    <w:name w:val="样式 样式 标题 2 + 左侧:  0.74 厘米 + 左侧:  2 字符"/>
    <w:basedOn w:val="1"/>
    <w:qFormat/>
    <w:uiPriority w:val="0"/>
    <w:pPr>
      <w:keepNext/>
      <w:keepLines/>
      <w:snapToGrid w:val="0"/>
      <w:spacing w:before="240" w:after="240" w:line="120" w:lineRule="auto"/>
      <w:ind w:left="200" w:leftChars="200"/>
      <w:outlineLvl w:val="1"/>
    </w:pPr>
    <w:rPr>
      <w:rFonts w:ascii="Arial" w:hAnsi="Arial" w:eastAsia="黑体" w:cs="宋体"/>
      <w:kern w:val="0"/>
      <w:sz w:val="24"/>
      <w:szCs w:val="20"/>
    </w:rPr>
  </w:style>
  <w:style w:type="paragraph" w:customStyle="1" w:styleId="45">
    <w:name w:val="Char Char Char Char"/>
    <w:basedOn w:val="3"/>
    <w:qFormat/>
    <w:uiPriority w:val="0"/>
    <w:pPr>
      <w:snapToGrid w:val="0"/>
      <w:spacing w:before="240" w:after="240" w:line="348" w:lineRule="auto"/>
    </w:pPr>
    <w:rPr>
      <w:rFonts w:ascii="Tahoma" w:hAnsi="Tahoma"/>
      <w:bCs w:val="0"/>
      <w:kern w:val="2"/>
      <w:sz w:val="24"/>
      <w:szCs w:val="20"/>
    </w:rPr>
  </w:style>
  <w:style w:type="paragraph" w:customStyle="1" w:styleId="46">
    <w:name w:val="纯文本1"/>
    <w:basedOn w:val="1"/>
    <w:uiPriority w:val="0"/>
    <w:rPr>
      <w:rFonts w:ascii="宋体" w:hAnsi="Courier New" w:cs="宋体"/>
      <w:szCs w:val="21"/>
    </w:rPr>
  </w:style>
  <w:style w:type="paragraph" w:customStyle="1" w:styleId="47">
    <w:name w:val="Char Char"/>
    <w:basedOn w:val="6"/>
    <w:qFormat/>
    <w:uiPriority w:val="0"/>
    <w:rPr>
      <w:rFonts w:ascii="Tahoma" w:hAnsi="Tahoma" w:cs="Tahoma"/>
      <w:sz w:val="24"/>
    </w:rPr>
  </w:style>
  <w:style w:type="paragraph" w:styleId="48">
    <w:name w:val="List Paragraph"/>
    <w:basedOn w:val="1"/>
    <w:qFormat/>
    <w:uiPriority w:val="34"/>
    <w:pPr>
      <w:ind w:firstLine="420" w:firstLineChars="200"/>
    </w:pPr>
    <w:rPr>
      <w:szCs w:val="22"/>
    </w:rPr>
  </w:style>
  <w:style w:type="paragraph" w:customStyle="1" w:styleId="49">
    <w:name w:val="Char Char1 Char"/>
    <w:basedOn w:val="6"/>
    <w:qFormat/>
    <w:uiPriority w:val="0"/>
    <w:rPr>
      <w:rFonts w:ascii="Tahoma" w:hAnsi="Tahoma"/>
      <w:sz w:val="24"/>
    </w:rPr>
  </w:style>
  <w:style w:type="paragraph" w:customStyle="1" w:styleId="50">
    <w:name w:val="样式 样式 标题 1 + 左侧:  2 字符 + 左侧:  2 字符"/>
    <w:basedOn w:val="1"/>
    <w:qFormat/>
    <w:uiPriority w:val="0"/>
    <w:pPr>
      <w:keepNext/>
      <w:keepLines/>
      <w:spacing w:before="240" w:after="160"/>
      <w:ind w:left="420" w:leftChars="200"/>
      <w:outlineLvl w:val="0"/>
    </w:pPr>
    <w:rPr>
      <w:rFonts w:eastAsia="黑体" w:cs="宋体"/>
      <w:kern w:val="44"/>
      <w:sz w:val="24"/>
      <w:szCs w:val="20"/>
    </w:rPr>
  </w:style>
  <w:style w:type="paragraph" w:customStyle="1" w:styleId="51">
    <w:name w:val="Char Char1 Char Char Char Char"/>
    <w:basedOn w:val="3"/>
    <w:qFormat/>
    <w:uiPriority w:val="0"/>
    <w:pPr>
      <w:snapToGrid w:val="0"/>
      <w:spacing w:before="240" w:after="240" w:line="348" w:lineRule="auto"/>
    </w:pPr>
    <w:rPr>
      <w:rFonts w:ascii="Tahoma" w:hAnsi="Tahoma"/>
      <w:bCs w:val="0"/>
      <w:kern w:val="2"/>
      <w:sz w:val="24"/>
      <w:szCs w:val="20"/>
    </w:rPr>
  </w:style>
  <w:style w:type="paragraph" w:customStyle="1" w:styleId="52">
    <w:name w:val="Default"/>
    <w:qFormat/>
    <w:uiPriority w:val="0"/>
    <w:pPr>
      <w:widowControl w:val="0"/>
      <w:autoSpaceDE w:val="0"/>
      <w:autoSpaceDN w:val="0"/>
      <w:adjustRightInd w:val="0"/>
    </w:pPr>
    <w:rPr>
      <w:rFonts w:ascii="HiddenHorzOCl" w:hAnsi="Calibri" w:eastAsia="HiddenHorzOCl" w:cs="HiddenHorzOCl"/>
      <w:color w:val="000000"/>
      <w:sz w:val="24"/>
      <w:szCs w:val="24"/>
      <w:lang w:val="en-US" w:eastAsia="zh-CN" w:bidi="ar-SA"/>
    </w:rPr>
  </w:style>
  <w:style w:type="paragraph" w:customStyle="1" w:styleId="53">
    <w:name w:val="样式2"/>
    <w:basedOn w:val="5"/>
    <w:qFormat/>
    <w:uiPriority w:val="0"/>
    <w:rPr>
      <w:kern w:val="0"/>
      <w:sz w:val="24"/>
    </w:rPr>
  </w:style>
  <w:style w:type="paragraph" w:customStyle="1" w:styleId="54">
    <w:name w:val="Char Char Char Char Char Char1 Char Char Char Char Char Char Char Char Char1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5">
    <w:name w:val="Revision"/>
    <w:unhideWhenUsed/>
    <w:qFormat/>
    <w:uiPriority w:val="99"/>
    <w:rPr>
      <w:rFonts w:ascii="Calibri" w:hAnsi="Calibri" w:eastAsia="宋体" w:cs="Times New Roman"/>
      <w:kern w:val="2"/>
      <w:sz w:val="21"/>
      <w:szCs w:val="24"/>
      <w:lang w:val="en-US" w:eastAsia="zh-CN" w:bidi="ar-SA"/>
    </w:rPr>
  </w:style>
  <w:style w:type="paragraph" w:customStyle="1" w:styleId="56">
    <w:name w:val="列出段落2"/>
    <w:basedOn w:val="1"/>
    <w:qFormat/>
    <w:uiPriority w:val="34"/>
    <w:pPr>
      <w:widowControl/>
      <w:overflowPunct w:val="0"/>
      <w:autoSpaceDE w:val="0"/>
      <w:autoSpaceDN w:val="0"/>
      <w:adjustRightInd w:val="0"/>
      <w:ind w:firstLine="420" w:firstLineChars="200"/>
      <w:jc w:val="left"/>
    </w:pPr>
    <w:rPr>
      <w:rFonts w:ascii="Times New Roman" w:hAnsi="Times New Roman"/>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C3D11D-1275-49EB-BB0A-2DAE084BB023}">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17799</Words>
  <Characters>19479</Characters>
  <Lines>144</Lines>
  <Paragraphs>40</Paragraphs>
  <TotalTime>2192</TotalTime>
  <ScaleCrop>false</ScaleCrop>
  <LinksUpToDate>false</LinksUpToDate>
  <CharactersWithSpaces>19611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2016-06-14T06:31:00Z</dcterms:created>
  <dc:creator>user</dc:creator>
  <cp:lastModifiedBy>X.Y.</cp:lastModifiedBy>
  <cp:lastPrinted>2011-09-01T12:13:00Z</cp:lastPrinted>
  <dcterms:modified xsi:type="dcterms:W3CDTF">2023-09-14T02:19:35Z</dcterms:modified>
  <dc:title>治淮基本建设项目竣工决算审计报告大纲</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15F72C5357DC4970B91F0C3A33AAEFBA</vt:lpwstr>
  </property>
</Properties>
</file>