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57D20">
      <w:pPr>
        <w:pStyle w:val="6"/>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ascii="宋体" w:hAnsi="宋体" w:eastAsia="方正小标宋_GBK" w:cs="方正小标宋_GBK"/>
          <w:sz w:val="36"/>
          <w:szCs w:val="36"/>
        </w:rPr>
      </w:pPr>
    </w:p>
    <w:p w14:paraId="5FFA209A">
      <w:pPr>
        <w:pStyle w:val="6"/>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重庆市江津区防震减灾中心</w:t>
      </w:r>
    </w:p>
    <w:p w14:paraId="6E2A7A51">
      <w:pPr>
        <w:pStyle w:val="6"/>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2023年度决算</w:t>
      </w:r>
      <w:r>
        <w:rPr>
          <w:rFonts w:hint="eastAsia" w:ascii="方正小标宋_GBK" w:hAnsi="方正小标宋_GBK" w:eastAsia="方正小标宋_GBK" w:cs="方正小标宋_GBK"/>
          <w:sz w:val="44"/>
          <w:szCs w:val="44"/>
          <w:shd w:val="clear" w:color="auto" w:fill="FFFFFF"/>
          <w:lang w:eastAsia="zh-CN"/>
        </w:rPr>
        <w:t>公开</w:t>
      </w:r>
      <w:r>
        <w:rPr>
          <w:rFonts w:hint="eastAsia" w:ascii="方正小标宋_GBK" w:hAnsi="方正小标宋_GBK" w:eastAsia="方正小标宋_GBK" w:cs="方正小标宋_GBK"/>
          <w:sz w:val="44"/>
          <w:szCs w:val="44"/>
          <w:shd w:val="clear" w:color="auto" w:fill="FFFFFF"/>
        </w:rPr>
        <w:t>说明</w:t>
      </w:r>
    </w:p>
    <w:p w14:paraId="0A913416">
      <w:pPr>
        <w:pStyle w:val="6"/>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hint="default" w:ascii="宋体" w:hAnsi="宋体" w:eastAsia="方正小标宋_GBK" w:cs="方正小标宋_GBK"/>
          <w:sz w:val="36"/>
          <w:szCs w:val="36"/>
          <w:shd w:val="clear" w:color="auto" w:fill="FFFFFF"/>
        </w:rPr>
      </w:pPr>
    </w:p>
    <w:p w14:paraId="0D6943C7">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eastAsia" w:ascii="宋体" w:hAnsi="宋体" w:eastAsia="黑体" w:cs="黑体"/>
          <w:b w:val="0"/>
          <w:bCs/>
          <w:sz w:val="32"/>
          <w:szCs w:val="32"/>
        </w:rPr>
      </w:pPr>
      <w:r>
        <w:rPr>
          <w:rStyle w:val="10"/>
          <w:rFonts w:hint="eastAsia" w:ascii="宋体" w:hAnsi="宋体" w:eastAsia="黑体" w:cs="黑体"/>
          <w:b w:val="0"/>
          <w:bCs/>
          <w:sz w:val="32"/>
          <w:szCs w:val="32"/>
          <w:shd w:val="clear" w:color="auto" w:fill="FFFFFF"/>
        </w:rPr>
        <w:t>一、部门基本情况</w:t>
      </w:r>
    </w:p>
    <w:p w14:paraId="0AD0980A">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Fonts w:hint="eastAsia" w:ascii="宋体" w:hAnsi="宋体" w:eastAsia="方正楷体_GBK" w:cs="方正楷体_GBK"/>
          <w:b w:val="0"/>
          <w:bCs/>
          <w:sz w:val="32"/>
          <w:szCs w:val="32"/>
        </w:rPr>
      </w:pPr>
      <w:r>
        <w:rPr>
          <w:rStyle w:val="10"/>
          <w:rFonts w:hint="eastAsia" w:ascii="宋体" w:hAnsi="宋体" w:eastAsia="方正楷体_GBK" w:cs="方正楷体_GBK"/>
          <w:b w:val="0"/>
          <w:bCs/>
          <w:sz w:val="32"/>
          <w:szCs w:val="32"/>
          <w:shd w:val="clear" w:color="auto" w:fill="FFFFFF"/>
        </w:rPr>
        <w:t>（一）职能职责</w:t>
      </w:r>
    </w:p>
    <w:p w14:paraId="67973563">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宋体" w:hAnsi="宋体" w:eastAsia="方正仿宋_GBK" w:cs="方正仿宋_GBK"/>
          <w:b w:val="0"/>
          <w:bCs/>
          <w:sz w:val="32"/>
          <w:szCs w:val="32"/>
          <w:shd w:val="clear" w:color="auto" w:fill="FFFFFF"/>
        </w:rPr>
      </w:pPr>
      <w:r>
        <w:rPr>
          <w:rStyle w:val="10"/>
          <w:rFonts w:hint="eastAsia" w:ascii="宋体" w:hAnsi="宋体" w:eastAsia="方正仿宋_GBK" w:cs="方正仿宋_GBK"/>
          <w:b w:val="0"/>
          <w:bCs/>
          <w:sz w:val="32"/>
          <w:szCs w:val="32"/>
          <w:shd w:val="clear" w:color="auto" w:fill="FFFFFF"/>
        </w:rPr>
        <w:t>开展地震监测、信息速报、预报研究工作；开展地震监测设施及观测环境保护工作；负责地震安全生产监督管理具体事务性工作，协助开展重大工程和可能因地震产生严重次灾害的工程的地震安全性评价和抗震设防要求的审查和监管工作；开展地震灾害应急救援和地震群测群防工作；开展防震减灾科普知识宣传教育工作等。</w:t>
      </w:r>
    </w:p>
    <w:p w14:paraId="5E1B1CE4">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（二）机构设置</w:t>
      </w:r>
    </w:p>
    <w:p w14:paraId="31EE0243">
      <w:pPr>
        <w:keepNext w:val="0"/>
        <w:keepLines w:val="0"/>
        <w:pageBreakBefore w:val="0"/>
        <w:kinsoku/>
        <w:wordWrap/>
        <w:overflowPunct/>
        <w:topLinePunct w:val="0"/>
        <w:autoSpaceDN/>
        <w:bidi w:val="0"/>
        <w:adjustRightInd/>
        <w:snapToGrid w:val="0"/>
        <w:spacing w:beforeAutospacing="0" w:afterAutospacing="0" w:line="579" w:lineRule="exact"/>
        <w:ind w:firstLine="640" w:firstLineChars="200"/>
        <w:textAlignment w:val="auto"/>
        <w:rPr>
          <w:rFonts w:hint="eastAsia" w:ascii="宋体" w:hAnsi="宋体" w:eastAsia="仿宋_GB2312"/>
          <w:sz w:val="32"/>
          <w:szCs w:val="32"/>
        </w:rPr>
      </w:pPr>
      <w:r>
        <w:rPr>
          <w:rFonts w:hint="eastAsia" w:ascii="宋体" w:hAnsi="宋体" w:eastAsia="方正仿宋_GBK" w:cs="仿宋_GB2312"/>
          <w:kern w:val="2"/>
          <w:sz w:val="32"/>
          <w:szCs w:val="32"/>
          <w:lang w:val="en-US" w:eastAsia="zh-CN" w:bidi="ar-SA"/>
        </w:rPr>
        <w:t>本单位无内设机构。</w:t>
      </w:r>
    </w:p>
    <w:p w14:paraId="7EBA7032">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宋体" w:hAnsi="宋体" w:eastAsia="黑体" w:cs="黑体"/>
          <w:b w:val="0"/>
          <w:bCs/>
          <w:sz w:val="32"/>
          <w:szCs w:val="32"/>
          <w:shd w:val="clear" w:color="auto" w:fill="FFFFFF"/>
        </w:rPr>
      </w:pPr>
      <w:r>
        <w:rPr>
          <w:rStyle w:val="10"/>
          <w:rFonts w:hint="eastAsia" w:ascii="宋体" w:hAnsi="宋体" w:eastAsia="黑体" w:cs="黑体"/>
          <w:b w:val="0"/>
          <w:bCs/>
          <w:sz w:val="32"/>
          <w:szCs w:val="32"/>
          <w:shd w:val="clear" w:color="auto" w:fill="FFFFFF"/>
        </w:rPr>
        <w:t>二、部门决算情况说明</w:t>
      </w:r>
    </w:p>
    <w:p w14:paraId="78C8F774">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（一）收入支出决算总体情况说明。</w:t>
      </w:r>
    </w:p>
    <w:p w14:paraId="28DD34F6">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3" w:firstLineChars="200"/>
        <w:textAlignment w:val="auto"/>
        <w:rPr>
          <w:rFonts w:hint="default" w:ascii="宋体" w:hAnsi="宋体" w:eastAsia="方正仿宋_GBK" w:cs="方正仿宋_GBK"/>
          <w:sz w:val="32"/>
          <w:szCs w:val="32"/>
        </w:rPr>
      </w:pPr>
      <w:r>
        <w:rPr>
          <w:rStyle w:val="10"/>
          <w:rFonts w:ascii="宋体" w:hAnsi="宋体" w:eastAsia="方正仿宋_GBK" w:cs="方正仿宋_GBK"/>
          <w:sz w:val="32"/>
          <w:szCs w:val="32"/>
          <w:shd w:val="clear" w:color="auto" w:fill="FFFFFF"/>
        </w:rPr>
        <w:t>1.总体情况。</w:t>
      </w:r>
      <w:r>
        <w:rPr>
          <w:rFonts w:ascii="宋体" w:hAnsi="宋体" w:eastAsia="方正仿宋_GBK" w:cs="方正仿宋_GBK"/>
          <w:sz w:val="32"/>
          <w:szCs w:val="32"/>
          <w:shd w:val="clear" w:color="auto" w:fill="FFFFFF"/>
        </w:rPr>
        <w:t>2023年度收入总计106.07万元，支出总计</w:t>
      </w:r>
      <w:r>
        <w:rPr>
          <w:rFonts w:ascii="宋体" w:hAnsi="宋体" w:eastAsia="方正仿宋_GBK" w:cs="方正仿宋_GBK"/>
          <w:sz w:val="32"/>
          <w:szCs w:val="32"/>
        </w:rPr>
        <w:t>106.07</w:t>
      </w:r>
      <w:r>
        <w:rPr>
          <w:rFonts w:ascii="宋体" w:hAnsi="宋体" w:eastAsia="方正仿宋_GBK" w:cs="方正仿宋_GBK"/>
          <w:sz w:val="32"/>
          <w:szCs w:val="32"/>
          <w:shd w:val="clear" w:color="auto" w:fill="FFFFFF"/>
        </w:rPr>
        <w:t>万元。收支较上年决算数增加26.41万元，增长33.15%，主要原因是</w:t>
      </w:r>
      <w:r>
        <w:rPr>
          <w:rFonts w:ascii="宋体" w:hAnsi="宋体" w:eastAsia="方正仿宋_GBK" w:cs="方正仿宋_GBK"/>
          <w:kern w:val="2"/>
          <w:sz w:val="32"/>
          <w:szCs w:val="32"/>
          <w:lang w:val="en-US" w:eastAsia="zh-CN" w:bidi="ar-SA"/>
        </w:rPr>
        <w:t>本年度调入人员</w:t>
      </w:r>
      <w:r>
        <w:rPr>
          <w:rFonts w:hint="eastAsia" w:ascii="宋体" w:hAnsi="宋体" w:eastAsia="方正仿宋_GBK" w:cs="方正仿宋_GBK"/>
          <w:kern w:val="2"/>
          <w:sz w:val="32"/>
          <w:szCs w:val="32"/>
          <w:lang w:val="en-US" w:eastAsia="zh-CN" w:bidi="ar-SA"/>
        </w:rPr>
        <w:t>3</w:t>
      </w:r>
      <w:r>
        <w:rPr>
          <w:rFonts w:ascii="宋体" w:hAnsi="宋体" w:eastAsia="方正仿宋_GBK" w:cs="方正仿宋_GBK"/>
          <w:kern w:val="2"/>
          <w:sz w:val="32"/>
          <w:szCs w:val="32"/>
          <w:lang w:val="en-US" w:eastAsia="zh-CN" w:bidi="ar-SA"/>
        </w:rPr>
        <w:t>人</w:t>
      </w:r>
      <w:r>
        <w:rPr>
          <w:rFonts w:hint="eastAsia" w:ascii="宋体" w:hAnsi="宋体" w:eastAsia="仿宋_GB2312"/>
          <w:sz w:val="32"/>
          <w:szCs w:val="32"/>
        </w:rPr>
        <w:t>，新增地震灾害风险普查预评估费用19.68万元。</w:t>
      </w:r>
    </w:p>
    <w:p w14:paraId="2FF730FD">
      <w:pPr>
        <w:keepNext w:val="0"/>
        <w:keepLines w:val="0"/>
        <w:pageBreakBefore w:val="0"/>
        <w:kinsoku/>
        <w:wordWrap/>
        <w:overflowPunct/>
        <w:topLinePunct w:val="0"/>
        <w:autoSpaceDN/>
        <w:bidi w:val="0"/>
        <w:adjustRightInd/>
        <w:snapToGrid w:val="0"/>
        <w:spacing w:beforeAutospacing="0" w:afterAutospacing="0" w:line="579" w:lineRule="exact"/>
        <w:ind w:firstLine="643" w:firstLineChars="200"/>
        <w:textAlignment w:val="auto"/>
        <w:rPr>
          <w:rFonts w:ascii="宋体" w:hAnsi="宋体" w:eastAsia="方正仿宋_GBK" w:cs="方正仿宋_GBK"/>
          <w:kern w:val="2"/>
          <w:sz w:val="32"/>
          <w:szCs w:val="32"/>
          <w:lang w:val="en-US" w:eastAsia="zh-CN" w:bidi="ar-SA"/>
        </w:rPr>
      </w:pPr>
      <w:r>
        <w:rPr>
          <w:rStyle w:val="10"/>
          <w:rFonts w:ascii="宋体" w:hAnsi="宋体" w:eastAsia="方正仿宋_GBK" w:cs="方正仿宋_GBK"/>
          <w:sz w:val="32"/>
          <w:szCs w:val="32"/>
          <w:shd w:val="clear" w:color="auto" w:fill="FFFFFF"/>
        </w:rPr>
        <w:t>2.收入情况。</w:t>
      </w:r>
      <w:r>
        <w:rPr>
          <w:rFonts w:ascii="宋体" w:hAnsi="宋体" w:eastAsia="方正仿宋_GBK" w:cs="方正仿宋_GBK"/>
          <w:sz w:val="32"/>
          <w:szCs w:val="32"/>
          <w:shd w:val="clear" w:color="auto" w:fill="FFFFFF"/>
        </w:rPr>
        <w:t>2023年度收入合计</w:t>
      </w:r>
      <w:r>
        <w:rPr>
          <w:rFonts w:hint="eastAsia" w:ascii="宋体" w:hAnsi="宋体" w:eastAsia="方正仿宋_GBK" w:cs="方正仿宋_GBK"/>
          <w:sz w:val="32"/>
          <w:szCs w:val="32"/>
          <w:shd w:val="clear" w:color="auto" w:fill="FFFFFF"/>
        </w:rPr>
        <w:t>106.07</w:t>
      </w:r>
      <w:r>
        <w:rPr>
          <w:rFonts w:ascii="宋体" w:hAnsi="宋体" w:eastAsia="方正仿宋_GBK" w:cs="方正仿宋_GBK"/>
          <w:sz w:val="32"/>
          <w:szCs w:val="32"/>
          <w:shd w:val="clear" w:color="auto" w:fill="FFFFFF"/>
        </w:rPr>
        <w:t>万元，较上年决算数增加26.41万元，增长33.15%，主要原因是</w:t>
      </w:r>
      <w:r>
        <w:rPr>
          <w:rFonts w:ascii="宋体" w:hAnsi="宋体" w:eastAsia="方正仿宋_GBK" w:cs="方正仿宋_GBK"/>
          <w:kern w:val="2"/>
          <w:sz w:val="32"/>
          <w:szCs w:val="32"/>
          <w:lang w:val="en-US" w:eastAsia="zh-CN" w:bidi="ar-SA"/>
        </w:rPr>
        <w:t>本年度调入人员3人，</w:t>
      </w:r>
      <w:r>
        <w:rPr>
          <w:rFonts w:hint="eastAsia" w:ascii="宋体" w:hAnsi="宋体" w:eastAsia="仿宋_GB2312"/>
          <w:sz w:val="32"/>
          <w:szCs w:val="32"/>
        </w:rPr>
        <w:t>新增地震灾害风险普查预评估费用19.68万元。</w:t>
      </w:r>
    </w:p>
    <w:p w14:paraId="5A5FC29C">
      <w:pPr>
        <w:pStyle w:val="6"/>
        <w:keepNext w:val="0"/>
        <w:keepLines w:val="0"/>
        <w:pageBreakBefore w:val="0"/>
        <w:kinsoku/>
        <w:wordWrap/>
        <w:overflowPunct/>
        <w:topLinePunct w:val="0"/>
        <w:autoSpaceDN/>
        <w:bidi w:val="0"/>
        <w:adjustRightInd/>
        <w:snapToGrid w:val="0"/>
        <w:spacing w:before="0" w:beforeAutospacing="0" w:after="0" w:afterAutospacing="0" w:line="579" w:lineRule="exact"/>
        <w:jc w:val="both"/>
        <w:textAlignment w:val="auto"/>
        <w:rPr>
          <w:rFonts w:hint="default" w:ascii="宋体" w:hAnsi="宋体" w:eastAsia="方正仿宋_GBK" w:cs="方正仿宋_GBK"/>
          <w:sz w:val="32"/>
          <w:szCs w:val="32"/>
          <w:shd w:val="clear" w:color="auto" w:fill="FFFFFF"/>
        </w:rPr>
      </w:pPr>
      <w:r>
        <w:rPr>
          <w:rFonts w:ascii="宋体" w:hAnsi="宋体" w:eastAsia="方正仿宋_GBK" w:cs="方正仿宋_GBK"/>
          <w:sz w:val="32"/>
          <w:szCs w:val="32"/>
          <w:shd w:val="clear" w:color="auto" w:fill="FFFFFF"/>
        </w:rPr>
        <w:t>其中：财政拨款收入</w:t>
      </w:r>
      <w:r>
        <w:rPr>
          <w:rFonts w:ascii="宋体" w:hAnsi="宋体" w:eastAsia="方正仿宋_GBK" w:cs="方正仿宋_GBK"/>
          <w:sz w:val="32"/>
          <w:szCs w:val="32"/>
        </w:rPr>
        <w:t>106.07</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100.00</w:t>
      </w:r>
      <w:r>
        <w:rPr>
          <w:rFonts w:ascii="宋体" w:hAnsi="宋体" w:eastAsia="方正仿宋_GBK" w:cs="方正仿宋_GBK"/>
          <w:sz w:val="32"/>
          <w:szCs w:val="32"/>
          <w:shd w:val="clear" w:color="auto" w:fill="FFFFFF"/>
        </w:rPr>
        <w:t>%；事业收入</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万元，占0.00%；经营收入</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万元，占0.00%；其他收入</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万元，占0.00%。此外，使用非财政拨款结余和专用结余</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万元，年初结转和结余</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p>
    <w:p w14:paraId="5E3902BD">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宋体" w:hAnsi="宋体" w:eastAsia="方正仿宋_GBK" w:cs="方正仿宋_GBK"/>
          <w:sz w:val="32"/>
          <w:szCs w:val="32"/>
          <w:shd w:val="clear" w:color="auto" w:fill="FFFFFF"/>
        </w:rPr>
      </w:pPr>
      <w:r>
        <w:rPr>
          <w:rStyle w:val="10"/>
          <w:rFonts w:ascii="宋体" w:hAnsi="宋体" w:eastAsia="方正仿宋_GBK" w:cs="方正仿宋_GBK"/>
          <w:sz w:val="32"/>
          <w:szCs w:val="32"/>
          <w:shd w:val="clear" w:color="auto" w:fill="FFFFFF"/>
        </w:rPr>
        <w:t>3.支出情况。</w:t>
      </w:r>
      <w:r>
        <w:rPr>
          <w:rFonts w:ascii="宋体" w:hAnsi="宋体" w:eastAsia="方正仿宋_GBK" w:cs="方正仿宋_GBK"/>
          <w:sz w:val="32"/>
          <w:szCs w:val="32"/>
          <w:shd w:val="clear" w:color="auto" w:fill="FFFFFF"/>
        </w:rPr>
        <w:t>2023年度支出合计</w:t>
      </w:r>
      <w:r>
        <w:rPr>
          <w:rFonts w:ascii="宋体" w:hAnsi="宋体" w:eastAsia="方正仿宋_GBK" w:cs="方正仿宋_GBK"/>
          <w:sz w:val="32"/>
          <w:szCs w:val="32"/>
        </w:rPr>
        <w:t>106.07</w:t>
      </w:r>
      <w:r>
        <w:rPr>
          <w:rFonts w:ascii="宋体" w:hAnsi="宋体" w:eastAsia="方正仿宋_GBK" w:cs="方正仿宋_GBK"/>
          <w:sz w:val="32"/>
          <w:szCs w:val="32"/>
          <w:shd w:val="clear" w:color="auto" w:fill="FFFFFF"/>
        </w:rPr>
        <w:t>万元，较上年决算数增加26.41万元，增长33.15%，主要原因是</w:t>
      </w:r>
      <w:r>
        <w:rPr>
          <w:rFonts w:ascii="宋体" w:hAnsi="宋体" w:eastAsia="方正仿宋_GBK" w:cs="方正仿宋_GBK"/>
          <w:kern w:val="2"/>
          <w:sz w:val="32"/>
          <w:szCs w:val="32"/>
          <w:lang w:val="en-US" w:eastAsia="zh-CN" w:bidi="ar-SA"/>
        </w:rPr>
        <w:t>本年度调入人员3人，</w:t>
      </w:r>
      <w:r>
        <w:rPr>
          <w:rFonts w:hint="eastAsia" w:ascii="宋体" w:hAnsi="宋体" w:eastAsia="仿宋_GB2312"/>
          <w:sz w:val="32"/>
          <w:szCs w:val="32"/>
        </w:rPr>
        <w:t>新增地震灾害风险普查预评估费用19.68万元。</w:t>
      </w:r>
      <w:r>
        <w:rPr>
          <w:rFonts w:ascii="宋体" w:hAnsi="宋体" w:eastAsia="方正仿宋_GBK" w:cs="方正仿宋_GBK"/>
          <w:sz w:val="32"/>
          <w:szCs w:val="32"/>
          <w:shd w:val="clear" w:color="auto" w:fill="FFFFFF"/>
        </w:rPr>
        <w:t>其中：基本支出</w:t>
      </w:r>
      <w:r>
        <w:rPr>
          <w:rFonts w:ascii="宋体" w:hAnsi="宋体" w:eastAsia="方正仿宋_GBK" w:cs="方正仿宋_GBK"/>
          <w:sz w:val="32"/>
          <w:szCs w:val="32"/>
        </w:rPr>
        <w:t>73.82</w:t>
      </w:r>
      <w:r>
        <w:rPr>
          <w:rFonts w:ascii="宋体" w:hAnsi="宋体" w:eastAsia="方正仿宋_GBK" w:cs="方正仿宋_GBK"/>
          <w:sz w:val="32"/>
          <w:szCs w:val="32"/>
          <w:shd w:val="clear" w:color="auto" w:fill="FFFFFF"/>
        </w:rPr>
        <w:t>万元，占69.59%；项目支出</w:t>
      </w:r>
      <w:r>
        <w:rPr>
          <w:rFonts w:ascii="宋体" w:hAnsi="宋体" w:eastAsia="方正仿宋_GBK" w:cs="方正仿宋_GBK"/>
          <w:sz w:val="32"/>
          <w:szCs w:val="32"/>
        </w:rPr>
        <w:t>32.25</w:t>
      </w:r>
      <w:r>
        <w:rPr>
          <w:rFonts w:ascii="宋体" w:hAnsi="宋体" w:eastAsia="方正仿宋_GBK" w:cs="方正仿宋_GBK"/>
          <w:sz w:val="32"/>
          <w:szCs w:val="32"/>
          <w:shd w:val="clear" w:color="auto" w:fill="FFFFFF"/>
        </w:rPr>
        <w:t>万元，占30.41%；经营支出</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万元，占0.00%。此外，结余分配</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p>
    <w:p w14:paraId="04BABD72">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eastAsia" w:ascii="宋体" w:hAnsi="宋体" w:eastAsia="方正仿宋_GBK" w:cs="方正仿宋_GBK"/>
          <w:sz w:val="32"/>
          <w:szCs w:val="32"/>
          <w:lang w:val="en-US" w:eastAsia="zh-CN"/>
        </w:rPr>
      </w:pPr>
      <w:r>
        <w:rPr>
          <w:rStyle w:val="10"/>
          <w:rFonts w:ascii="宋体" w:hAnsi="宋体" w:eastAsia="方正仿宋_GBK" w:cs="方正仿宋_GBK"/>
          <w:sz w:val="32"/>
          <w:szCs w:val="32"/>
          <w:shd w:val="clear" w:color="auto" w:fill="FFFFFF"/>
        </w:rPr>
        <w:t>4.结转结余情况。</w:t>
      </w:r>
      <w:r>
        <w:rPr>
          <w:rFonts w:ascii="宋体" w:hAnsi="宋体" w:eastAsia="方正仿宋_GBK" w:cs="方正仿宋_GBK"/>
          <w:sz w:val="32"/>
          <w:szCs w:val="32"/>
          <w:shd w:val="clear" w:color="auto" w:fill="FFFFFF"/>
        </w:rPr>
        <w:t>2023年度年末结转和结余</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r>
        <w:rPr>
          <w:rFonts w:hint="eastAsia" w:ascii="宋体" w:hAnsi="宋体" w:eastAsia="方正仿宋_GBK" w:cs="方正仿宋_GBK"/>
          <w:sz w:val="32"/>
          <w:szCs w:val="32"/>
          <w:shd w:val="clear" w:color="auto" w:fill="FFFFFF"/>
          <w:lang w:eastAsia="zh-CN"/>
        </w:rPr>
        <w:t>。</w:t>
      </w:r>
    </w:p>
    <w:p w14:paraId="49738B3A">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（二）财政拨款收入支出决算总体情况说明</w:t>
      </w:r>
    </w:p>
    <w:p w14:paraId="4BA0D159">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2023年度财政拨款收、支总计</w:t>
      </w:r>
      <w:r>
        <w:rPr>
          <w:rFonts w:hint="eastAsia" w:ascii="宋体" w:hAnsi="宋体" w:eastAsia="方正仿宋_GBK" w:cs="方正仿宋_GBK"/>
          <w:sz w:val="32"/>
          <w:szCs w:val="32"/>
          <w:shd w:val="clear" w:color="auto" w:fill="FFFFFF"/>
        </w:rPr>
        <w:t>106.07</w:t>
      </w:r>
      <w:r>
        <w:rPr>
          <w:rFonts w:ascii="宋体" w:hAnsi="宋体" w:eastAsia="方正仿宋_GBK" w:cs="方正仿宋_GBK"/>
          <w:sz w:val="32"/>
          <w:szCs w:val="32"/>
          <w:shd w:val="clear" w:color="auto" w:fill="FFFFFF"/>
        </w:rPr>
        <w:t>万元。与2022年相比，财政拨款收、支总计各增加26.41万元，增长33.15%。主要原因是</w:t>
      </w:r>
      <w:r>
        <w:rPr>
          <w:rFonts w:ascii="宋体" w:hAnsi="宋体" w:eastAsia="方正仿宋_GBK" w:cs="方正仿宋_GBK"/>
          <w:kern w:val="2"/>
          <w:sz w:val="32"/>
          <w:szCs w:val="32"/>
          <w:lang w:val="en-US" w:eastAsia="zh-CN" w:bidi="ar-SA"/>
        </w:rPr>
        <w:t>本年度调入人员3人，</w:t>
      </w:r>
      <w:r>
        <w:rPr>
          <w:rFonts w:hint="eastAsia" w:ascii="宋体" w:hAnsi="宋体" w:eastAsia="仿宋_GB2312"/>
          <w:sz w:val="32"/>
          <w:szCs w:val="32"/>
        </w:rPr>
        <w:t>新增地震灾害风险普查预评估费用19.68万元。</w:t>
      </w:r>
    </w:p>
    <w:p w14:paraId="7E692A13">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（三）一般公共预算财政拨款收入支出决算情况说明</w:t>
      </w:r>
    </w:p>
    <w:p w14:paraId="7D8EA848">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宋体" w:hAnsi="宋体" w:eastAsia="方正仿宋_GBK" w:cs="方正仿宋_GBK"/>
          <w:sz w:val="32"/>
          <w:szCs w:val="32"/>
        </w:rPr>
      </w:pPr>
      <w:r>
        <w:rPr>
          <w:rStyle w:val="10"/>
          <w:rFonts w:ascii="宋体" w:hAnsi="宋体" w:eastAsia="方正仿宋_GBK" w:cs="方正仿宋_GBK"/>
          <w:sz w:val="32"/>
          <w:szCs w:val="32"/>
          <w:shd w:val="clear" w:color="auto" w:fill="FFFFFF"/>
        </w:rPr>
        <w:t>1.收入情况。</w:t>
      </w:r>
      <w:r>
        <w:rPr>
          <w:rFonts w:ascii="宋体" w:hAnsi="宋体" w:eastAsia="方正仿宋_GBK" w:cs="方正仿宋_GBK"/>
          <w:sz w:val="32"/>
          <w:szCs w:val="32"/>
          <w:shd w:val="clear" w:color="auto" w:fill="FFFFFF"/>
        </w:rPr>
        <w:t>2023年度一般公共预算财政拨款收入</w:t>
      </w:r>
      <w:r>
        <w:rPr>
          <w:rFonts w:ascii="宋体" w:hAnsi="宋体" w:eastAsia="方正仿宋_GBK" w:cs="方正仿宋_GBK"/>
          <w:sz w:val="32"/>
          <w:szCs w:val="32"/>
        </w:rPr>
        <w:t>106.07</w:t>
      </w:r>
      <w:r>
        <w:rPr>
          <w:rFonts w:ascii="宋体" w:hAnsi="宋体" w:eastAsia="方正仿宋_GBK" w:cs="方正仿宋_GBK"/>
          <w:sz w:val="32"/>
          <w:szCs w:val="32"/>
          <w:shd w:val="clear" w:color="auto" w:fill="FFFFFF"/>
        </w:rPr>
        <w:t>万元，较上年决算数增加26.41万元，增长33.15%。主要原因是</w:t>
      </w:r>
      <w:r>
        <w:rPr>
          <w:rFonts w:ascii="宋体" w:hAnsi="宋体" w:eastAsia="方正仿宋_GBK" w:cs="方正仿宋_GBK"/>
          <w:kern w:val="2"/>
          <w:sz w:val="32"/>
          <w:szCs w:val="32"/>
          <w:lang w:val="en-US" w:eastAsia="zh-CN" w:bidi="ar-SA"/>
        </w:rPr>
        <w:t>本年度调入人员3人，</w:t>
      </w:r>
      <w:r>
        <w:rPr>
          <w:rFonts w:hint="eastAsia" w:ascii="宋体" w:hAnsi="宋体" w:eastAsia="仿宋_GB2312"/>
          <w:sz w:val="32"/>
          <w:szCs w:val="32"/>
        </w:rPr>
        <w:t>新增地震灾害风险普查预评估费用19.68万元。</w:t>
      </w:r>
      <w:r>
        <w:rPr>
          <w:rFonts w:ascii="宋体" w:hAnsi="宋体" w:eastAsia="方正仿宋_GBK" w:cs="方正仿宋_GBK"/>
          <w:sz w:val="32"/>
          <w:szCs w:val="32"/>
          <w:shd w:val="clear" w:color="auto" w:fill="FFFFFF"/>
        </w:rPr>
        <w:t>较年初预算数增加24.35万元，增长29.80%。主要原因是</w:t>
      </w:r>
      <w:r>
        <w:rPr>
          <w:rFonts w:ascii="宋体" w:hAnsi="宋体" w:eastAsia="方正仿宋_GBK" w:cs="方正仿宋_GBK"/>
          <w:kern w:val="2"/>
          <w:sz w:val="32"/>
          <w:szCs w:val="32"/>
          <w:lang w:val="en-US" w:eastAsia="zh-CN" w:bidi="ar-SA"/>
        </w:rPr>
        <w:t>本年度调入人员3人，</w:t>
      </w:r>
      <w:r>
        <w:rPr>
          <w:rFonts w:hint="eastAsia" w:ascii="宋体" w:hAnsi="宋体" w:eastAsia="仿宋_GB2312"/>
          <w:sz w:val="32"/>
          <w:szCs w:val="32"/>
        </w:rPr>
        <w:t>新增地震灾害风险普查预评估费用19.68万元。</w:t>
      </w:r>
      <w:r>
        <w:rPr>
          <w:rFonts w:ascii="宋体" w:hAnsi="宋体" w:eastAsia="方正仿宋_GBK" w:cs="方正仿宋_GBK"/>
          <w:sz w:val="32"/>
          <w:szCs w:val="32"/>
          <w:shd w:val="clear" w:color="auto" w:fill="FFFFFF"/>
        </w:rPr>
        <w:t>此外，年初财政拨款结转和结余</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p>
    <w:p w14:paraId="024FDA70">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宋体" w:hAnsi="宋体" w:eastAsia="方正仿宋_GBK" w:cs="方正仿宋_GBK"/>
          <w:sz w:val="32"/>
          <w:szCs w:val="32"/>
        </w:rPr>
      </w:pPr>
      <w:r>
        <w:rPr>
          <w:rStyle w:val="10"/>
          <w:rFonts w:ascii="宋体" w:hAnsi="宋体" w:eastAsia="方正仿宋_GBK" w:cs="方正仿宋_GBK"/>
          <w:sz w:val="32"/>
          <w:szCs w:val="32"/>
          <w:shd w:val="clear" w:color="auto" w:fill="FFFFFF"/>
        </w:rPr>
        <w:t>2.支出情况。</w:t>
      </w:r>
      <w:r>
        <w:rPr>
          <w:rFonts w:ascii="宋体" w:hAnsi="宋体" w:eastAsia="方正仿宋_GBK" w:cs="方正仿宋_GBK"/>
          <w:sz w:val="32"/>
          <w:szCs w:val="32"/>
          <w:shd w:val="clear" w:color="auto" w:fill="FFFFFF"/>
        </w:rPr>
        <w:t>2023年度一般公共预算财政拨款支出</w:t>
      </w:r>
      <w:r>
        <w:rPr>
          <w:rFonts w:ascii="宋体" w:hAnsi="宋体" w:eastAsia="方正仿宋_GBK" w:cs="方正仿宋_GBK"/>
          <w:sz w:val="32"/>
          <w:szCs w:val="32"/>
        </w:rPr>
        <w:t>106.07</w:t>
      </w:r>
      <w:r>
        <w:rPr>
          <w:rFonts w:ascii="宋体" w:hAnsi="宋体" w:eastAsia="方正仿宋_GBK" w:cs="方正仿宋_GBK"/>
          <w:sz w:val="32"/>
          <w:szCs w:val="32"/>
          <w:shd w:val="clear" w:color="auto" w:fill="FFFFFF"/>
        </w:rPr>
        <w:t>万元，较上年决算数增加26.41万元，增长33.15%。主要原因是</w:t>
      </w:r>
      <w:r>
        <w:rPr>
          <w:rFonts w:ascii="宋体" w:hAnsi="宋体" w:eastAsia="方正仿宋_GBK" w:cs="方正仿宋_GBK"/>
          <w:kern w:val="2"/>
          <w:sz w:val="32"/>
          <w:szCs w:val="32"/>
          <w:lang w:val="en-US" w:eastAsia="zh-CN" w:bidi="ar-SA"/>
        </w:rPr>
        <w:t>本年度调入人员3人，</w:t>
      </w:r>
      <w:r>
        <w:rPr>
          <w:rFonts w:hint="eastAsia" w:ascii="宋体" w:hAnsi="宋体" w:eastAsia="仿宋_GB2312"/>
          <w:sz w:val="32"/>
          <w:szCs w:val="32"/>
        </w:rPr>
        <w:t>新增地震灾害风险普查预评估费用19.68万元。</w:t>
      </w:r>
      <w:r>
        <w:rPr>
          <w:rFonts w:ascii="宋体" w:hAnsi="宋体" w:eastAsia="方正仿宋_GBK" w:cs="方正仿宋_GBK"/>
          <w:sz w:val="32"/>
          <w:szCs w:val="32"/>
          <w:shd w:val="clear" w:color="auto" w:fill="FFFFFF"/>
        </w:rPr>
        <w:t>较年初预算数增加24.35万元，增长29.80%。主要原因是</w:t>
      </w:r>
      <w:r>
        <w:rPr>
          <w:rFonts w:ascii="宋体" w:hAnsi="宋体" w:eastAsia="方正仿宋_GBK" w:cs="方正仿宋_GBK"/>
          <w:kern w:val="2"/>
          <w:sz w:val="32"/>
          <w:szCs w:val="32"/>
          <w:lang w:val="en-US" w:eastAsia="zh-CN" w:bidi="ar-SA"/>
        </w:rPr>
        <w:t>本年度调入人员3人，</w:t>
      </w:r>
      <w:r>
        <w:rPr>
          <w:rFonts w:hint="eastAsia" w:ascii="宋体" w:hAnsi="宋体" w:eastAsia="仿宋_GB2312"/>
          <w:sz w:val="32"/>
          <w:szCs w:val="32"/>
        </w:rPr>
        <w:t>新增地震灾害风险普查预评估费用19.68万元。</w:t>
      </w:r>
    </w:p>
    <w:p w14:paraId="599F8D64">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eastAsia" w:ascii="宋体" w:hAnsi="宋体" w:eastAsia="方正仿宋_GBK" w:cs="方正仿宋_GBK"/>
          <w:sz w:val="32"/>
          <w:szCs w:val="32"/>
          <w:lang w:eastAsia="zh-CN"/>
        </w:rPr>
      </w:pPr>
      <w:r>
        <w:rPr>
          <w:rStyle w:val="10"/>
          <w:rFonts w:ascii="宋体" w:hAnsi="宋体" w:eastAsia="方正仿宋_GBK" w:cs="方正仿宋_GBK"/>
          <w:sz w:val="32"/>
          <w:szCs w:val="32"/>
          <w:shd w:val="clear" w:color="auto" w:fill="FFFFFF"/>
        </w:rPr>
        <w:t>3.结转结余情况。</w:t>
      </w:r>
      <w:r>
        <w:rPr>
          <w:rFonts w:ascii="宋体" w:hAnsi="宋体" w:eastAsia="方正仿宋_GBK" w:cs="方正仿宋_GBK"/>
          <w:sz w:val="32"/>
          <w:szCs w:val="32"/>
          <w:shd w:val="clear" w:color="auto" w:fill="FFFFFF"/>
        </w:rPr>
        <w:t>2023年度年末一般公共预算财政拨款结转和结余</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r>
        <w:rPr>
          <w:rFonts w:hint="eastAsia" w:ascii="宋体" w:hAnsi="宋体" w:eastAsia="方正仿宋_GBK" w:cs="方正仿宋_GBK"/>
          <w:sz w:val="32"/>
          <w:szCs w:val="32"/>
          <w:shd w:val="clear" w:color="auto" w:fill="FFFFFF"/>
          <w:lang w:eastAsia="zh-CN"/>
        </w:rPr>
        <w:t>。</w:t>
      </w:r>
    </w:p>
    <w:p w14:paraId="2A5CA985">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321" w:firstLineChars="100"/>
        <w:jc w:val="both"/>
        <w:textAlignment w:val="auto"/>
        <w:rPr>
          <w:rFonts w:hint="default" w:ascii="宋体" w:hAnsi="宋体" w:eastAsia="方正仿宋_GBK" w:cs="方正仿宋_GBK"/>
          <w:color w:val="FF0000"/>
          <w:sz w:val="32"/>
          <w:szCs w:val="32"/>
          <w:highlight w:val="cyan"/>
          <w:shd w:val="clear" w:color="auto" w:fill="FFFFFF"/>
        </w:rPr>
      </w:pPr>
      <w:r>
        <w:rPr>
          <w:rStyle w:val="10"/>
          <w:rFonts w:ascii="宋体" w:hAnsi="宋体" w:eastAsia="方正仿宋_GBK" w:cs="方正仿宋_GBK"/>
          <w:sz w:val="32"/>
          <w:szCs w:val="32"/>
          <w:shd w:val="clear" w:color="auto" w:fill="FFFFFF"/>
        </w:rPr>
        <w:t xml:space="preserve"> 4.比较情况。</w:t>
      </w:r>
      <w:r>
        <w:rPr>
          <w:rFonts w:ascii="宋体" w:hAnsi="宋体" w:eastAsia="方正仿宋_GBK" w:cs="方正仿宋_GBK"/>
          <w:sz w:val="32"/>
          <w:szCs w:val="32"/>
          <w:shd w:val="clear" w:color="auto" w:fill="FFFFFF"/>
        </w:rPr>
        <w:t>本部门2023年度一般公共预算财政拨款支出主要用于以下几个方面：</w:t>
      </w:r>
    </w:p>
    <w:p w14:paraId="3A3B6CDE">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val="en-US" w:eastAsia="zh-CN"/>
        </w:rPr>
        <w:t>1</w:t>
      </w:r>
      <w:r>
        <w:rPr>
          <w:rFonts w:ascii="宋体" w:hAnsi="宋体" w:eastAsia="方正仿宋_GBK" w:cs="方正仿宋_GBK"/>
          <w:sz w:val="32"/>
          <w:szCs w:val="32"/>
          <w:shd w:val="clear" w:color="auto" w:fill="FFFFFF"/>
        </w:rPr>
        <w:t>）教育支出</w:t>
      </w:r>
      <w:r>
        <w:rPr>
          <w:rFonts w:ascii="宋体" w:hAnsi="宋体" w:eastAsia="方正仿宋_GBK" w:cs="方正仿宋_GBK"/>
          <w:sz w:val="32"/>
          <w:szCs w:val="32"/>
        </w:rPr>
        <w:t>0.36</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0.34</w:t>
      </w:r>
      <w:r>
        <w:rPr>
          <w:rFonts w:ascii="宋体" w:hAnsi="宋体" w:eastAsia="方正仿宋_GBK" w:cs="方正仿宋_GBK"/>
          <w:sz w:val="32"/>
          <w:szCs w:val="32"/>
          <w:shd w:val="clear" w:color="auto" w:fill="FFFFFF"/>
        </w:rPr>
        <w:t>%，</w:t>
      </w:r>
      <w:r>
        <w:rPr>
          <w:rFonts w:hint="eastAsia" w:ascii="宋体" w:hAnsi="宋体" w:eastAsia="方正仿宋_GBK" w:cs="方正仿宋_GBK"/>
          <w:vanish w:val="0"/>
          <w:sz w:val="32"/>
          <w:szCs w:val="32"/>
          <w:shd w:val="clear" w:color="auto" w:fill="auto"/>
        </w:rPr>
        <w:t>较年初预算数</w:t>
      </w:r>
      <w:r>
        <w:rPr>
          <w:rFonts w:hint="eastAsia" w:ascii="宋体" w:hAnsi="宋体" w:eastAsia="方正仿宋_GBK" w:cs="方正仿宋_GBK"/>
          <w:vanish w:val="0"/>
          <w:sz w:val="32"/>
          <w:szCs w:val="32"/>
          <w:shd w:val="clear" w:color="auto" w:fill="auto"/>
          <w:lang w:eastAsia="zh-CN"/>
        </w:rPr>
        <w:t>持平</w:t>
      </w:r>
      <w:r>
        <w:rPr>
          <w:rFonts w:hint="eastAsia" w:ascii="宋体" w:hAnsi="宋体" w:eastAsia="方正仿宋_GBK" w:cs="方正仿宋_GBK"/>
          <w:b w:val="0"/>
          <w:bCs w:val="0"/>
          <w:vanish w:val="0"/>
          <w:sz w:val="32"/>
          <w:szCs w:val="32"/>
          <w:shd w:val="clear" w:color="auto" w:fill="auto"/>
          <w:lang w:eastAsia="zh-CN"/>
        </w:rPr>
        <w:t>。</w:t>
      </w:r>
    </w:p>
    <w:p w14:paraId="3E0CA014">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kern w:val="2"/>
          <w:sz w:val="32"/>
          <w:szCs w:val="32"/>
          <w:lang w:val="en-US" w:eastAsia="zh-CN" w:bidi="ar-SA"/>
        </w:rPr>
      </w:pPr>
      <w:r>
        <w:rPr>
          <w:rFonts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val="en-US" w:eastAsia="zh-CN"/>
        </w:rPr>
        <w:t>2</w:t>
      </w:r>
      <w:r>
        <w:rPr>
          <w:rFonts w:ascii="宋体" w:hAnsi="宋体" w:eastAsia="方正仿宋_GBK" w:cs="方正仿宋_GBK"/>
          <w:sz w:val="32"/>
          <w:szCs w:val="32"/>
          <w:shd w:val="clear" w:color="auto" w:fill="FFFFFF"/>
        </w:rPr>
        <w:t>）科学技术支出</w:t>
      </w:r>
      <w:r>
        <w:rPr>
          <w:rFonts w:ascii="宋体" w:hAnsi="宋体" w:eastAsia="方正仿宋_GBK" w:cs="方正仿宋_GBK"/>
          <w:sz w:val="32"/>
          <w:szCs w:val="32"/>
        </w:rPr>
        <w:t>61.43</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57.91</w:t>
      </w:r>
      <w:r>
        <w:rPr>
          <w:rFonts w:ascii="宋体" w:hAnsi="宋体" w:eastAsia="方正仿宋_GBK" w:cs="方正仿宋_GBK"/>
          <w:sz w:val="32"/>
          <w:szCs w:val="32"/>
          <w:shd w:val="clear" w:color="auto" w:fill="FFFFFF"/>
        </w:rPr>
        <w:t>%，较年初预算数增加6.02万元，增长10.86%，主要原因是</w:t>
      </w:r>
      <w:r>
        <w:rPr>
          <w:rFonts w:ascii="宋体" w:hAnsi="宋体" w:eastAsia="方正仿宋_GBK" w:cs="方正仿宋_GBK"/>
          <w:kern w:val="2"/>
          <w:sz w:val="32"/>
          <w:szCs w:val="32"/>
          <w:lang w:val="en-US" w:eastAsia="zh-CN" w:bidi="ar-SA"/>
        </w:rPr>
        <w:t>本年度调入人员3人</w:t>
      </w:r>
      <w:r>
        <w:rPr>
          <w:rFonts w:hint="eastAsia" w:ascii="宋体" w:hAnsi="宋体" w:eastAsia="方正仿宋_GBK" w:cs="方正仿宋_GBK"/>
          <w:kern w:val="2"/>
          <w:sz w:val="32"/>
          <w:szCs w:val="32"/>
          <w:lang w:val="en-US" w:eastAsia="zh-CN" w:bidi="ar-SA"/>
        </w:rPr>
        <w:t>。</w:t>
      </w:r>
    </w:p>
    <w:p w14:paraId="7EF04C51">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vanish w:val="0"/>
          <w:sz w:val="32"/>
          <w:szCs w:val="32"/>
          <w:shd w:val="clear" w:color="auto" w:fill="auto"/>
          <w:lang w:eastAsia="zh-CN"/>
        </w:rPr>
      </w:pPr>
      <w:r>
        <w:rPr>
          <w:rFonts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val="en-US" w:eastAsia="zh-CN"/>
        </w:rPr>
        <w:t>3</w:t>
      </w:r>
      <w:r>
        <w:rPr>
          <w:rFonts w:ascii="宋体" w:hAnsi="宋体" w:eastAsia="方正仿宋_GBK" w:cs="方正仿宋_GBK"/>
          <w:sz w:val="32"/>
          <w:szCs w:val="32"/>
          <w:shd w:val="clear" w:color="auto" w:fill="FFFFFF"/>
        </w:rPr>
        <w:t>）社会保障与就业支出</w:t>
      </w:r>
      <w:r>
        <w:rPr>
          <w:rFonts w:ascii="宋体" w:hAnsi="宋体" w:eastAsia="方正仿宋_GBK" w:cs="方正仿宋_GBK"/>
          <w:sz w:val="32"/>
          <w:szCs w:val="32"/>
        </w:rPr>
        <w:t>5.79</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5.46</w:t>
      </w:r>
      <w:r>
        <w:rPr>
          <w:rFonts w:ascii="宋体" w:hAnsi="宋体" w:eastAsia="方正仿宋_GBK" w:cs="方正仿宋_GBK"/>
          <w:sz w:val="32"/>
          <w:szCs w:val="32"/>
          <w:shd w:val="clear" w:color="auto" w:fill="FFFFFF"/>
        </w:rPr>
        <w:t>%，</w:t>
      </w:r>
      <w:r>
        <w:rPr>
          <w:rFonts w:hint="eastAsia" w:ascii="宋体" w:hAnsi="宋体" w:eastAsia="方正仿宋_GBK" w:cs="方正仿宋_GBK"/>
          <w:vanish w:val="0"/>
          <w:sz w:val="32"/>
          <w:szCs w:val="32"/>
          <w:shd w:val="clear" w:color="auto" w:fill="auto"/>
        </w:rPr>
        <w:t>较年初预算数</w:t>
      </w:r>
      <w:r>
        <w:rPr>
          <w:rFonts w:hint="eastAsia" w:ascii="宋体" w:hAnsi="宋体" w:eastAsia="方正仿宋_GBK" w:cs="方正仿宋_GBK"/>
          <w:vanish w:val="0"/>
          <w:sz w:val="32"/>
          <w:szCs w:val="32"/>
          <w:shd w:val="clear" w:color="auto" w:fill="auto"/>
          <w:lang w:eastAsia="zh-CN"/>
        </w:rPr>
        <w:t>持平</w:t>
      </w:r>
      <w:r>
        <w:rPr>
          <w:rFonts w:hint="eastAsia" w:ascii="宋体" w:hAnsi="宋体" w:eastAsia="方正仿宋_GBK" w:cs="方正仿宋_GBK"/>
          <w:b w:val="0"/>
          <w:bCs w:val="0"/>
          <w:vanish w:val="0"/>
          <w:sz w:val="32"/>
          <w:szCs w:val="32"/>
          <w:shd w:val="clear" w:color="auto" w:fill="auto"/>
          <w:lang w:eastAsia="zh-CN"/>
        </w:rPr>
        <w:t>。</w:t>
      </w:r>
    </w:p>
    <w:p w14:paraId="0E321D00">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val="en-US" w:eastAsia="zh-CN"/>
        </w:rPr>
        <w:t>4</w:t>
      </w:r>
      <w:r>
        <w:rPr>
          <w:rFonts w:ascii="宋体" w:hAnsi="宋体" w:eastAsia="方正仿宋_GBK" w:cs="方正仿宋_GBK"/>
          <w:sz w:val="32"/>
          <w:szCs w:val="32"/>
          <w:shd w:val="clear" w:color="auto" w:fill="FFFFFF"/>
        </w:rPr>
        <w:t>）卫生健康支出</w:t>
      </w:r>
      <w:r>
        <w:rPr>
          <w:rFonts w:ascii="宋体" w:hAnsi="宋体" w:eastAsia="方正仿宋_GBK" w:cs="方正仿宋_GBK"/>
          <w:sz w:val="32"/>
          <w:szCs w:val="32"/>
        </w:rPr>
        <w:t>3.34</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3.15</w:t>
      </w:r>
      <w:r>
        <w:rPr>
          <w:rFonts w:ascii="宋体" w:hAnsi="宋体" w:eastAsia="方正仿宋_GBK" w:cs="方正仿宋_GBK"/>
          <w:sz w:val="32"/>
          <w:szCs w:val="32"/>
          <w:shd w:val="clear" w:color="auto" w:fill="FFFFFF"/>
        </w:rPr>
        <w:t>%，</w:t>
      </w:r>
      <w:r>
        <w:rPr>
          <w:rFonts w:hint="eastAsia" w:ascii="宋体" w:hAnsi="宋体" w:eastAsia="方正仿宋_GBK" w:cs="方正仿宋_GBK"/>
          <w:vanish w:val="0"/>
          <w:sz w:val="32"/>
          <w:szCs w:val="32"/>
          <w:shd w:val="clear" w:color="auto" w:fill="auto"/>
        </w:rPr>
        <w:t>较年初预算数</w:t>
      </w:r>
      <w:r>
        <w:rPr>
          <w:rFonts w:hint="eastAsia" w:ascii="宋体" w:hAnsi="宋体" w:eastAsia="方正仿宋_GBK" w:cs="方正仿宋_GBK"/>
          <w:vanish w:val="0"/>
          <w:sz w:val="32"/>
          <w:szCs w:val="32"/>
          <w:shd w:val="clear" w:color="auto" w:fill="auto"/>
          <w:lang w:eastAsia="zh-CN"/>
        </w:rPr>
        <w:t>持平</w:t>
      </w:r>
      <w:r>
        <w:rPr>
          <w:rFonts w:hint="eastAsia" w:ascii="宋体" w:hAnsi="宋体" w:eastAsia="方正仿宋_GBK" w:cs="方正仿宋_GBK"/>
          <w:b w:val="0"/>
          <w:bCs w:val="0"/>
          <w:vanish w:val="0"/>
          <w:sz w:val="32"/>
          <w:szCs w:val="32"/>
          <w:shd w:val="clear" w:color="auto" w:fill="auto"/>
          <w:lang w:eastAsia="zh-CN"/>
        </w:rPr>
        <w:t>。</w:t>
      </w:r>
    </w:p>
    <w:p w14:paraId="68497D6E">
      <w:pPr>
        <w:keepNext w:val="0"/>
        <w:keepLines w:val="0"/>
        <w:pageBreakBefore w:val="0"/>
        <w:kinsoku/>
        <w:wordWrap/>
        <w:overflowPunct/>
        <w:topLinePunct w:val="0"/>
        <w:autoSpaceDN/>
        <w:bidi w:val="0"/>
        <w:adjustRightInd/>
        <w:spacing w:beforeAutospacing="0" w:afterAutospacing="0" w:line="579" w:lineRule="exact"/>
        <w:ind w:firstLine="640" w:firstLineChars="200"/>
        <w:textAlignment w:val="auto"/>
        <w:rPr>
          <w:rFonts w:hint="default" w:ascii="宋体" w:hAnsi="宋体" w:eastAsia="方正仿宋_GBK" w:cs="方正仿宋_GBK"/>
          <w:color w:val="FF0000"/>
          <w:sz w:val="32"/>
          <w:szCs w:val="32"/>
          <w:shd w:val="clear" w:color="auto" w:fill="FFFFFF"/>
        </w:rPr>
      </w:pPr>
      <w:r>
        <w:rPr>
          <w:rFonts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val="en-US" w:eastAsia="zh-CN"/>
        </w:rPr>
        <w:t>5</w:t>
      </w:r>
      <w:r>
        <w:rPr>
          <w:rFonts w:ascii="宋体" w:hAnsi="宋体" w:eastAsia="方正仿宋_GBK" w:cs="方正仿宋_GBK"/>
          <w:sz w:val="32"/>
          <w:szCs w:val="32"/>
          <w:shd w:val="clear" w:color="auto" w:fill="FFFFFF"/>
        </w:rPr>
        <w:t>）</w:t>
      </w:r>
      <w:r>
        <w:rPr>
          <w:rFonts w:ascii="宋体" w:hAnsi="宋体" w:eastAsia="方正仿宋_GBK" w:cs="方正仿宋_GBK"/>
          <w:sz w:val="32"/>
          <w:szCs w:val="32"/>
        </w:rPr>
        <w:t>住房保障支出2.90</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2.73</w:t>
      </w:r>
      <w:r>
        <w:rPr>
          <w:rFonts w:ascii="宋体" w:hAnsi="宋体" w:eastAsia="方正仿宋_GBK" w:cs="方正仿宋_GBK"/>
          <w:sz w:val="32"/>
          <w:szCs w:val="32"/>
          <w:shd w:val="clear" w:color="auto" w:fill="FFFFFF"/>
        </w:rPr>
        <w:t>%，</w:t>
      </w:r>
      <w:r>
        <w:rPr>
          <w:rFonts w:hint="eastAsia" w:ascii="宋体" w:hAnsi="宋体" w:eastAsia="方正仿宋_GBK" w:cs="方正仿宋_GBK"/>
          <w:vanish w:val="0"/>
          <w:sz w:val="32"/>
          <w:szCs w:val="32"/>
          <w:shd w:val="clear" w:color="auto" w:fill="auto"/>
        </w:rPr>
        <w:t>较年初预算数</w:t>
      </w:r>
      <w:r>
        <w:rPr>
          <w:rFonts w:hint="eastAsia" w:ascii="宋体" w:hAnsi="宋体" w:eastAsia="方正仿宋_GBK" w:cs="方正仿宋_GBK"/>
          <w:vanish w:val="0"/>
          <w:sz w:val="32"/>
          <w:szCs w:val="32"/>
          <w:shd w:val="clear" w:color="auto" w:fill="auto"/>
          <w:lang w:eastAsia="zh-CN"/>
        </w:rPr>
        <w:t>持平</w:t>
      </w:r>
      <w:r>
        <w:rPr>
          <w:rFonts w:hint="eastAsia" w:ascii="宋体" w:hAnsi="宋体" w:eastAsia="方正仿宋_GBK" w:cs="方正仿宋_GBK"/>
          <w:b w:val="0"/>
          <w:bCs w:val="0"/>
          <w:vanish w:val="0"/>
          <w:sz w:val="32"/>
          <w:szCs w:val="32"/>
          <w:shd w:val="clear" w:color="auto" w:fill="auto"/>
          <w:lang w:eastAsia="zh-CN"/>
        </w:rPr>
        <w:t>。</w:t>
      </w:r>
    </w:p>
    <w:p w14:paraId="12E7580C">
      <w:pPr>
        <w:keepNext w:val="0"/>
        <w:keepLines w:val="0"/>
        <w:pageBreakBefore w:val="0"/>
        <w:kinsoku/>
        <w:wordWrap/>
        <w:overflowPunct/>
        <w:topLinePunct w:val="0"/>
        <w:autoSpaceDN/>
        <w:bidi w:val="0"/>
        <w:adjustRightInd/>
        <w:spacing w:beforeAutospacing="0" w:afterAutospacing="0" w:line="579" w:lineRule="exact"/>
        <w:ind w:firstLine="640" w:firstLineChars="200"/>
        <w:textAlignment w:val="auto"/>
        <w:rPr>
          <w:rFonts w:hint="eastAsia" w:ascii="宋体" w:hAnsi="宋体" w:eastAsia="仿宋_GB2312" w:cs="方正仿宋_GBK"/>
          <w:color w:val="FF0000"/>
          <w:sz w:val="32"/>
          <w:szCs w:val="32"/>
          <w:shd w:val="clear" w:color="auto" w:fill="FFFFFF"/>
          <w:lang w:eastAsia="zh-CN"/>
        </w:rPr>
      </w:pPr>
      <w:r>
        <w:rPr>
          <w:rFonts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val="en-US" w:eastAsia="zh-CN"/>
        </w:rPr>
        <w:t>6</w:t>
      </w:r>
      <w:r>
        <w:rPr>
          <w:rFonts w:ascii="宋体" w:hAnsi="宋体" w:eastAsia="方正仿宋_GBK" w:cs="方正仿宋_GBK"/>
          <w:sz w:val="32"/>
          <w:szCs w:val="32"/>
          <w:shd w:val="clear" w:color="auto" w:fill="FFFFFF"/>
        </w:rPr>
        <w:t>）</w:t>
      </w:r>
      <w:r>
        <w:rPr>
          <w:rFonts w:ascii="宋体" w:hAnsi="宋体" w:eastAsia="方正仿宋_GBK" w:cs="方正仿宋_GBK"/>
          <w:sz w:val="32"/>
          <w:szCs w:val="32"/>
        </w:rPr>
        <w:t>灾害防治及应急管理支出32.25</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30.41</w:t>
      </w:r>
      <w:r>
        <w:rPr>
          <w:rFonts w:ascii="宋体" w:hAnsi="宋体" w:eastAsia="方正仿宋_GBK" w:cs="方正仿宋_GBK"/>
          <w:sz w:val="32"/>
          <w:szCs w:val="32"/>
          <w:shd w:val="clear" w:color="auto" w:fill="FFFFFF"/>
        </w:rPr>
        <w:t>%，较年初预算数增加18.33万元，增长131.68%，主要原因是</w:t>
      </w:r>
      <w:r>
        <w:rPr>
          <w:rFonts w:hint="eastAsia" w:ascii="宋体" w:hAnsi="宋体" w:eastAsia="方正仿宋_GBK" w:cs="方正仿宋_GBK"/>
          <w:sz w:val="32"/>
          <w:szCs w:val="32"/>
          <w:shd w:val="clear" w:color="auto" w:fill="FFFFFF"/>
          <w:lang w:eastAsia="zh-CN"/>
        </w:rPr>
        <w:t>本年度</w:t>
      </w:r>
      <w:r>
        <w:rPr>
          <w:rFonts w:hint="eastAsia" w:ascii="宋体" w:hAnsi="宋体" w:eastAsia="仿宋_GB2312"/>
          <w:sz w:val="32"/>
          <w:szCs w:val="32"/>
        </w:rPr>
        <w:t>新增地震灾害风险普查预评估费用</w:t>
      </w:r>
      <w:r>
        <w:rPr>
          <w:rFonts w:hint="eastAsia" w:ascii="宋体" w:hAnsi="宋体" w:eastAsia="仿宋_GB2312"/>
          <w:sz w:val="32"/>
          <w:szCs w:val="32"/>
          <w:lang w:eastAsia="zh-CN"/>
        </w:rPr>
        <w:t>。</w:t>
      </w:r>
    </w:p>
    <w:p w14:paraId="1386ED3F">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（四）一般公共预算财政拨款基本支出决算情况说明</w:t>
      </w:r>
    </w:p>
    <w:p w14:paraId="129EA6B3">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 2023年度一般公共财政拨款基本支出</w:t>
      </w:r>
      <w:r>
        <w:rPr>
          <w:rFonts w:ascii="宋体" w:hAnsi="宋体" w:eastAsia="方正仿宋_GBK" w:cs="方正仿宋_GBK"/>
          <w:sz w:val="32"/>
          <w:szCs w:val="32"/>
        </w:rPr>
        <w:t>73.82</w:t>
      </w:r>
      <w:r>
        <w:rPr>
          <w:rFonts w:ascii="宋体" w:hAnsi="宋体" w:eastAsia="方正仿宋_GBK" w:cs="方正仿宋_GBK"/>
          <w:sz w:val="32"/>
          <w:szCs w:val="32"/>
          <w:shd w:val="clear" w:color="auto" w:fill="FFFFFF"/>
        </w:rPr>
        <w:t>万元。其中：人员经费</w:t>
      </w:r>
      <w:r>
        <w:rPr>
          <w:rFonts w:ascii="宋体" w:hAnsi="宋体" w:eastAsia="方正仿宋_GBK" w:cs="方正仿宋_GBK"/>
          <w:sz w:val="32"/>
          <w:szCs w:val="32"/>
        </w:rPr>
        <w:t>61.46</w:t>
      </w:r>
      <w:r>
        <w:rPr>
          <w:rFonts w:ascii="宋体" w:hAnsi="宋体" w:eastAsia="方正仿宋_GBK" w:cs="方正仿宋_GBK"/>
          <w:sz w:val="32"/>
          <w:szCs w:val="32"/>
          <w:shd w:val="clear" w:color="auto" w:fill="FFFFFF"/>
        </w:rPr>
        <w:t>万元，较上年决算数增加9.50万元，增长18.28%，主要原因是</w:t>
      </w:r>
      <w:r>
        <w:rPr>
          <w:rFonts w:ascii="宋体" w:hAnsi="宋体" w:eastAsia="方正仿宋_GBK" w:cs="方正仿宋_GBK"/>
          <w:kern w:val="2"/>
          <w:sz w:val="32"/>
          <w:szCs w:val="32"/>
          <w:lang w:val="en-US" w:eastAsia="zh-CN" w:bidi="ar-SA"/>
        </w:rPr>
        <w:t>本年度调入人员3人</w:t>
      </w:r>
      <w:r>
        <w:rPr>
          <w:rFonts w:hint="eastAsia" w:ascii="宋体" w:hAnsi="宋体" w:eastAsia="方正仿宋_GBK" w:cs="方正仿宋_GBK"/>
          <w:kern w:val="2"/>
          <w:sz w:val="32"/>
          <w:szCs w:val="32"/>
          <w:lang w:val="en-US" w:eastAsia="zh-CN" w:bidi="ar-SA"/>
        </w:rPr>
        <w:t>。</w:t>
      </w:r>
      <w:r>
        <w:rPr>
          <w:rFonts w:ascii="宋体" w:hAnsi="宋体" w:eastAsia="方正仿宋_GBK" w:cs="方正仿宋_GBK"/>
          <w:sz w:val="32"/>
          <w:szCs w:val="32"/>
          <w:shd w:val="clear" w:color="auto" w:fill="FFFFFF"/>
        </w:rPr>
        <w:t>人员经费用途主要包括</w:t>
      </w:r>
      <w:r>
        <w:rPr>
          <w:rFonts w:hint="eastAsia" w:ascii="宋体" w:hAnsi="宋体" w:eastAsia="方正仿宋_GBK" w:cs="方正仿宋_GBK"/>
          <w:i w:val="0"/>
          <w:iCs w:val="0"/>
          <w:caps w:val="0"/>
          <w:color w:val="000000"/>
          <w:spacing w:val="0"/>
          <w:sz w:val="32"/>
          <w:szCs w:val="32"/>
          <w:shd w:val="clear" w:color="auto" w:fill="auto"/>
        </w:rPr>
        <w:t>人员工资、住房公积金、养老保险、职业年金、医疗保</w:t>
      </w:r>
      <w:r>
        <w:rPr>
          <w:rFonts w:hint="eastAsia" w:ascii="宋体" w:hAnsi="宋体" w:eastAsia="方正仿宋_GBK" w:cs="方正仿宋_GBK"/>
          <w:i w:val="0"/>
          <w:iCs w:val="0"/>
          <w:caps w:val="0"/>
          <w:color w:val="auto"/>
          <w:spacing w:val="0"/>
          <w:sz w:val="32"/>
          <w:szCs w:val="32"/>
          <w:shd w:val="clear" w:color="auto" w:fill="auto"/>
        </w:rPr>
        <w:t>险</w:t>
      </w:r>
      <w:r>
        <w:rPr>
          <w:rFonts w:hint="eastAsia" w:ascii="宋体" w:hAnsi="宋体" w:eastAsia="方正仿宋_GBK" w:cs="方正仿宋_GBK"/>
          <w:i w:val="0"/>
          <w:iCs w:val="0"/>
          <w:caps w:val="0"/>
          <w:color w:val="auto"/>
          <w:spacing w:val="0"/>
          <w:sz w:val="32"/>
          <w:szCs w:val="32"/>
          <w:shd w:val="clear" w:color="auto" w:fill="auto"/>
          <w:lang w:eastAsia="zh-CN"/>
        </w:rPr>
        <w:t>等</w:t>
      </w:r>
      <w:r>
        <w:rPr>
          <w:rFonts w:hint="eastAsia" w:ascii="宋体" w:hAnsi="宋体" w:eastAsia="方正仿宋_GBK" w:cs="方正仿宋_GBK"/>
          <w:vanish w:val="0"/>
          <w:color w:val="auto"/>
          <w:sz w:val="32"/>
          <w:szCs w:val="32"/>
          <w:shd w:val="clear" w:color="auto" w:fill="auto"/>
        </w:rPr>
        <w:t>。</w:t>
      </w:r>
      <w:r>
        <w:rPr>
          <w:rFonts w:ascii="宋体" w:hAnsi="宋体" w:eastAsia="方正仿宋_GBK" w:cs="方正仿宋_GBK"/>
          <w:sz w:val="32"/>
          <w:szCs w:val="32"/>
          <w:shd w:val="clear" w:color="auto" w:fill="FFFFFF"/>
        </w:rPr>
        <w:t>公用经费</w:t>
      </w:r>
      <w:r>
        <w:rPr>
          <w:rFonts w:ascii="宋体" w:hAnsi="宋体" w:eastAsia="方正仿宋_GBK" w:cs="方正仿宋_GBK"/>
          <w:sz w:val="32"/>
          <w:szCs w:val="32"/>
        </w:rPr>
        <w:t>12.36</w:t>
      </w:r>
      <w:r>
        <w:rPr>
          <w:rFonts w:ascii="宋体" w:hAnsi="宋体" w:eastAsia="方正仿宋_GBK" w:cs="方正仿宋_GBK"/>
          <w:sz w:val="32"/>
          <w:szCs w:val="32"/>
          <w:shd w:val="clear" w:color="auto" w:fill="FFFFFF"/>
        </w:rPr>
        <w:t>万元，较上年决算数减少0.34万元，下降2.68%</w:t>
      </w:r>
      <w:r>
        <w:rPr>
          <w:rFonts w:hint="eastAsia" w:ascii="宋体" w:hAnsi="宋体" w:eastAsia="方正仿宋_GBK" w:cs="方正仿宋_GBK"/>
          <w:sz w:val="32"/>
          <w:szCs w:val="32"/>
          <w:shd w:val="clear" w:color="auto" w:fill="FFFFFF"/>
          <w:lang w:eastAsia="zh-CN"/>
        </w:rPr>
        <w:t>，主要原因是本年度贯彻</w:t>
      </w:r>
      <w:r>
        <w:rPr>
          <w:rFonts w:hint="eastAsia" w:ascii="宋体" w:hAnsi="宋体" w:eastAsia="方正仿宋_GBK" w:cs="Times New Roman"/>
          <w:kern w:val="2"/>
          <w:sz w:val="32"/>
          <w:szCs w:val="32"/>
          <w:lang w:val="en-US" w:eastAsia="en-US" w:bidi="ar-SA"/>
        </w:rPr>
        <w:t>党政机关“过紧日子”</w:t>
      </w:r>
      <w:r>
        <w:rPr>
          <w:rFonts w:hint="eastAsia" w:ascii="宋体" w:hAnsi="宋体" w:eastAsia="方正仿宋_GBK" w:cs="Times New Roman"/>
          <w:kern w:val="2"/>
          <w:sz w:val="32"/>
          <w:szCs w:val="32"/>
          <w:lang w:val="en-US" w:eastAsia="zh-CN" w:bidi="ar-SA"/>
        </w:rPr>
        <w:t>“过苦日子”</w:t>
      </w:r>
      <w:r>
        <w:rPr>
          <w:rFonts w:hint="eastAsia" w:ascii="宋体" w:hAnsi="宋体" w:eastAsia="方正仿宋_GBK" w:cs="Times New Roman"/>
          <w:kern w:val="2"/>
          <w:sz w:val="32"/>
          <w:szCs w:val="32"/>
          <w:lang w:val="en-US" w:eastAsia="en-US" w:bidi="ar-SA"/>
        </w:rPr>
        <w:t>要求，规范差旅费管理</w:t>
      </w:r>
      <w:r>
        <w:rPr>
          <w:rFonts w:hint="eastAsia" w:ascii="宋体" w:hAnsi="宋体" w:eastAsia="方正仿宋_GBK" w:cs="Times New Roman"/>
          <w:kern w:val="2"/>
          <w:sz w:val="32"/>
          <w:szCs w:val="32"/>
          <w:lang w:val="en-US" w:eastAsia="zh-CN" w:bidi="ar-SA"/>
        </w:rPr>
        <w:t>。</w:t>
      </w:r>
      <w:r>
        <w:rPr>
          <w:rFonts w:ascii="宋体" w:hAnsi="宋体" w:eastAsia="方正仿宋_GBK" w:cs="方正仿宋_GBK"/>
          <w:sz w:val="32"/>
          <w:szCs w:val="32"/>
          <w:shd w:val="clear" w:color="auto" w:fill="FFFFFF"/>
        </w:rPr>
        <w:t>公用经费用途主要包括</w:t>
      </w:r>
      <w:r>
        <w:rPr>
          <w:rFonts w:hint="eastAsia" w:ascii="宋体" w:hAnsi="宋体" w:eastAsia="方正仿宋_GBK" w:cs="方正仿宋_GBK"/>
          <w:i w:val="0"/>
          <w:iCs w:val="0"/>
          <w:caps w:val="0"/>
          <w:color w:val="auto"/>
          <w:spacing w:val="0"/>
          <w:sz w:val="32"/>
          <w:szCs w:val="32"/>
          <w:shd w:val="clear" w:color="auto" w:fill="auto"/>
          <w:vertAlign w:val="baseline"/>
        </w:rPr>
        <w:t>办公费、印刷费、通信费、物业费、水电费、会议费、培训费、差旅费、接待费、劳务费、交通费等。</w:t>
      </w:r>
    </w:p>
    <w:p w14:paraId="39623333">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（五）政府性基金预算收支决算情况说明</w:t>
      </w:r>
    </w:p>
    <w:p w14:paraId="5C859FDE">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color w:val="000000" w:themeColor="text1"/>
          <w:sz w:val="32"/>
          <w:szCs w:val="32"/>
          <w:shd w:val="clear" w:color="auto" w:fill="auto"/>
          <w14:textFill>
            <w14:solidFill>
              <w14:schemeClr w14:val="tx1"/>
            </w14:solidFill>
          </w14:textFill>
        </w:rPr>
      </w:pPr>
      <w:r>
        <w:rPr>
          <w:rStyle w:val="10"/>
          <w:rFonts w:ascii="宋体" w:hAnsi="宋体" w:eastAsia="方正仿宋_GBK" w:cs="方正仿宋_GBK"/>
          <w:b w:val="0"/>
          <w:bCs/>
          <w:color w:val="000000" w:themeColor="text1"/>
          <w:sz w:val="32"/>
          <w:szCs w:val="32"/>
          <w:shd w:val="clear" w:color="auto" w:fill="auto"/>
          <w14:textFill>
            <w14:solidFill>
              <w14:schemeClr w14:val="tx1"/>
            </w14:solidFill>
          </w14:textFill>
        </w:rPr>
        <w:t>本</w:t>
      </w:r>
      <w:r>
        <w:rPr>
          <w:rStyle w:val="10"/>
          <w:rFonts w:hint="eastAsia" w:eastAsia="方正仿宋_GBK" w:cs="方正仿宋_GBK"/>
          <w:b w:val="0"/>
          <w:bCs/>
          <w:color w:val="000000" w:themeColor="text1"/>
          <w:sz w:val="32"/>
          <w:szCs w:val="32"/>
          <w:shd w:val="clear" w:color="auto" w:fill="auto"/>
          <w:lang w:eastAsia="zh-CN"/>
          <w14:textFill>
            <w14:solidFill>
              <w14:schemeClr w14:val="tx1"/>
            </w14:solidFill>
          </w14:textFill>
        </w:rPr>
        <w:t>单位</w:t>
      </w:r>
      <w:r>
        <w:rPr>
          <w:rStyle w:val="10"/>
          <w:rFonts w:ascii="宋体" w:hAnsi="宋体" w:eastAsia="方正仿宋_GBK" w:cs="方正仿宋_GBK"/>
          <w:b w:val="0"/>
          <w:bCs/>
          <w:color w:val="000000" w:themeColor="text1"/>
          <w:sz w:val="32"/>
          <w:szCs w:val="32"/>
          <w:shd w:val="clear" w:color="auto" w:fill="auto"/>
          <w14:textFill>
            <w14:solidFill>
              <w14:schemeClr w14:val="tx1"/>
            </w14:solidFill>
          </w14:textFill>
        </w:rPr>
        <w:t>2023年度无政府性基金预算财政拨款收支。</w:t>
      </w:r>
    </w:p>
    <w:p w14:paraId="6A0B0A39">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（六）国有资本经营预算财政拨款支出决算情况说明</w:t>
      </w:r>
    </w:p>
    <w:p w14:paraId="0CB01CD4">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val="0"/>
          <w:sz w:val="32"/>
          <w:szCs w:val="32"/>
          <w:shd w:val="clear" w:color="FFFFFF" w:fill="D9D9D9"/>
        </w:rPr>
      </w:pPr>
      <w:r>
        <w:rPr>
          <w:rStyle w:val="10"/>
          <w:rFonts w:ascii="宋体" w:hAnsi="宋体" w:eastAsia="方正仿宋_GBK" w:cs="方正仿宋_GBK"/>
          <w:b w:val="0"/>
          <w:bCs/>
          <w:color w:val="000000" w:themeColor="text1"/>
          <w:sz w:val="32"/>
          <w:szCs w:val="32"/>
          <w:shd w:val="clear" w:color="auto" w:fill="auto"/>
          <w14:textFill>
            <w14:solidFill>
              <w14:schemeClr w14:val="tx1"/>
            </w14:solidFill>
          </w14:textFill>
        </w:rPr>
        <w:t>本</w:t>
      </w:r>
      <w:r>
        <w:rPr>
          <w:rStyle w:val="10"/>
          <w:rFonts w:hint="eastAsia" w:eastAsia="方正仿宋_GBK" w:cs="方正仿宋_GBK"/>
          <w:b w:val="0"/>
          <w:bCs/>
          <w:color w:val="000000" w:themeColor="text1"/>
          <w:sz w:val="32"/>
          <w:szCs w:val="32"/>
          <w:shd w:val="clear" w:color="auto" w:fill="auto"/>
          <w:lang w:eastAsia="zh-CN"/>
          <w14:textFill>
            <w14:solidFill>
              <w14:schemeClr w14:val="tx1"/>
            </w14:solidFill>
          </w14:textFill>
        </w:rPr>
        <w:t>单位</w:t>
      </w:r>
      <w:r>
        <w:rPr>
          <w:rStyle w:val="10"/>
          <w:rFonts w:ascii="宋体" w:hAnsi="宋体" w:eastAsia="方正仿宋_GBK" w:cs="方正仿宋_GBK"/>
          <w:b w:val="0"/>
          <w:bCs/>
          <w:color w:val="000000" w:themeColor="text1"/>
          <w:sz w:val="32"/>
          <w:szCs w:val="32"/>
          <w:shd w:val="clear" w:color="auto" w:fill="auto"/>
          <w14:textFill>
            <w14:solidFill>
              <w14:schemeClr w14:val="tx1"/>
            </w14:solidFill>
          </w14:textFill>
        </w:rPr>
        <w:t>2023年度无国有资本经营预算财政拨款支出。</w:t>
      </w:r>
    </w:p>
    <w:p w14:paraId="6B6D1F9F">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宋体" w:hAnsi="宋体" w:eastAsia="黑体" w:cs="黑体"/>
          <w:b w:val="0"/>
          <w:bCs/>
          <w:sz w:val="32"/>
          <w:szCs w:val="32"/>
          <w:shd w:val="clear" w:color="auto" w:fill="FFFFFF"/>
        </w:rPr>
      </w:pPr>
      <w:r>
        <w:rPr>
          <w:rStyle w:val="10"/>
          <w:rFonts w:hint="eastAsia" w:ascii="宋体" w:hAnsi="宋体" w:eastAsia="黑体" w:cs="黑体"/>
          <w:b w:val="0"/>
          <w:bCs/>
          <w:sz w:val="32"/>
          <w:szCs w:val="32"/>
          <w:shd w:val="clear" w:color="auto" w:fill="FFFFFF"/>
        </w:rPr>
        <w:t>三、“三公”经费情况说明</w:t>
      </w:r>
    </w:p>
    <w:p w14:paraId="38864F42">
      <w:pPr>
        <w:pStyle w:val="11"/>
        <w:keepNext w:val="0"/>
        <w:keepLines w:val="0"/>
        <w:pageBreakBefore w:val="0"/>
        <w:kinsoku/>
        <w:wordWrap/>
        <w:overflowPunct/>
        <w:topLinePunct w:val="0"/>
        <w:autoSpaceDE w:val="0"/>
        <w:autoSpaceDN/>
        <w:bidi w:val="0"/>
        <w:adjustRightInd/>
        <w:spacing w:beforeAutospacing="0" w:afterAutospacing="0" w:line="579" w:lineRule="exact"/>
        <w:ind w:left="0" w:leftChars="0" w:firstLine="640" w:firstLineChars="200"/>
        <w:textAlignment w:val="auto"/>
        <w:rPr>
          <w:rStyle w:val="10"/>
          <w:rFonts w:hint="eastAsia" w:ascii="宋体" w:hAnsi="宋体" w:eastAsia="方正楷体_GBK" w:cs="方正楷体_GBK"/>
          <w:b w:val="0"/>
          <w:bCs/>
          <w:sz w:val="32"/>
          <w:szCs w:val="32"/>
          <w:shd w:val="clear" w:color="auto" w:fill="FFFFFF"/>
          <w:lang w:val="en-US" w:eastAsia="zh-CN" w:bidi="ar-SA"/>
        </w:rPr>
      </w:pPr>
      <w:r>
        <w:rPr>
          <w:rStyle w:val="10"/>
          <w:rFonts w:hint="eastAsia" w:ascii="宋体" w:hAnsi="宋体" w:eastAsia="方正楷体_GBK" w:cs="方正楷体_GBK"/>
          <w:b w:val="0"/>
          <w:bCs/>
          <w:sz w:val="32"/>
          <w:szCs w:val="32"/>
          <w:shd w:val="clear" w:color="auto" w:fill="FFFFFF"/>
          <w:lang w:val="en-US" w:eastAsia="zh-CN" w:bidi="ar-SA"/>
        </w:rPr>
        <w:t>（一）“三公”经费支出总体情况说明</w:t>
      </w:r>
    </w:p>
    <w:p w14:paraId="174E7961">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lang w:eastAsia="zh-CN"/>
        </w:rPr>
      </w:pPr>
      <w:r>
        <w:rPr>
          <w:rFonts w:ascii="宋体" w:hAnsi="宋体" w:eastAsia="方正仿宋_GBK" w:cs="方正仿宋_GBK"/>
          <w:sz w:val="32"/>
          <w:szCs w:val="32"/>
          <w:shd w:val="clear" w:color="auto" w:fill="FFFFFF"/>
        </w:rPr>
        <w:t>2023年度“三公”经费支出共计</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r>
        <w:rPr>
          <w:rFonts w:hint="eastAsia" w:ascii="宋体" w:hAnsi="宋体" w:eastAsia="方正仿宋_GBK" w:cs="方正仿宋_GBK"/>
          <w:sz w:val="32"/>
          <w:szCs w:val="32"/>
          <w:shd w:val="clear" w:color="auto" w:fill="FFFFFF"/>
          <w:lang w:eastAsia="zh-CN"/>
        </w:rPr>
        <w:t>。</w:t>
      </w:r>
    </w:p>
    <w:p w14:paraId="7BCA84AE">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（二）“三公”经费分项支出情况</w:t>
      </w:r>
    </w:p>
    <w:p w14:paraId="55F225E7">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lang w:eastAsia="zh-CN"/>
        </w:rPr>
      </w:pPr>
      <w:r>
        <w:rPr>
          <w:rFonts w:ascii="宋体" w:hAnsi="宋体" w:eastAsia="方正仿宋_GBK" w:cs="方正仿宋_GBK"/>
          <w:sz w:val="32"/>
          <w:szCs w:val="32"/>
          <w:shd w:val="clear" w:color="auto" w:fill="FFFFFF"/>
        </w:rPr>
        <w:t>2023年度本</w:t>
      </w:r>
      <w:r>
        <w:rPr>
          <w:rFonts w:hint="eastAsia" w:eastAsia="方正仿宋_GBK" w:cs="方正仿宋_GBK"/>
          <w:sz w:val="32"/>
          <w:szCs w:val="32"/>
          <w:shd w:val="clear" w:color="auto" w:fill="FFFFFF"/>
          <w:lang w:eastAsia="zh-CN"/>
        </w:rPr>
        <w:t>单位</w:t>
      </w:r>
      <w:r>
        <w:rPr>
          <w:rFonts w:ascii="宋体" w:hAnsi="宋体" w:eastAsia="方正仿宋_GBK" w:cs="方正仿宋_GBK"/>
          <w:sz w:val="32"/>
          <w:szCs w:val="32"/>
          <w:shd w:val="clear" w:color="auto" w:fill="FFFFFF"/>
        </w:rPr>
        <w:t>因公出国（境）费用</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r>
        <w:rPr>
          <w:rFonts w:hint="eastAsia" w:ascii="宋体" w:hAnsi="宋体" w:eastAsia="方正仿宋_GBK" w:cs="方正仿宋_GBK"/>
          <w:sz w:val="32"/>
          <w:szCs w:val="32"/>
          <w:shd w:val="clear" w:color="auto" w:fill="FFFFFF"/>
          <w:lang w:eastAsia="zh-CN"/>
        </w:rPr>
        <w:t>。</w:t>
      </w:r>
      <w:r>
        <w:rPr>
          <w:rFonts w:ascii="宋体" w:hAnsi="宋体" w:eastAsia="方正仿宋_GBK" w:cs="方正仿宋_GBK"/>
          <w:sz w:val="32"/>
          <w:szCs w:val="32"/>
          <w:shd w:val="clear" w:color="auto" w:fill="FFFFFF"/>
        </w:rPr>
        <w:t>公务车购置费</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万元，公务车运行维护费</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万元，公务接待费</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r>
        <w:rPr>
          <w:rFonts w:hint="eastAsia" w:ascii="宋体" w:hAnsi="宋体" w:eastAsia="方正仿宋_GBK" w:cs="方正仿宋_GBK"/>
          <w:sz w:val="32"/>
          <w:szCs w:val="32"/>
          <w:shd w:val="clear" w:color="auto" w:fill="FFFFFF"/>
          <w:lang w:eastAsia="zh-CN"/>
        </w:rPr>
        <w:t>。</w:t>
      </w:r>
    </w:p>
    <w:p w14:paraId="378E94CA">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（三）“三公”经费实物量情况</w:t>
      </w:r>
    </w:p>
    <w:p w14:paraId="7CF2C14C">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2023年度本</w:t>
      </w:r>
      <w:r>
        <w:rPr>
          <w:rFonts w:hint="eastAsia" w:eastAsia="方正仿宋_GBK" w:cs="方正仿宋_GBK"/>
          <w:sz w:val="32"/>
          <w:szCs w:val="32"/>
          <w:shd w:val="clear" w:color="auto" w:fill="FFFFFF"/>
          <w:lang w:eastAsia="zh-CN"/>
        </w:rPr>
        <w:t>单位</w:t>
      </w:r>
      <w:r>
        <w:rPr>
          <w:rFonts w:ascii="宋体" w:hAnsi="宋体" w:eastAsia="方正仿宋_GBK" w:cs="方正仿宋_GBK"/>
          <w:sz w:val="32"/>
          <w:szCs w:val="32"/>
          <w:shd w:val="clear" w:color="auto" w:fill="FFFFFF"/>
        </w:rPr>
        <w:t>因公出国（境）共计</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个团组，</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人；公务用车购置</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辆，公务车保有量为</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辆；国内公务接待</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批次</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人，其中：国内外事接待</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批次，</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人；国（境）外公务接待</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批次，</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人。2023年本</w:t>
      </w:r>
      <w:r>
        <w:rPr>
          <w:rFonts w:hint="eastAsia" w:eastAsia="方正仿宋_GBK" w:cs="方正仿宋_GBK"/>
          <w:sz w:val="32"/>
          <w:szCs w:val="32"/>
          <w:shd w:val="clear" w:color="auto" w:fill="FFFFFF"/>
          <w:lang w:eastAsia="zh-CN"/>
        </w:rPr>
        <w:t>单位</w:t>
      </w:r>
      <w:r>
        <w:rPr>
          <w:rFonts w:ascii="宋体" w:hAnsi="宋体" w:eastAsia="方正仿宋_GBK" w:cs="方正仿宋_GBK"/>
          <w:sz w:val="32"/>
          <w:szCs w:val="32"/>
          <w:shd w:val="clear" w:color="auto" w:fill="FFFFFF"/>
        </w:rPr>
        <w:t>人均接待费</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元，车均购置费</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万元，车均维护费</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万元。</w:t>
      </w:r>
    </w:p>
    <w:p w14:paraId="7A60C9EE">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default" w:ascii="宋体" w:hAnsi="宋体" w:eastAsia="方正仿宋_GBK" w:cs="方正仿宋_GBK"/>
          <w:sz w:val="32"/>
          <w:szCs w:val="32"/>
          <w:shd w:val="clear" w:color="auto" w:fill="FFFFFF"/>
        </w:rPr>
      </w:pPr>
      <w:r>
        <w:rPr>
          <w:rStyle w:val="10"/>
          <w:rFonts w:hint="eastAsia" w:ascii="宋体" w:hAnsi="宋体" w:eastAsia="黑体" w:cs="黑体"/>
          <w:b w:val="0"/>
          <w:bCs/>
          <w:sz w:val="32"/>
          <w:szCs w:val="32"/>
          <w:shd w:val="clear" w:color="auto" w:fill="FFFFFF"/>
        </w:rPr>
        <w:t>四、其他需要说明的事项</w:t>
      </w:r>
    </w:p>
    <w:p w14:paraId="37452809">
      <w:pPr>
        <w:pStyle w:val="11"/>
        <w:keepNext w:val="0"/>
        <w:keepLines w:val="0"/>
        <w:pageBreakBefore w:val="0"/>
        <w:kinsoku/>
        <w:wordWrap/>
        <w:overflowPunct/>
        <w:topLinePunct w:val="0"/>
        <w:autoSpaceDE w:val="0"/>
        <w:autoSpaceDN/>
        <w:bidi w:val="0"/>
        <w:adjustRightInd/>
        <w:spacing w:beforeAutospacing="0" w:afterAutospacing="0" w:line="579" w:lineRule="exact"/>
        <w:ind w:left="0" w:leftChars="0" w:firstLine="640" w:firstLineChars="200"/>
        <w:textAlignment w:val="auto"/>
        <w:rPr>
          <w:rStyle w:val="10"/>
          <w:rFonts w:hint="eastAsia" w:ascii="宋体" w:hAnsi="宋体" w:eastAsia="方正楷体_GBK" w:cs="方正楷体_GBK"/>
          <w:b w:val="0"/>
          <w:bCs/>
          <w:sz w:val="32"/>
          <w:szCs w:val="32"/>
          <w:shd w:val="clear" w:color="auto" w:fill="FFFFFF"/>
          <w:lang w:val="en-US" w:eastAsia="zh-CN" w:bidi="ar-SA"/>
        </w:rPr>
      </w:pPr>
      <w:r>
        <w:rPr>
          <w:rStyle w:val="10"/>
          <w:rFonts w:hint="eastAsia" w:ascii="宋体" w:hAnsi="宋体" w:eastAsia="方正楷体_GBK" w:cs="方正楷体_GBK"/>
          <w:b w:val="0"/>
          <w:bCs/>
          <w:sz w:val="32"/>
          <w:szCs w:val="32"/>
          <w:shd w:val="clear" w:color="auto" w:fill="FFFFFF"/>
          <w:lang w:val="en-US" w:eastAsia="zh-CN" w:bidi="ar-SA"/>
        </w:rPr>
        <w:t>（一）财政拨款会议费和培训费情况说明</w:t>
      </w:r>
    </w:p>
    <w:p w14:paraId="0F56943E">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shd w:val="clear" w:color="auto" w:fill="FFFFFF"/>
          <w:lang w:eastAsia="zh-CN"/>
        </w:rPr>
      </w:pPr>
      <w:r>
        <w:rPr>
          <w:rFonts w:ascii="宋体" w:hAnsi="宋体" w:eastAsia="方正仿宋_GBK" w:cs="方正仿宋_GBK"/>
          <w:sz w:val="32"/>
          <w:szCs w:val="32"/>
          <w:shd w:val="clear" w:color="auto" w:fill="FFFFFF"/>
        </w:rPr>
        <w:t>本年度会议费支出</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r>
        <w:rPr>
          <w:rFonts w:hint="eastAsia" w:ascii="宋体" w:hAnsi="宋体" w:eastAsia="方正仿宋_GBK" w:cs="方正仿宋_GBK"/>
          <w:sz w:val="32"/>
          <w:szCs w:val="32"/>
          <w:shd w:val="clear" w:color="auto" w:fill="FFFFFF"/>
          <w:lang w:eastAsia="zh-CN"/>
        </w:rPr>
        <w:t>，</w:t>
      </w:r>
      <w:r>
        <w:rPr>
          <w:rFonts w:ascii="宋体" w:hAnsi="宋体" w:eastAsia="方正仿宋_GBK" w:cs="方正仿宋_GBK"/>
          <w:sz w:val="32"/>
          <w:szCs w:val="32"/>
          <w:shd w:val="clear" w:color="auto" w:fill="FFFFFF"/>
        </w:rPr>
        <w:t>本年度培训费支出</w:t>
      </w:r>
      <w:r>
        <w:rPr>
          <w:rFonts w:ascii="宋体" w:hAnsi="宋体" w:eastAsia="方正仿宋_GBK" w:cs="方正仿宋_GBK"/>
          <w:sz w:val="32"/>
          <w:szCs w:val="32"/>
        </w:rPr>
        <w:t>0.36</w:t>
      </w:r>
      <w:r>
        <w:rPr>
          <w:rFonts w:ascii="宋体" w:hAnsi="宋体" w:eastAsia="方正仿宋_GBK" w:cs="方正仿宋_GBK"/>
          <w:sz w:val="32"/>
          <w:szCs w:val="32"/>
          <w:shd w:val="clear" w:color="auto" w:fill="FFFFFF"/>
        </w:rPr>
        <w:t>万元，较上年</w:t>
      </w:r>
      <w:r>
        <w:rPr>
          <w:rFonts w:hint="eastAsia" w:ascii="宋体" w:hAnsi="宋体" w:eastAsia="方正仿宋_GBK" w:cs="方正仿宋_GBK"/>
          <w:sz w:val="32"/>
          <w:szCs w:val="32"/>
          <w:shd w:val="clear" w:color="auto" w:fill="FFFFFF"/>
          <w:lang w:eastAsia="zh-CN"/>
        </w:rPr>
        <w:t>度持平。</w:t>
      </w:r>
    </w:p>
    <w:p w14:paraId="0BF8E4C4">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（二）机关运行经费情况说明</w:t>
      </w:r>
    </w:p>
    <w:p w14:paraId="539AFBB6">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color w:val="000000" w:themeColor="text1"/>
          <w:sz w:val="32"/>
          <w:szCs w:val="32"/>
          <w14:textFill>
            <w14:solidFill>
              <w14:schemeClr w14:val="tx1"/>
            </w14:solidFill>
          </w14:textFill>
        </w:rPr>
      </w:pPr>
      <w:r>
        <w:rPr>
          <w:rFonts w:hint="default" w:ascii="宋体" w:hAnsi="宋体" w:eastAsia="方正仿宋_GBK" w:cs="方正仿宋_GBK"/>
          <w:color w:val="000000" w:themeColor="text1"/>
          <w:sz w:val="32"/>
          <w:szCs w:val="32"/>
          <w14:textFill>
            <w14:solidFill>
              <w14:schemeClr w14:val="tx1"/>
            </w14:solidFill>
          </w14:textFill>
        </w:rPr>
        <w:t>我单位不在机关运行经费统计范围之内。</w:t>
      </w:r>
    </w:p>
    <w:p w14:paraId="5ED0507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（三）国有资产占用情况说明</w:t>
      </w:r>
    </w:p>
    <w:p w14:paraId="75D8F70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9925464">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（四）政府采购支出情况说明</w:t>
      </w:r>
    </w:p>
    <w:p w14:paraId="39CA660E">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ascii="宋体" w:hAnsi="宋体" w:eastAsia="方正仿宋_GBK" w:cs="方正仿宋_GBK"/>
          <w:color w:val="000000" w:themeColor="text1"/>
          <w:sz w:val="32"/>
          <w:szCs w:val="32"/>
          <w:shd w:val="clear" w:color="auto" w:fill="FFFFFF"/>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2023年度我单位未发生政府采购事项，无相关经费支出。</w:t>
      </w:r>
    </w:p>
    <w:p w14:paraId="0E2D1961">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宋体" w:hAnsi="宋体" w:eastAsia="黑体" w:cs="黑体"/>
          <w:b w:val="0"/>
          <w:bCs/>
          <w:sz w:val="32"/>
          <w:szCs w:val="32"/>
          <w:shd w:val="clear" w:color="auto" w:fill="FFFFFF"/>
        </w:rPr>
      </w:pPr>
      <w:r>
        <w:rPr>
          <w:rStyle w:val="10"/>
          <w:rFonts w:hint="eastAsia" w:eastAsia="黑体" w:cs="黑体"/>
          <w:b w:val="0"/>
          <w:bCs/>
          <w:sz w:val="32"/>
          <w:szCs w:val="32"/>
          <w:shd w:val="clear" w:color="auto" w:fill="FFFFFF"/>
          <w:lang w:eastAsia="zh-CN"/>
        </w:rPr>
        <w:t>五、</w:t>
      </w:r>
      <w:r>
        <w:rPr>
          <w:rStyle w:val="10"/>
          <w:rFonts w:hint="eastAsia" w:ascii="宋体" w:hAnsi="宋体" w:eastAsia="黑体" w:cs="黑体"/>
          <w:b w:val="0"/>
          <w:bCs/>
          <w:sz w:val="32"/>
          <w:szCs w:val="32"/>
          <w:shd w:val="clear" w:color="auto" w:fill="FFFFFF"/>
        </w:rPr>
        <w:t>预算绩效管理</w:t>
      </w:r>
    </w:p>
    <w:p w14:paraId="66FFBB37">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Fonts w:hint="eastAsia" w:ascii="宋体" w:hAnsi="宋体" w:eastAsia="方正仿宋_GBK" w:cs="方正仿宋_GBK"/>
          <w:vanish w:val="0"/>
          <w:sz w:val="32"/>
          <w:szCs w:val="32"/>
          <w:shd w:val="clear" w:color="auto" w:fill="auto"/>
        </w:rPr>
      </w:pPr>
      <w:r>
        <w:rPr>
          <w:rStyle w:val="10"/>
          <w:rFonts w:hint="eastAsia" w:ascii="宋体" w:hAnsi="宋体" w:eastAsia="方正楷体_GBK" w:cs="方正楷体_GBK"/>
          <w:b w:val="0"/>
          <w:bCs/>
          <w:sz w:val="32"/>
          <w:szCs w:val="32"/>
          <w:shd w:val="clear" w:color="auto" w:fill="FFFFFF"/>
        </w:rPr>
        <w:t>（一）</w:t>
      </w:r>
      <w:r>
        <w:rPr>
          <w:rStyle w:val="10"/>
          <w:rFonts w:hint="eastAsia" w:eastAsia="方正楷体_GBK" w:cs="方正楷体_GBK"/>
          <w:b w:val="0"/>
          <w:bCs/>
          <w:sz w:val="32"/>
          <w:szCs w:val="32"/>
          <w:shd w:val="clear" w:color="auto" w:fill="FFFFFF"/>
          <w:lang w:eastAsia="zh-CN"/>
        </w:rPr>
        <w:t>预算绩效管理工作开展情况</w:t>
      </w:r>
    </w:p>
    <w:p w14:paraId="7730F33A">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i w:val="0"/>
          <w:iCs w:val="0"/>
          <w:caps w:val="0"/>
          <w:spacing w:val="0"/>
          <w:sz w:val="32"/>
          <w:szCs w:val="32"/>
          <w:shd w:val="clear" w:color="auto" w:fill="auto"/>
        </w:rPr>
      </w:pPr>
      <w:r>
        <w:rPr>
          <w:rFonts w:hint="eastAsia" w:ascii="宋体" w:hAnsi="宋体" w:eastAsia="方正仿宋_GBK" w:cs="方正仿宋_GBK"/>
          <w:vanish w:val="0"/>
          <w:sz w:val="32"/>
          <w:szCs w:val="32"/>
          <w:shd w:val="clear" w:color="auto" w:fill="auto"/>
        </w:rPr>
        <w:t>根据预算绩效管理要求，</w:t>
      </w:r>
      <w:r>
        <w:rPr>
          <w:rFonts w:hint="eastAsia" w:ascii="宋体" w:hAnsi="宋体" w:eastAsia="方正仿宋_GBK" w:cs="方正仿宋_GBK"/>
          <w:i w:val="0"/>
          <w:iCs w:val="0"/>
          <w:caps w:val="0"/>
          <w:spacing w:val="0"/>
          <w:sz w:val="32"/>
          <w:szCs w:val="32"/>
          <w:shd w:val="clear" w:color="auto" w:fill="auto"/>
        </w:rPr>
        <w:t>根据预算绩效管理要求，</w:t>
      </w:r>
      <w:r>
        <w:rPr>
          <w:rFonts w:hint="eastAsia" w:ascii="宋体" w:hAnsi="宋体" w:eastAsia="方正仿宋_GBK" w:cs="方正仿宋_GBK"/>
          <w:i w:val="0"/>
          <w:iCs w:val="0"/>
          <w:caps w:val="0"/>
          <w:spacing w:val="0"/>
          <w:sz w:val="32"/>
          <w:szCs w:val="32"/>
          <w:shd w:val="clear" w:color="auto" w:fill="auto"/>
          <w:lang w:eastAsia="zh-CN"/>
        </w:rPr>
        <w:t>本</w:t>
      </w:r>
      <w:r>
        <w:rPr>
          <w:rFonts w:hint="eastAsia" w:eastAsia="方正仿宋_GBK" w:cs="方正仿宋_GBK"/>
          <w:i w:val="0"/>
          <w:iCs w:val="0"/>
          <w:caps w:val="0"/>
          <w:spacing w:val="0"/>
          <w:sz w:val="32"/>
          <w:szCs w:val="32"/>
          <w:shd w:val="clear" w:color="auto" w:fill="auto"/>
          <w:lang w:eastAsia="zh-CN"/>
        </w:rPr>
        <w:t>单位</w:t>
      </w:r>
      <w:r>
        <w:rPr>
          <w:rFonts w:hint="eastAsia" w:ascii="宋体" w:hAnsi="宋体" w:eastAsia="方正仿宋_GBK" w:cs="方正仿宋_GBK"/>
          <w:i w:val="0"/>
          <w:iCs w:val="0"/>
          <w:caps w:val="0"/>
          <w:spacing w:val="0"/>
          <w:sz w:val="32"/>
          <w:szCs w:val="32"/>
          <w:shd w:val="clear" w:color="auto" w:fill="auto"/>
        </w:rPr>
        <w:t>对</w:t>
      </w:r>
      <w:r>
        <w:rPr>
          <w:rFonts w:hint="eastAsia" w:ascii="宋体" w:hAnsi="宋体" w:eastAsia="方正仿宋_GBK" w:cs="方正仿宋_GBK"/>
          <w:i w:val="0"/>
          <w:iCs w:val="0"/>
          <w:caps w:val="0"/>
          <w:spacing w:val="0"/>
          <w:sz w:val="32"/>
          <w:szCs w:val="32"/>
          <w:shd w:val="clear" w:color="auto" w:fill="auto"/>
          <w:lang w:val="en-US" w:eastAsia="zh-CN"/>
        </w:rPr>
        <w:t>1</w:t>
      </w:r>
      <w:r>
        <w:rPr>
          <w:rFonts w:hint="eastAsia" w:ascii="宋体" w:hAnsi="宋体" w:eastAsia="方正仿宋_GBK" w:cs="方正仿宋_GBK"/>
          <w:i w:val="0"/>
          <w:iCs w:val="0"/>
          <w:caps w:val="0"/>
          <w:spacing w:val="0"/>
          <w:sz w:val="32"/>
          <w:szCs w:val="32"/>
          <w:shd w:val="clear" w:color="auto" w:fill="auto"/>
        </w:rPr>
        <w:t>个项目开展了绩效自评，</w:t>
      </w:r>
      <w:r>
        <w:rPr>
          <w:rFonts w:hint="eastAsia" w:ascii="宋体" w:hAnsi="宋体" w:eastAsia="方正仿宋_GBK" w:cs="方正仿宋_GBK"/>
          <w:i w:val="0"/>
          <w:iCs w:val="0"/>
          <w:caps w:val="0"/>
          <w:spacing w:val="0"/>
          <w:sz w:val="32"/>
          <w:szCs w:val="32"/>
          <w:shd w:val="clear" w:color="auto" w:fill="auto"/>
          <w:lang w:eastAsia="zh-CN"/>
        </w:rPr>
        <w:t>主要</w:t>
      </w:r>
      <w:r>
        <w:rPr>
          <w:rFonts w:hint="eastAsia" w:ascii="宋体" w:hAnsi="宋体" w:eastAsia="方正仿宋_GBK" w:cs="方正仿宋_GBK"/>
          <w:i w:val="0"/>
          <w:iCs w:val="0"/>
          <w:caps w:val="0"/>
          <w:spacing w:val="0"/>
          <w:sz w:val="32"/>
          <w:szCs w:val="32"/>
          <w:shd w:val="clear" w:color="auto" w:fill="auto"/>
        </w:rPr>
        <w:t>以填报目标自评表形式开展自评</w:t>
      </w:r>
      <w:r>
        <w:rPr>
          <w:rFonts w:hint="eastAsia" w:ascii="宋体" w:hAnsi="宋体" w:eastAsia="方正仿宋_GBK" w:cs="方正仿宋_GBK"/>
          <w:i w:val="0"/>
          <w:iCs w:val="0"/>
          <w:caps w:val="0"/>
          <w:spacing w:val="0"/>
          <w:sz w:val="32"/>
          <w:szCs w:val="32"/>
          <w:shd w:val="clear" w:color="auto" w:fill="auto"/>
          <w:lang w:val="en-US" w:eastAsia="zh-CN"/>
        </w:rPr>
        <w:t>1</w:t>
      </w:r>
      <w:r>
        <w:rPr>
          <w:rFonts w:hint="eastAsia" w:ascii="宋体" w:hAnsi="宋体" w:eastAsia="方正仿宋_GBK" w:cs="方正仿宋_GBK"/>
          <w:i w:val="0"/>
          <w:iCs w:val="0"/>
          <w:caps w:val="0"/>
          <w:spacing w:val="0"/>
          <w:sz w:val="32"/>
          <w:szCs w:val="32"/>
          <w:shd w:val="clear" w:color="auto" w:fill="auto"/>
        </w:rPr>
        <w:t>项，涉及资金</w:t>
      </w:r>
      <w:r>
        <w:rPr>
          <w:rFonts w:hint="eastAsia" w:eastAsia="方正仿宋_GBK" w:cs="方正仿宋_GBK"/>
          <w:i w:val="0"/>
          <w:iCs w:val="0"/>
          <w:caps w:val="0"/>
          <w:spacing w:val="0"/>
          <w:sz w:val="32"/>
          <w:szCs w:val="32"/>
          <w:shd w:val="clear" w:color="auto" w:fill="auto"/>
          <w:lang w:val="en-US" w:eastAsia="zh-CN"/>
        </w:rPr>
        <w:t>32.25</w:t>
      </w:r>
      <w:r>
        <w:rPr>
          <w:rFonts w:hint="eastAsia" w:ascii="宋体" w:hAnsi="宋体" w:eastAsia="方正仿宋_GBK" w:cs="方正仿宋_GBK"/>
          <w:i w:val="0"/>
          <w:iCs w:val="0"/>
          <w:caps w:val="0"/>
          <w:spacing w:val="0"/>
          <w:sz w:val="32"/>
          <w:szCs w:val="32"/>
          <w:shd w:val="clear" w:color="auto" w:fill="auto"/>
        </w:rPr>
        <w:t>万元。</w:t>
      </w:r>
      <w:bookmarkStart w:id="0" w:name="_GoBack"/>
      <w:bookmarkEnd w:id="0"/>
    </w:p>
    <w:p w14:paraId="7DA7AFF6">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eastAsia="方正楷体_GBK" w:cs="方正楷体_GBK"/>
          <w:b w:val="0"/>
          <w:bCs/>
          <w:sz w:val="32"/>
          <w:szCs w:val="32"/>
          <w:shd w:val="clear" w:color="auto" w:fill="FFFFFF"/>
          <w:lang w:eastAsia="zh-CN"/>
        </w:rPr>
      </w:pPr>
      <w:r>
        <w:rPr>
          <w:rStyle w:val="10"/>
          <w:rFonts w:hint="eastAsia" w:eastAsia="方正楷体_GBK" w:cs="方正楷体_GBK"/>
          <w:b w:val="0"/>
          <w:bCs/>
          <w:sz w:val="32"/>
          <w:szCs w:val="32"/>
          <w:shd w:val="clear" w:color="auto" w:fill="FFFFFF"/>
          <w:lang w:eastAsia="zh-CN"/>
        </w:rPr>
        <w:t>绩效自评结果</w:t>
      </w:r>
    </w:p>
    <w:p w14:paraId="3E165EB9">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i w:val="0"/>
          <w:iCs w:val="0"/>
          <w:caps w:val="0"/>
          <w:spacing w:val="0"/>
          <w:sz w:val="32"/>
          <w:szCs w:val="32"/>
          <w:shd w:val="clear" w:color="auto" w:fill="auto"/>
        </w:rPr>
      </w:pPr>
      <w:r>
        <w:rPr>
          <w:rStyle w:val="10"/>
          <w:rFonts w:hint="eastAsia" w:eastAsia="方正楷体_GBK" w:cs="方正楷体_GBK"/>
          <w:b w:val="0"/>
          <w:bCs/>
          <w:sz w:val="32"/>
          <w:szCs w:val="32"/>
          <w:shd w:val="clear" w:color="auto" w:fill="FFFFFF"/>
          <w:lang w:val="en-US" w:eastAsia="zh-CN"/>
        </w:rPr>
        <w:t xml:space="preserve">  </w:t>
      </w:r>
      <w:r>
        <w:rPr>
          <w:rStyle w:val="10"/>
          <w:rFonts w:hint="eastAsia" w:ascii="方正仿宋_GBK" w:hAnsi="方正仿宋_GBK" w:eastAsia="方正仿宋_GBK" w:cs="方正仿宋_GBK"/>
          <w:b w:val="0"/>
          <w:bCs/>
          <w:sz w:val="32"/>
          <w:szCs w:val="32"/>
          <w:shd w:val="clear" w:color="auto" w:fill="FFFFFF"/>
          <w:lang w:val="en-US" w:eastAsia="zh-CN"/>
        </w:rPr>
        <w:t xml:space="preserve">  1.绩效目标自评表</w:t>
      </w:r>
    </w:p>
    <w:tbl>
      <w:tblPr>
        <w:tblStyle w:val="7"/>
        <w:tblpPr w:leftFromText="180" w:rightFromText="180" w:vertAnchor="text" w:horzAnchor="page" w:tblpX="1181" w:tblpY="1025"/>
        <w:tblOverlap w:val="never"/>
        <w:tblW w:w="9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6"/>
        <w:gridCol w:w="800"/>
        <w:gridCol w:w="767"/>
        <w:gridCol w:w="933"/>
        <w:gridCol w:w="884"/>
        <w:gridCol w:w="868"/>
        <w:gridCol w:w="832"/>
        <w:gridCol w:w="935"/>
        <w:gridCol w:w="750"/>
        <w:gridCol w:w="843"/>
        <w:gridCol w:w="1082"/>
      </w:tblGrid>
      <w:tr w14:paraId="5543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992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84F3BC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方正黑体_GBK" w:hAnsi="方正黑体_GBK" w:eastAsia="方正黑体_GBK" w:cs="方正黑体_GBK"/>
                <w:b w:val="0"/>
                <w:bCs w:val="0"/>
                <w:i w:val="0"/>
                <w:iCs w:val="0"/>
                <w:color w:val="000000"/>
                <w:kern w:val="0"/>
                <w:sz w:val="44"/>
                <w:szCs w:val="44"/>
                <w:u w:val="none"/>
                <w:lang w:val="en-US" w:eastAsia="zh-CN" w:bidi="ar"/>
              </w:rPr>
              <w:t>2023年度项目绩效自评表</w:t>
            </w:r>
          </w:p>
        </w:tc>
      </w:tr>
      <w:tr w14:paraId="3C14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676E28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252" w:type="dxa"/>
            <w:gridSpan w:val="5"/>
            <w:tcBorders>
              <w:top w:val="single" w:color="auto" w:sz="4" w:space="0"/>
              <w:left w:val="nil"/>
              <w:bottom w:val="single" w:color="auto" w:sz="4" w:space="0"/>
              <w:right w:val="single" w:color="auto" w:sz="4" w:space="0"/>
            </w:tcBorders>
            <w:shd w:val="clear" w:color="auto" w:fill="auto"/>
            <w:noWrap/>
            <w:vAlign w:val="center"/>
          </w:tcPr>
          <w:p w14:paraId="287B82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地震台运行及防震减灾项目</w:t>
            </w:r>
          </w:p>
        </w:tc>
        <w:tc>
          <w:tcPr>
            <w:tcW w:w="832" w:type="dxa"/>
            <w:tcBorders>
              <w:top w:val="nil"/>
              <w:left w:val="nil"/>
              <w:bottom w:val="single" w:color="auto" w:sz="4" w:space="0"/>
              <w:right w:val="single" w:color="auto" w:sz="4" w:space="0"/>
            </w:tcBorders>
            <w:shd w:val="clear" w:color="auto" w:fill="auto"/>
            <w:noWrap/>
            <w:vAlign w:val="center"/>
          </w:tcPr>
          <w:p w14:paraId="5F930D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685" w:type="dxa"/>
            <w:gridSpan w:val="2"/>
            <w:tcBorders>
              <w:top w:val="single" w:color="auto" w:sz="4" w:space="0"/>
              <w:left w:val="nil"/>
              <w:bottom w:val="single" w:color="auto" w:sz="4" w:space="0"/>
              <w:right w:val="single" w:color="auto" w:sz="4" w:space="0"/>
            </w:tcBorders>
            <w:shd w:val="clear" w:color="auto" w:fill="auto"/>
            <w:noWrap/>
            <w:vAlign w:val="center"/>
          </w:tcPr>
          <w:p w14:paraId="3941C3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43" w:type="dxa"/>
            <w:tcBorders>
              <w:top w:val="nil"/>
              <w:left w:val="nil"/>
              <w:bottom w:val="single" w:color="auto" w:sz="4" w:space="0"/>
              <w:right w:val="single" w:color="auto" w:sz="4" w:space="0"/>
            </w:tcBorders>
            <w:shd w:val="clear" w:color="auto" w:fill="auto"/>
            <w:noWrap/>
            <w:vAlign w:val="center"/>
          </w:tcPr>
          <w:p w14:paraId="6DBA80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1082" w:type="dxa"/>
            <w:tcBorders>
              <w:top w:val="nil"/>
              <w:left w:val="nil"/>
              <w:bottom w:val="single" w:color="auto" w:sz="4" w:space="0"/>
              <w:right w:val="single" w:color="auto" w:sz="4" w:space="0"/>
            </w:tcBorders>
            <w:shd w:val="clear" w:color="auto" w:fill="auto"/>
            <w:vAlign w:val="center"/>
          </w:tcPr>
          <w:p w14:paraId="0A8EBB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6DC1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34F4D4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567" w:type="dxa"/>
            <w:gridSpan w:val="2"/>
            <w:tcBorders>
              <w:top w:val="single" w:color="auto" w:sz="4" w:space="0"/>
              <w:left w:val="nil"/>
              <w:bottom w:val="single" w:color="auto" w:sz="4" w:space="0"/>
              <w:right w:val="single" w:color="auto" w:sz="4" w:space="0"/>
            </w:tcBorders>
            <w:shd w:val="clear" w:color="auto" w:fill="auto"/>
            <w:noWrap/>
            <w:vAlign w:val="center"/>
          </w:tcPr>
          <w:p w14:paraId="3727A3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502-重庆市江津区科学技术局</w:t>
            </w:r>
          </w:p>
        </w:tc>
        <w:tc>
          <w:tcPr>
            <w:tcW w:w="933" w:type="dxa"/>
            <w:tcBorders>
              <w:top w:val="nil"/>
              <w:left w:val="nil"/>
              <w:bottom w:val="single" w:color="auto" w:sz="4" w:space="0"/>
              <w:right w:val="single" w:color="auto" w:sz="4" w:space="0"/>
            </w:tcBorders>
            <w:shd w:val="clear" w:color="auto" w:fill="auto"/>
            <w:noWrap/>
            <w:vAlign w:val="center"/>
          </w:tcPr>
          <w:p w14:paraId="0B8A14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17E9E7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005-教科文科</w:t>
            </w:r>
          </w:p>
        </w:tc>
        <w:tc>
          <w:tcPr>
            <w:tcW w:w="832" w:type="dxa"/>
            <w:tcBorders>
              <w:top w:val="nil"/>
              <w:left w:val="nil"/>
              <w:bottom w:val="single" w:color="auto" w:sz="4" w:space="0"/>
              <w:right w:val="single" w:color="auto" w:sz="4" w:space="0"/>
            </w:tcBorders>
            <w:shd w:val="clear" w:color="auto" w:fill="auto"/>
            <w:noWrap/>
            <w:vAlign w:val="center"/>
          </w:tcPr>
          <w:p w14:paraId="782CFB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685" w:type="dxa"/>
            <w:gridSpan w:val="2"/>
            <w:tcBorders>
              <w:top w:val="single" w:color="auto" w:sz="4" w:space="0"/>
              <w:left w:val="nil"/>
              <w:bottom w:val="single" w:color="auto" w:sz="4" w:space="0"/>
              <w:right w:val="single" w:color="auto" w:sz="4" w:space="0"/>
            </w:tcBorders>
            <w:shd w:val="clear" w:color="auto" w:fill="auto"/>
            <w:noWrap/>
            <w:vAlign w:val="center"/>
          </w:tcPr>
          <w:p w14:paraId="3626EA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颜渝</w:t>
            </w:r>
          </w:p>
        </w:tc>
        <w:tc>
          <w:tcPr>
            <w:tcW w:w="843" w:type="dxa"/>
            <w:tcBorders>
              <w:top w:val="nil"/>
              <w:left w:val="nil"/>
              <w:bottom w:val="single" w:color="auto" w:sz="4" w:space="0"/>
              <w:right w:val="single" w:color="auto" w:sz="4" w:space="0"/>
            </w:tcBorders>
            <w:shd w:val="clear" w:color="auto" w:fill="auto"/>
            <w:noWrap/>
            <w:vAlign w:val="center"/>
          </w:tcPr>
          <w:p w14:paraId="482DF6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82" w:type="dxa"/>
            <w:tcBorders>
              <w:top w:val="nil"/>
              <w:left w:val="nil"/>
              <w:bottom w:val="single" w:color="auto" w:sz="4" w:space="0"/>
              <w:right w:val="single" w:color="auto" w:sz="4" w:space="0"/>
            </w:tcBorders>
            <w:shd w:val="clear" w:color="auto" w:fill="auto"/>
            <w:vAlign w:val="center"/>
          </w:tcPr>
          <w:p w14:paraId="1C0314D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47569101</w:t>
            </w:r>
          </w:p>
        </w:tc>
      </w:tr>
      <w:tr w14:paraId="3E05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92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E7AA712">
            <w:pPr>
              <w:keepNext w:val="0"/>
              <w:keepLines w:val="0"/>
              <w:widowControl/>
              <w:suppressLineNumbers w:val="0"/>
              <w:jc w:val="center"/>
              <w:textAlignment w:val="center"/>
              <w:rPr>
                <w:rFonts w:hint="eastAsia" w:ascii="微软雅黑" w:hAnsi="微软雅黑" w:eastAsia="微软雅黑" w:cs="微软雅黑"/>
                <w:b/>
                <w:bCs/>
                <w:i w:val="0"/>
                <w:iCs w:val="0"/>
                <w:color w:val="7F7F7F"/>
                <w:sz w:val="28"/>
                <w:szCs w:val="28"/>
                <w:u w:val="none"/>
              </w:rPr>
            </w:pPr>
            <w:r>
              <w:rPr>
                <w:rFonts w:hint="eastAsia" w:ascii="宋体" w:hAnsi="宋体" w:eastAsia="宋体" w:cs="宋体"/>
                <w:b w:val="0"/>
                <w:bCs w:val="0"/>
                <w:i w:val="0"/>
                <w:iCs w:val="0"/>
                <w:color w:val="auto"/>
                <w:kern w:val="0"/>
                <w:sz w:val="28"/>
                <w:szCs w:val="28"/>
                <w:u w:val="none"/>
                <w:shd w:val="clear" w:color="auto" w:fill="auto"/>
                <w:lang w:val="en-US" w:eastAsia="zh-CN" w:bidi="ar"/>
              </w:rPr>
              <w:t>资金情况（万元）</w:t>
            </w:r>
          </w:p>
        </w:tc>
      </w:tr>
      <w:tr w14:paraId="482A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20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668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700" w:type="dxa"/>
            <w:gridSpan w:val="2"/>
            <w:tcBorders>
              <w:top w:val="single" w:color="auto" w:sz="4" w:space="0"/>
              <w:left w:val="nil"/>
              <w:bottom w:val="single" w:color="auto" w:sz="4" w:space="0"/>
              <w:right w:val="single" w:color="auto" w:sz="4" w:space="0"/>
            </w:tcBorders>
            <w:shd w:val="clear" w:color="auto" w:fill="auto"/>
            <w:noWrap/>
            <w:vAlign w:val="center"/>
          </w:tcPr>
          <w:p w14:paraId="2AF5F5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20F0FD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767" w:type="dxa"/>
            <w:gridSpan w:val="2"/>
            <w:tcBorders>
              <w:top w:val="single" w:color="auto" w:sz="4" w:space="0"/>
              <w:left w:val="nil"/>
              <w:bottom w:val="single" w:color="auto" w:sz="4" w:space="0"/>
              <w:right w:val="single" w:color="auto" w:sz="4" w:space="0"/>
            </w:tcBorders>
            <w:shd w:val="clear" w:color="auto" w:fill="auto"/>
            <w:noWrap/>
            <w:vAlign w:val="center"/>
          </w:tcPr>
          <w:p w14:paraId="787CBC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750" w:type="dxa"/>
            <w:tcBorders>
              <w:top w:val="nil"/>
              <w:left w:val="nil"/>
              <w:bottom w:val="single" w:color="auto" w:sz="4" w:space="0"/>
              <w:right w:val="single" w:color="auto" w:sz="4" w:space="0"/>
            </w:tcBorders>
            <w:shd w:val="clear" w:color="auto" w:fill="auto"/>
            <w:noWrap/>
            <w:vAlign w:val="center"/>
          </w:tcPr>
          <w:p w14:paraId="6499E4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843" w:type="dxa"/>
            <w:tcBorders>
              <w:top w:val="nil"/>
              <w:left w:val="nil"/>
              <w:bottom w:val="single" w:color="auto" w:sz="4" w:space="0"/>
              <w:right w:val="single" w:color="auto" w:sz="4" w:space="0"/>
            </w:tcBorders>
            <w:shd w:val="clear" w:color="auto" w:fill="auto"/>
            <w:noWrap/>
            <w:vAlign w:val="center"/>
          </w:tcPr>
          <w:p w14:paraId="22AB912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82" w:type="dxa"/>
            <w:tcBorders>
              <w:top w:val="nil"/>
              <w:left w:val="nil"/>
              <w:bottom w:val="single" w:color="auto" w:sz="4" w:space="0"/>
              <w:right w:val="single" w:color="auto" w:sz="4" w:space="0"/>
            </w:tcBorders>
            <w:shd w:val="clear" w:color="auto" w:fill="auto"/>
            <w:noWrap/>
            <w:vAlign w:val="center"/>
          </w:tcPr>
          <w:p w14:paraId="0A798E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97A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026" w:type="dxa"/>
            <w:gridSpan w:val="2"/>
            <w:tcBorders>
              <w:top w:val="nil"/>
              <w:left w:val="single" w:color="auto" w:sz="4" w:space="0"/>
              <w:bottom w:val="single" w:color="auto" w:sz="4" w:space="0"/>
              <w:right w:val="single" w:color="auto" w:sz="4" w:space="0"/>
            </w:tcBorders>
            <w:shd w:val="clear" w:color="auto" w:fill="auto"/>
            <w:vAlign w:val="center"/>
          </w:tcPr>
          <w:p w14:paraId="50B6AB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p w14:paraId="14182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700" w:type="dxa"/>
            <w:gridSpan w:val="2"/>
            <w:tcBorders>
              <w:top w:val="nil"/>
              <w:left w:val="nil"/>
              <w:bottom w:val="single" w:color="auto" w:sz="4" w:space="0"/>
              <w:right w:val="single" w:color="auto" w:sz="4" w:space="0"/>
            </w:tcBorders>
            <w:shd w:val="clear" w:color="auto" w:fill="auto"/>
            <w:noWrap/>
            <w:vAlign w:val="center"/>
          </w:tcPr>
          <w:p w14:paraId="0DA57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p w14:paraId="39D60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13.92</w:t>
            </w:r>
            <w:r>
              <w:rPr>
                <w:rFonts w:hint="eastAsia" w:ascii="宋体" w:hAnsi="宋体" w:eastAsia="宋体" w:cs="宋体"/>
                <w:i w:val="0"/>
                <w:iCs w:val="0"/>
                <w:color w:val="000000"/>
                <w:kern w:val="0"/>
                <w:sz w:val="22"/>
                <w:szCs w:val="22"/>
                <w:u w:val="none"/>
                <w:lang w:val="en-US" w:eastAsia="zh-CN" w:bidi="ar"/>
              </w:rPr>
              <w:t xml:space="preserve"> </w:t>
            </w:r>
          </w:p>
        </w:tc>
        <w:tc>
          <w:tcPr>
            <w:tcW w:w="1752" w:type="dxa"/>
            <w:gridSpan w:val="2"/>
            <w:tcBorders>
              <w:top w:val="nil"/>
              <w:left w:val="nil"/>
              <w:bottom w:val="single" w:color="auto" w:sz="4" w:space="0"/>
              <w:right w:val="single" w:color="auto" w:sz="4" w:space="0"/>
            </w:tcBorders>
            <w:shd w:val="clear" w:color="auto" w:fill="auto"/>
            <w:noWrap/>
            <w:vAlign w:val="center"/>
          </w:tcPr>
          <w:p w14:paraId="2E394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p w14:paraId="273D3B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32.25</w:t>
            </w:r>
            <w:r>
              <w:rPr>
                <w:rFonts w:hint="eastAsia" w:ascii="宋体" w:hAnsi="宋体" w:eastAsia="宋体" w:cs="宋体"/>
                <w:i w:val="0"/>
                <w:iCs w:val="0"/>
                <w:color w:val="000000"/>
                <w:kern w:val="0"/>
                <w:sz w:val="22"/>
                <w:szCs w:val="22"/>
                <w:u w:val="none"/>
                <w:lang w:val="en-US" w:eastAsia="zh-CN" w:bidi="ar"/>
              </w:rPr>
              <w:t xml:space="preserve"> </w:t>
            </w:r>
          </w:p>
        </w:tc>
        <w:tc>
          <w:tcPr>
            <w:tcW w:w="1767" w:type="dxa"/>
            <w:gridSpan w:val="2"/>
            <w:tcBorders>
              <w:top w:val="nil"/>
              <w:left w:val="nil"/>
              <w:bottom w:val="single" w:color="auto" w:sz="4" w:space="0"/>
              <w:right w:val="single" w:color="auto" w:sz="4" w:space="0"/>
            </w:tcBorders>
            <w:shd w:val="clear" w:color="auto" w:fill="auto"/>
            <w:noWrap/>
            <w:vAlign w:val="center"/>
          </w:tcPr>
          <w:p w14:paraId="6352F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p w14:paraId="6A9F76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32.25</w:t>
            </w:r>
            <w:r>
              <w:rPr>
                <w:rFonts w:hint="eastAsia" w:ascii="宋体" w:hAnsi="宋体" w:eastAsia="宋体" w:cs="宋体"/>
                <w:i w:val="0"/>
                <w:iCs w:val="0"/>
                <w:color w:val="000000"/>
                <w:kern w:val="0"/>
                <w:sz w:val="22"/>
                <w:szCs w:val="22"/>
                <w:u w:val="none"/>
                <w:lang w:val="en-US" w:eastAsia="zh-CN" w:bidi="ar"/>
              </w:rPr>
              <w:t xml:space="preserve"> </w:t>
            </w:r>
          </w:p>
        </w:tc>
        <w:tc>
          <w:tcPr>
            <w:tcW w:w="750" w:type="dxa"/>
            <w:tcBorders>
              <w:top w:val="nil"/>
              <w:left w:val="nil"/>
              <w:bottom w:val="single" w:color="auto" w:sz="4" w:space="0"/>
              <w:right w:val="single" w:color="auto" w:sz="4" w:space="0"/>
            </w:tcBorders>
            <w:shd w:val="clear" w:color="auto" w:fill="auto"/>
            <w:noWrap/>
            <w:vAlign w:val="center"/>
          </w:tcPr>
          <w:p w14:paraId="4357D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43" w:type="dxa"/>
            <w:tcBorders>
              <w:top w:val="nil"/>
              <w:left w:val="nil"/>
              <w:bottom w:val="single" w:color="auto" w:sz="4" w:space="0"/>
              <w:right w:val="single" w:color="auto" w:sz="4" w:space="0"/>
            </w:tcBorders>
            <w:shd w:val="clear" w:color="auto" w:fill="auto"/>
            <w:noWrap/>
            <w:vAlign w:val="center"/>
          </w:tcPr>
          <w:p w14:paraId="2645F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82" w:type="dxa"/>
            <w:tcBorders>
              <w:top w:val="nil"/>
              <w:left w:val="nil"/>
              <w:bottom w:val="single" w:color="auto" w:sz="4" w:space="0"/>
              <w:right w:val="single" w:color="auto" w:sz="4" w:space="0"/>
            </w:tcBorders>
            <w:shd w:val="clear" w:color="auto" w:fill="auto"/>
            <w:noWrap/>
            <w:vAlign w:val="center"/>
          </w:tcPr>
          <w:p w14:paraId="274ADC1A">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14:paraId="37F7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2026" w:type="dxa"/>
            <w:gridSpan w:val="2"/>
            <w:tcBorders>
              <w:top w:val="nil"/>
              <w:left w:val="single" w:color="auto" w:sz="4" w:space="0"/>
              <w:bottom w:val="single" w:color="auto" w:sz="4" w:space="0"/>
              <w:right w:val="single" w:color="auto" w:sz="4" w:space="0"/>
            </w:tcBorders>
            <w:shd w:val="clear" w:color="auto" w:fill="auto"/>
            <w:vAlign w:val="center"/>
          </w:tcPr>
          <w:p w14:paraId="709A9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p w14:paraId="78DAD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700" w:type="dxa"/>
            <w:gridSpan w:val="2"/>
            <w:tcBorders>
              <w:top w:val="nil"/>
              <w:left w:val="nil"/>
              <w:bottom w:val="single" w:color="auto" w:sz="4" w:space="0"/>
              <w:right w:val="single" w:color="auto" w:sz="4" w:space="0"/>
            </w:tcBorders>
            <w:shd w:val="clear" w:color="auto" w:fill="auto"/>
            <w:noWrap/>
            <w:vAlign w:val="center"/>
          </w:tcPr>
          <w:p w14:paraId="39773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p w14:paraId="7058D9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13.92</w:t>
            </w:r>
            <w:r>
              <w:rPr>
                <w:rFonts w:hint="eastAsia" w:ascii="宋体" w:hAnsi="宋体" w:eastAsia="宋体" w:cs="宋体"/>
                <w:i w:val="0"/>
                <w:iCs w:val="0"/>
                <w:color w:val="000000"/>
                <w:kern w:val="0"/>
                <w:sz w:val="22"/>
                <w:szCs w:val="22"/>
                <w:u w:val="none"/>
                <w:lang w:val="en-US" w:eastAsia="zh-CN" w:bidi="ar"/>
              </w:rPr>
              <w:t xml:space="preserve"> </w:t>
            </w:r>
          </w:p>
        </w:tc>
        <w:tc>
          <w:tcPr>
            <w:tcW w:w="1752" w:type="dxa"/>
            <w:gridSpan w:val="2"/>
            <w:tcBorders>
              <w:top w:val="nil"/>
              <w:left w:val="nil"/>
              <w:bottom w:val="single" w:color="auto" w:sz="4" w:space="0"/>
              <w:right w:val="single" w:color="auto" w:sz="4" w:space="0"/>
            </w:tcBorders>
            <w:shd w:val="clear" w:color="auto" w:fill="auto"/>
            <w:noWrap/>
            <w:vAlign w:val="center"/>
          </w:tcPr>
          <w:p w14:paraId="13E49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p w14:paraId="0907D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32.25</w:t>
            </w:r>
            <w:r>
              <w:rPr>
                <w:rFonts w:hint="eastAsia" w:ascii="宋体" w:hAnsi="宋体" w:eastAsia="宋体" w:cs="宋体"/>
                <w:i w:val="0"/>
                <w:iCs w:val="0"/>
                <w:color w:val="000000"/>
                <w:kern w:val="0"/>
                <w:sz w:val="22"/>
                <w:szCs w:val="22"/>
                <w:u w:val="none"/>
                <w:lang w:val="en-US" w:eastAsia="zh-CN" w:bidi="ar"/>
              </w:rPr>
              <w:t xml:space="preserve"> </w:t>
            </w:r>
          </w:p>
        </w:tc>
        <w:tc>
          <w:tcPr>
            <w:tcW w:w="1767" w:type="dxa"/>
            <w:gridSpan w:val="2"/>
            <w:tcBorders>
              <w:top w:val="nil"/>
              <w:left w:val="nil"/>
              <w:bottom w:val="single" w:color="auto" w:sz="4" w:space="0"/>
              <w:right w:val="single" w:color="auto" w:sz="4" w:space="0"/>
            </w:tcBorders>
            <w:shd w:val="clear" w:color="auto" w:fill="auto"/>
            <w:noWrap/>
            <w:vAlign w:val="center"/>
          </w:tcPr>
          <w:p w14:paraId="15B0F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p w14:paraId="0071D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32.25</w:t>
            </w:r>
            <w:r>
              <w:rPr>
                <w:rFonts w:hint="eastAsia" w:ascii="宋体" w:hAnsi="宋体" w:eastAsia="宋体" w:cs="宋体"/>
                <w:i w:val="0"/>
                <w:iCs w:val="0"/>
                <w:color w:val="000000"/>
                <w:kern w:val="0"/>
                <w:sz w:val="22"/>
                <w:szCs w:val="22"/>
                <w:u w:val="none"/>
                <w:lang w:val="en-US" w:eastAsia="zh-CN" w:bidi="ar"/>
              </w:rPr>
              <w:t xml:space="preserve"> </w:t>
            </w:r>
          </w:p>
        </w:tc>
        <w:tc>
          <w:tcPr>
            <w:tcW w:w="750" w:type="dxa"/>
            <w:tcBorders>
              <w:top w:val="nil"/>
              <w:left w:val="nil"/>
              <w:bottom w:val="single" w:color="auto" w:sz="4" w:space="0"/>
              <w:right w:val="single" w:color="auto" w:sz="4" w:space="0"/>
            </w:tcBorders>
            <w:shd w:val="clear" w:color="auto" w:fill="auto"/>
            <w:noWrap/>
            <w:vAlign w:val="center"/>
          </w:tcPr>
          <w:p w14:paraId="51C7B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3" w:type="dxa"/>
            <w:tcBorders>
              <w:top w:val="nil"/>
              <w:left w:val="nil"/>
              <w:bottom w:val="single" w:color="auto" w:sz="4" w:space="0"/>
              <w:right w:val="single" w:color="auto" w:sz="4" w:space="0"/>
            </w:tcBorders>
            <w:shd w:val="clear" w:color="auto" w:fill="auto"/>
            <w:noWrap/>
            <w:vAlign w:val="center"/>
          </w:tcPr>
          <w:p w14:paraId="74162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2" w:type="dxa"/>
            <w:tcBorders>
              <w:top w:val="nil"/>
              <w:left w:val="nil"/>
              <w:bottom w:val="single" w:color="auto" w:sz="4" w:space="0"/>
              <w:right w:val="single" w:color="auto" w:sz="4" w:space="0"/>
            </w:tcBorders>
            <w:shd w:val="clear" w:color="auto" w:fill="auto"/>
            <w:noWrap/>
            <w:vAlign w:val="center"/>
          </w:tcPr>
          <w:p w14:paraId="49E81B1C">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14:paraId="30BB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92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69EDCF1">
            <w:pPr>
              <w:keepNext w:val="0"/>
              <w:keepLines w:val="0"/>
              <w:widowControl/>
              <w:suppressLineNumbers w:val="0"/>
              <w:jc w:val="center"/>
              <w:textAlignment w:val="center"/>
              <w:rPr>
                <w:rFonts w:hint="eastAsia" w:ascii="微软雅黑" w:hAnsi="微软雅黑" w:eastAsia="微软雅黑" w:cs="微软雅黑"/>
                <w:b/>
                <w:bCs/>
                <w:i w:val="0"/>
                <w:iCs w:val="0"/>
                <w:color w:val="7F7F7F"/>
                <w:sz w:val="28"/>
                <w:szCs w:val="28"/>
                <w:u w:val="none"/>
              </w:rPr>
            </w:pPr>
            <w:r>
              <w:rPr>
                <w:rFonts w:hint="eastAsia" w:ascii="宋体" w:hAnsi="宋体" w:eastAsia="宋体" w:cs="宋体"/>
                <w:b w:val="0"/>
                <w:bCs w:val="0"/>
                <w:i w:val="0"/>
                <w:iCs w:val="0"/>
                <w:color w:val="auto"/>
                <w:kern w:val="0"/>
                <w:sz w:val="28"/>
                <w:szCs w:val="28"/>
                <w:u w:val="none"/>
                <w:lang w:val="en-US" w:eastAsia="zh-CN" w:bidi="ar"/>
              </w:rPr>
              <w:t>当年绩效目标</w:t>
            </w:r>
          </w:p>
        </w:tc>
      </w:tr>
      <w:tr w14:paraId="646E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372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04D69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519" w:type="dxa"/>
            <w:gridSpan w:val="4"/>
            <w:tcBorders>
              <w:top w:val="single" w:color="auto" w:sz="4" w:space="0"/>
              <w:left w:val="nil"/>
              <w:bottom w:val="single" w:color="auto" w:sz="4" w:space="0"/>
              <w:right w:val="single" w:color="auto" w:sz="4" w:space="0"/>
            </w:tcBorders>
            <w:shd w:val="clear" w:color="auto" w:fill="auto"/>
            <w:noWrap/>
            <w:vAlign w:val="center"/>
          </w:tcPr>
          <w:p w14:paraId="12FB0B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675" w:type="dxa"/>
            <w:gridSpan w:val="3"/>
            <w:tcBorders>
              <w:top w:val="single" w:color="auto" w:sz="4" w:space="0"/>
              <w:left w:val="nil"/>
              <w:bottom w:val="single" w:color="auto" w:sz="4" w:space="0"/>
              <w:right w:val="single" w:color="auto" w:sz="4" w:space="0"/>
            </w:tcBorders>
            <w:shd w:val="clear" w:color="auto" w:fill="auto"/>
            <w:noWrap/>
            <w:vAlign w:val="center"/>
          </w:tcPr>
          <w:p w14:paraId="5299D2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E06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372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D53A5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运维保障地震专线1条，及时处置故障，预计全年保障地震网络通信正常运转率98%以上，工作天数到达357天以上。</w:t>
            </w:r>
          </w:p>
        </w:tc>
        <w:tc>
          <w:tcPr>
            <w:tcW w:w="3519" w:type="dxa"/>
            <w:gridSpan w:val="4"/>
            <w:tcBorders>
              <w:top w:val="single" w:color="auto" w:sz="4" w:space="0"/>
              <w:left w:val="nil"/>
              <w:bottom w:val="single" w:color="auto" w:sz="4" w:space="0"/>
              <w:right w:val="single" w:color="auto" w:sz="4" w:space="0"/>
            </w:tcBorders>
            <w:shd w:val="clear" w:color="auto" w:fill="auto"/>
            <w:vAlign w:val="top"/>
          </w:tcPr>
          <w:p w14:paraId="68C3F69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2675" w:type="dxa"/>
            <w:gridSpan w:val="3"/>
            <w:tcBorders>
              <w:top w:val="single" w:color="auto" w:sz="4" w:space="0"/>
              <w:left w:val="nil"/>
              <w:bottom w:val="single" w:color="auto" w:sz="4" w:space="0"/>
              <w:right w:val="single" w:color="auto" w:sz="4" w:space="0"/>
            </w:tcBorders>
            <w:shd w:val="clear" w:color="auto" w:fill="auto"/>
            <w:vAlign w:val="top"/>
          </w:tcPr>
          <w:p w14:paraId="3B74BF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运维保障地震专线1条，地震网络通信正常运转率99.5%，工作天数到达364天, 全年未发生停机断维事故。</w:t>
            </w:r>
          </w:p>
        </w:tc>
      </w:tr>
      <w:tr w14:paraId="3D11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92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A342955">
            <w:pPr>
              <w:keepNext w:val="0"/>
              <w:keepLines w:val="0"/>
              <w:widowControl/>
              <w:suppressLineNumbers w:val="0"/>
              <w:jc w:val="center"/>
              <w:textAlignment w:val="center"/>
              <w:rPr>
                <w:rFonts w:hint="eastAsia" w:ascii="微软雅黑" w:hAnsi="微软雅黑" w:eastAsia="微软雅黑" w:cs="微软雅黑"/>
                <w:b/>
                <w:bCs/>
                <w:i w:val="0"/>
                <w:iCs w:val="0"/>
                <w:color w:val="7F7F7F"/>
                <w:sz w:val="28"/>
                <w:szCs w:val="28"/>
                <w:u w:val="none"/>
              </w:rPr>
            </w:pPr>
            <w:r>
              <w:rPr>
                <w:rFonts w:hint="eastAsia" w:ascii="宋体" w:hAnsi="宋体" w:eastAsia="宋体" w:cs="宋体"/>
                <w:b w:val="0"/>
                <w:bCs w:val="0"/>
                <w:i w:val="0"/>
                <w:iCs w:val="0"/>
                <w:color w:val="auto"/>
                <w:kern w:val="0"/>
                <w:sz w:val="28"/>
                <w:szCs w:val="28"/>
                <w:u w:val="none"/>
                <w:lang w:val="en-US" w:eastAsia="zh-CN" w:bidi="ar"/>
              </w:rPr>
              <w:t>绩效指标</w:t>
            </w:r>
          </w:p>
        </w:tc>
      </w:tr>
      <w:tr w14:paraId="53D7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175989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800" w:type="dxa"/>
            <w:tcBorders>
              <w:top w:val="nil"/>
              <w:left w:val="nil"/>
              <w:bottom w:val="single" w:color="auto" w:sz="4" w:space="0"/>
              <w:right w:val="single" w:color="auto" w:sz="4" w:space="0"/>
            </w:tcBorders>
            <w:shd w:val="clear" w:color="auto" w:fill="auto"/>
            <w:noWrap/>
            <w:vAlign w:val="center"/>
          </w:tcPr>
          <w:p w14:paraId="564203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67" w:type="dxa"/>
            <w:tcBorders>
              <w:top w:val="nil"/>
              <w:left w:val="nil"/>
              <w:bottom w:val="single" w:color="auto" w:sz="4" w:space="0"/>
              <w:right w:val="single" w:color="auto" w:sz="4" w:space="0"/>
            </w:tcBorders>
            <w:shd w:val="clear" w:color="auto" w:fill="auto"/>
            <w:noWrap/>
            <w:vAlign w:val="center"/>
          </w:tcPr>
          <w:p w14:paraId="6C18B3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933" w:type="dxa"/>
            <w:tcBorders>
              <w:top w:val="nil"/>
              <w:left w:val="nil"/>
              <w:bottom w:val="single" w:color="auto" w:sz="4" w:space="0"/>
              <w:right w:val="single" w:color="auto" w:sz="4" w:space="0"/>
            </w:tcBorders>
            <w:shd w:val="clear" w:color="auto" w:fill="auto"/>
            <w:noWrap/>
            <w:vAlign w:val="center"/>
          </w:tcPr>
          <w:p w14:paraId="608B79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84" w:type="dxa"/>
            <w:tcBorders>
              <w:top w:val="nil"/>
              <w:left w:val="nil"/>
              <w:bottom w:val="single" w:color="auto" w:sz="4" w:space="0"/>
              <w:right w:val="single" w:color="auto" w:sz="4" w:space="0"/>
            </w:tcBorders>
            <w:shd w:val="clear" w:color="auto" w:fill="auto"/>
            <w:noWrap/>
            <w:vAlign w:val="center"/>
          </w:tcPr>
          <w:p w14:paraId="4A8969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68" w:type="dxa"/>
            <w:tcBorders>
              <w:top w:val="nil"/>
              <w:left w:val="nil"/>
              <w:bottom w:val="single" w:color="auto" w:sz="4" w:space="0"/>
              <w:right w:val="single" w:color="auto" w:sz="4" w:space="0"/>
            </w:tcBorders>
            <w:shd w:val="clear" w:color="auto" w:fill="auto"/>
            <w:noWrap/>
            <w:vAlign w:val="center"/>
          </w:tcPr>
          <w:p w14:paraId="798268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32" w:type="dxa"/>
            <w:tcBorders>
              <w:top w:val="nil"/>
              <w:left w:val="nil"/>
              <w:bottom w:val="single" w:color="auto" w:sz="4" w:space="0"/>
              <w:right w:val="single" w:color="auto" w:sz="4" w:space="0"/>
            </w:tcBorders>
            <w:shd w:val="clear" w:color="auto" w:fill="auto"/>
            <w:noWrap/>
            <w:vAlign w:val="center"/>
          </w:tcPr>
          <w:p w14:paraId="140BB3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935" w:type="dxa"/>
            <w:tcBorders>
              <w:top w:val="nil"/>
              <w:left w:val="nil"/>
              <w:bottom w:val="single" w:color="auto" w:sz="4" w:space="0"/>
              <w:right w:val="single" w:color="auto" w:sz="4" w:space="0"/>
            </w:tcBorders>
            <w:shd w:val="clear" w:color="auto" w:fill="auto"/>
            <w:noWrap/>
            <w:vAlign w:val="center"/>
          </w:tcPr>
          <w:p w14:paraId="0B38C4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50" w:type="dxa"/>
            <w:tcBorders>
              <w:top w:val="nil"/>
              <w:left w:val="nil"/>
              <w:bottom w:val="single" w:color="auto" w:sz="4" w:space="0"/>
              <w:right w:val="single" w:color="auto" w:sz="4" w:space="0"/>
            </w:tcBorders>
            <w:shd w:val="clear" w:color="auto" w:fill="auto"/>
            <w:noWrap/>
            <w:vAlign w:val="center"/>
          </w:tcPr>
          <w:p w14:paraId="489CC6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773AB1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A51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21CCC4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运维天数</w:t>
            </w:r>
          </w:p>
        </w:tc>
        <w:tc>
          <w:tcPr>
            <w:tcW w:w="800" w:type="dxa"/>
            <w:tcBorders>
              <w:top w:val="nil"/>
              <w:left w:val="nil"/>
              <w:bottom w:val="single" w:color="auto" w:sz="4" w:space="0"/>
              <w:right w:val="single" w:color="auto" w:sz="4" w:space="0"/>
            </w:tcBorders>
            <w:shd w:val="clear" w:color="auto" w:fill="auto"/>
            <w:noWrap/>
            <w:vAlign w:val="center"/>
          </w:tcPr>
          <w:p w14:paraId="4F670E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67" w:type="dxa"/>
            <w:tcBorders>
              <w:top w:val="nil"/>
              <w:left w:val="nil"/>
              <w:bottom w:val="single" w:color="auto" w:sz="4" w:space="0"/>
              <w:right w:val="single" w:color="auto" w:sz="4" w:space="0"/>
            </w:tcBorders>
            <w:shd w:val="clear" w:color="auto" w:fill="auto"/>
            <w:noWrap/>
            <w:vAlign w:val="center"/>
          </w:tcPr>
          <w:p w14:paraId="26E149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48C168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884" w:type="dxa"/>
            <w:tcBorders>
              <w:top w:val="nil"/>
              <w:left w:val="nil"/>
              <w:bottom w:val="single" w:color="auto" w:sz="4" w:space="0"/>
              <w:right w:val="single" w:color="auto" w:sz="4" w:space="0"/>
            </w:tcBorders>
            <w:shd w:val="clear" w:color="auto" w:fill="auto"/>
            <w:noWrap/>
            <w:vAlign w:val="center"/>
          </w:tcPr>
          <w:p w14:paraId="570F24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868" w:type="dxa"/>
            <w:tcBorders>
              <w:top w:val="nil"/>
              <w:left w:val="nil"/>
              <w:bottom w:val="single" w:color="auto" w:sz="4" w:space="0"/>
              <w:right w:val="single" w:color="auto" w:sz="4" w:space="0"/>
            </w:tcBorders>
            <w:shd w:val="clear" w:color="auto" w:fill="auto"/>
            <w:noWrap/>
            <w:vAlign w:val="center"/>
          </w:tcPr>
          <w:p w14:paraId="53B228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832" w:type="dxa"/>
            <w:tcBorders>
              <w:top w:val="nil"/>
              <w:left w:val="nil"/>
              <w:bottom w:val="single" w:color="auto" w:sz="4" w:space="0"/>
              <w:right w:val="single" w:color="auto" w:sz="4" w:space="0"/>
            </w:tcBorders>
            <w:shd w:val="clear" w:color="auto" w:fill="auto"/>
            <w:noWrap/>
            <w:vAlign w:val="center"/>
          </w:tcPr>
          <w:p w14:paraId="1054EE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705F30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nil"/>
              <w:left w:val="nil"/>
              <w:bottom w:val="single" w:color="auto" w:sz="4" w:space="0"/>
              <w:right w:val="single" w:color="auto" w:sz="4" w:space="0"/>
            </w:tcBorders>
            <w:shd w:val="clear" w:color="auto" w:fill="auto"/>
            <w:noWrap/>
            <w:vAlign w:val="center"/>
          </w:tcPr>
          <w:p w14:paraId="6D17C7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63754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42BE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4F2B5B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运维网络专线</w:t>
            </w:r>
          </w:p>
        </w:tc>
        <w:tc>
          <w:tcPr>
            <w:tcW w:w="800" w:type="dxa"/>
            <w:tcBorders>
              <w:top w:val="nil"/>
              <w:left w:val="nil"/>
              <w:bottom w:val="single" w:color="auto" w:sz="4" w:space="0"/>
              <w:right w:val="single" w:color="auto" w:sz="4" w:space="0"/>
            </w:tcBorders>
            <w:shd w:val="clear" w:color="auto" w:fill="auto"/>
            <w:noWrap/>
            <w:vAlign w:val="center"/>
          </w:tcPr>
          <w:p w14:paraId="53C29B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67" w:type="dxa"/>
            <w:tcBorders>
              <w:top w:val="nil"/>
              <w:left w:val="nil"/>
              <w:bottom w:val="single" w:color="auto" w:sz="4" w:space="0"/>
              <w:right w:val="single" w:color="auto" w:sz="4" w:space="0"/>
            </w:tcBorders>
            <w:shd w:val="clear" w:color="auto" w:fill="auto"/>
            <w:noWrap/>
            <w:vAlign w:val="center"/>
          </w:tcPr>
          <w:p w14:paraId="2526BA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7C37A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4" w:type="dxa"/>
            <w:tcBorders>
              <w:top w:val="nil"/>
              <w:left w:val="nil"/>
              <w:bottom w:val="single" w:color="auto" w:sz="4" w:space="0"/>
              <w:right w:val="single" w:color="auto" w:sz="4" w:space="0"/>
            </w:tcBorders>
            <w:shd w:val="clear" w:color="auto" w:fill="auto"/>
            <w:noWrap/>
            <w:vAlign w:val="center"/>
          </w:tcPr>
          <w:p w14:paraId="058B0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8" w:type="dxa"/>
            <w:tcBorders>
              <w:top w:val="nil"/>
              <w:left w:val="nil"/>
              <w:bottom w:val="single" w:color="auto" w:sz="4" w:space="0"/>
              <w:right w:val="single" w:color="auto" w:sz="4" w:space="0"/>
            </w:tcBorders>
            <w:shd w:val="clear" w:color="auto" w:fill="auto"/>
            <w:noWrap/>
            <w:vAlign w:val="center"/>
          </w:tcPr>
          <w:p w14:paraId="01C592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32" w:type="dxa"/>
            <w:tcBorders>
              <w:top w:val="nil"/>
              <w:left w:val="nil"/>
              <w:bottom w:val="single" w:color="auto" w:sz="4" w:space="0"/>
              <w:right w:val="single" w:color="auto" w:sz="4" w:space="0"/>
            </w:tcBorders>
            <w:shd w:val="clear" w:color="auto" w:fill="auto"/>
            <w:noWrap/>
            <w:vAlign w:val="center"/>
          </w:tcPr>
          <w:p w14:paraId="32D6C9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1553DB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nil"/>
              <w:left w:val="nil"/>
              <w:bottom w:val="single" w:color="auto" w:sz="4" w:space="0"/>
              <w:right w:val="single" w:color="auto" w:sz="4" w:space="0"/>
            </w:tcBorders>
            <w:shd w:val="clear" w:color="auto" w:fill="auto"/>
            <w:noWrap/>
            <w:vAlign w:val="center"/>
          </w:tcPr>
          <w:p w14:paraId="50A05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46274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19EB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77D320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全年稳定运行天数</w:t>
            </w:r>
          </w:p>
        </w:tc>
        <w:tc>
          <w:tcPr>
            <w:tcW w:w="800" w:type="dxa"/>
            <w:tcBorders>
              <w:top w:val="nil"/>
              <w:left w:val="nil"/>
              <w:bottom w:val="single" w:color="auto" w:sz="4" w:space="0"/>
              <w:right w:val="single" w:color="auto" w:sz="4" w:space="0"/>
            </w:tcBorders>
            <w:shd w:val="clear" w:color="auto" w:fill="auto"/>
            <w:noWrap/>
            <w:vAlign w:val="center"/>
          </w:tcPr>
          <w:p w14:paraId="05C64F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67" w:type="dxa"/>
            <w:tcBorders>
              <w:top w:val="nil"/>
              <w:left w:val="nil"/>
              <w:bottom w:val="single" w:color="auto" w:sz="4" w:space="0"/>
              <w:right w:val="single" w:color="auto" w:sz="4" w:space="0"/>
            </w:tcBorders>
            <w:shd w:val="clear" w:color="auto" w:fill="auto"/>
            <w:noWrap/>
            <w:vAlign w:val="center"/>
          </w:tcPr>
          <w:p w14:paraId="2D18FF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558B5A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884" w:type="dxa"/>
            <w:tcBorders>
              <w:top w:val="nil"/>
              <w:left w:val="nil"/>
              <w:bottom w:val="single" w:color="auto" w:sz="4" w:space="0"/>
              <w:right w:val="single" w:color="auto" w:sz="4" w:space="0"/>
            </w:tcBorders>
            <w:shd w:val="clear" w:color="auto" w:fill="auto"/>
            <w:noWrap/>
            <w:vAlign w:val="center"/>
          </w:tcPr>
          <w:p w14:paraId="7E221E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868" w:type="dxa"/>
            <w:tcBorders>
              <w:top w:val="nil"/>
              <w:left w:val="nil"/>
              <w:bottom w:val="single" w:color="auto" w:sz="4" w:space="0"/>
              <w:right w:val="single" w:color="auto" w:sz="4" w:space="0"/>
            </w:tcBorders>
            <w:shd w:val="clear" w:color="auto" w:fill="auto"/>
            <w:noWrap/>
            <w:vAlign w:val="center"/>
          </w:tcPr>
          <w:p w14:paraId="681226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832" w:type="dxa"/>
            <w:tcBorders>
              <w:top w:val="nil"/>
              <w:left w:val="nil"/>
              <w:bottom w:val="single" w:color="auto" w:sz="4" w:space="0"/>
              <w:right w:val="single" w:color="auto" w:sz="4" w:space="0"/>
            </w:tcBorders>
            <w:shd w:val="clear" w:color="auto" w:fill="auto"/>
            <w:noWrap/>
            <w:vAlign w:val="center"/>
          </w:tcPr>
          <w:p w14:paraId="08B7A2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6E4DE0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50" w:type="dxa"/>
            <w:tcBorders>
              <w:top w:val="nil"/>
              <w:left w:val="nil"/>
              <w:bottom w:val="single" w:color="auto" w:sz="4" w:space="0"/>
              <w:right w:val="single" w:color="auto" w:sz="4" w:space="0"/>
            </w:tcBorders>
            <w:shd w:val="clear" w:color="auto" w:fill="auto"/>
            <w:noWrap/>
            <w:vAlign w:val="center"/>
          </w:tcPr>
          <w:p w14:paraId="74873B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76360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17AC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7BEA42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网络故障平均处置时间</w:t>
            </w:r>
          </w:p>
        </w:tc>
        <w:tc>
          <w:tcPr>
            <w:tcW w:w="800" w:type="dxa"/>
            <w:tcBorders>
              <w:top w:val="nil"/>
              <w:left w:val="nil"/>
              <w:bottom w:val="single" w:color="auto" w:sz="4" w:space="0"/>
              <w:right w:val="single" w:color="auto" w:sz="4" w:space="0"/>
            </w:tcBorders>
            <w:shd w:val="clear" w:color="auto" w:fill="auto"/>
            <w:noWrap/>
            <w:vAlign w:val="center"/>
          </w:tcPr>
          <w:p w14:paraId="5C2306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767" w:type="dxa"/>
            <w:tcBorders>
              <w:top w:val="nil"/>
              <w:left w:val="nil"/>
              <w:bottom w:val="single" w:color="auto" w:sz="4" w:space="0"/>
              <w:right w:val="single" w:color="auto" w:sz="4" w:space="0"/>
            </w:tcBorders>
            <w:shd w:val="clear" w:color="auto" w:fill="auto"/>
            <w:noWrap/>
            <w:vAlign w:val="center"/>
          </w:tcPr>
          <w:p w14:paraId="5F0530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696B13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4" w:type="dxa"/>
            <w:tcBorders>
              <w:top w:val="nil"/>
              <w:left w:val="nil"/>
              <w:bottom w:val="single" w:color="auto" w:sz="4" w:space="0"/>
              <w:right w:val="single" w:color="auto" w:sz="4" w:space="0"/>
            </w:tcBorders>
            <w:shd w:val="clear" w:color="auto" w:fill="auto"/>
            <w:noWrap/>
            <w:vAlign w:val="center"/>
          </w:tcPr>
          <w:p w14:paraId="317871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68" w:type="dxa"/>
            <w:tcBorders>
              <w:top w:val="nil"/>
              <w:left w:val="nil"/>
              <w:bottom w:val="single" w:color="auto" w:sz="4" w:space="0"/>
              <w:right w:val="single" w:color="auto" w:sz="4" w:space="0"/>
            </w:tcBorders>
            <w:shd w:val="clear" w:color="auto" w:fill="auto"/>
            <w:noWrap/>
            <w:vAlign w:val="center"/>
          </w:tcPr>
          <w:p w14:paraId="3AE90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32" w:type="dxa"/>
            <w:tcBorders>
              <w:top w:val="nil"/>
              <w:left w:val="nil"/>
              <w:bottom w:val="single" w:color="auto" w:sz="4" w:space="0"/>
              <w:right w:val="single" w:color="auto" w:sz="4" w:space="0"/>
            </w:tcBorders>
            <w:shd w:val="clear" w:color="auto" w:fill="auto"/>
            <w:noWrap/>
            <w:vAlign w:val="center"/>
          </w:tcPr>
          <w:p w14:paraId="0C5F4D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4A2474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50" w:type="dxa"/>
            <w:tcBorders>
              <w:top w:val="nil"/>
              <w:left w:val="nil"/>
              <w:bottom w:val="single" w:color="auto" w:sz="4" w:space="0"/>
              <w:right w:val="single" w:color="auto" w:sz="4" w:space="0"/>
            </w:tcBorders>
            <w:shd w:val="clear" w:color="auto" w:fill="auto"/>
            <w:noWrap/>
            <w:vAlign w:val="center"/>
          </w:tcPr>
          <w:p w14:paraId="3DF2EB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00503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5A8B4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35F1BE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保障江津台网正常运行天数</w:t>
            </w:r>
          </w:p>
        </w:tc>
        <w:tc>
          <w:tcPr>
            <w:tcW w:w="800" w:type="dxa"/>
            <w:tcBorders>
              <w:top w:val="nil"/>
              <w:left w:val="nil"/>
              <w:bottom w:val="single" w:color="auto" w:sz="4" w:space="0"/>
              <w:right w:val="single" w:color="auto" w:sz="4" w:space="0"/>
            </w:tcBorders>
            <w:shd w:val="clear" w:color="auto" w:fill="auto"/>
            <w:noWrap/>
            <w:vAlign w:val="center"/>
          </w:tcPr>
          <w:p w14:paraId="311913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67" w:type="dxa"/>
            <w:tcBorders>
              <w:top w:val="nil"/>
              <w:left w:val="nil"/>
              <w:bottom w:val="single" w:color="auto" w:sz="4" w:space="0"/>
              <w:right w:val="single" w:color="auto" w:sz="4" w:space="0"/>
            </w:tcBorders>
            <w:shd w:val="clear" w:color="auto" w:fill="auto"/>
            <w:noWrap/>
            <w:vAlign w:val="center"/>
          </w:tcPr>
          <w:p w14:paraId="46B77D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59FBE1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884" w:type="dxa"/>
            <w:tcBorders>
              <w:top w:val="nil"/>
              <w:left w:val="nil"/>
              <w:bottom w:val="single" w:color="auto" w:sz="4" w:space="0"/>
              <w:right w:val="single" w:color="auto" w:sz="4" w:space="0"/>
            </w:tcBorders>
            <w:shd w:val="clear" w:color="auto" w:fill="auto"/>
            <w:noWrap/>
            <w:vAlign w:val="center"/>
          </w:tcPr>
          <w:p w14:paraId="7B199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868" w:type="dxa"/>
            <w:tcBorders>
              <w:top w:val="nil"/>
              <w:left w:val="nil"/>
              <w:bottom w:val="single" w:color="auto" w:sz="4" w:space="0"/>
              <w:right w:val="single" w:color="auto" w:sz="4" w:space="0"/>
            </w:tcBorders>
            <w:shd w:val="clear" w:color="auto" w:fill="auto"/>
            <w:noWrap/>
            <w:vAlign w:val="center"/>
          </w:tcPr>
          <w:p w14:paraId="5F8F37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832" w:type="dxa"/>
            <w:tcBorders>
              <w:top w:val="nil"/>
              <w:left w:val="nil"/>
              <w:bottom w:val="single" w:color="auto" w:sz="4" w:space="0"/>
              <w:right w:val="single" w:color="auto" w:sz="4" w:space="0"/>
            </w:tcBorders>
            <w:shd w:val="clear" w:color="auto" w:fill="auto"/>
            <w:noWrap/>
            <w:vAlign w:val="center"/>
          </w:tcPr>
          <w:p w14:paraId="5B87A7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7C89EF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50" w:type="dxa"/>
            <w:tcBorders>
              <w:top w:val="nil"/>
              <w:left w:val="nil"/>
              <w:bottom w:val="single" w:color="auto" w:sz="4" w:space="0"/>
              <w:right w:val="single" w:color="auto" w:sz="4" w:space="0"/>
            </w:tcBorders>
            <w:shd w:val="clear" w:color="auto" w:fill="auto"/>
            <w:noWrap/>
            <w:vAlign w:val="center"/>
          </w:tcPr>
          <w:p w14:paraId="216D40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05C1D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4F98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424EE8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设备利用率</w:t>
            </w:r>
          </w:p>
        </w:tc>
        <w:tc>
          <w:tcPr>
            <w:tcW w:w="800" w:type="dxa"/>
            <w:tcBorders>
              <w:top w:val="nil"/>
              <w:left w:val="nil"/>
              <w:bottom w:val="single" w:color="auto" w:sz="4" w:space="0"/>
              <w:right w:val="single" w:color="auto" w:sz="4" w:space="0"/>
            </w:tcBorders>
            <w:shd w:val="clear" w:color="auto" w:fill="auto"/>
            <w:noWrap/>
            <w:vAlign w:val="center"/>
          </w:tcPr>
          <w:p w14:paraId="0CA825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7" w:type="dxa"/>
            <w:tcBorders>
              <w:top w:val="nil"/>
              <w:left w:val="nil"/>
              <w:bottom w:val="single" w:color="auto" w:sz="4" w:space="0"/>
              <w:right w:val="single" w:color="auto" w:sz="4" w:space="0"/>
            </w:tcBorders>
            <w:shd w:val="clear" w:color="auto" w:fill="auto"/>
            <w:noWrap/>
            <w:vAlign w:val="center"/>
          </w:tcPr>
          <w:p w14:paraId="1D2101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40A798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84" w:type="dxa"/>
            <w:tcBorders>
              <w:top w:val="nil"/>
              <w:left w:val="nil"/>
              <w:bottom w:val="single" w:color="auto" w:sz="4" w:space="0"/>
              <w:right w:val="single" w:color="auto" w:sz="4" w:space="0"/>
            </w:tcBorders>
            <w:shd w:val="clear" w:color="auto" w:fill="auto"/>
            <w:noWrap/>
            <w:vAlign w:val="center"/>
          </w:tcPr>
          <w:p w14:paraId="178B72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68" w:type="dxa"/>
            <w:tcBorders>
              <w:top w:val="nil"/>
              <w:left w:val="nil"/>
              <w:bottom w:val="single" w:color="auto" w:sz="4" w:space="0"/>
              <w:right w:val="single" w:color="auto" w:sz="4" w:space="0"/>
            </w:tcBorders>
            <w:shd w:val="clear" w:color="auto" w:fill="auto"/>
            <w:noWrap/>
            <w:vAlign w:val="center"/>
          </w:tcPr>
          <w:p w14:paraId="3388E0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w:t>
            </w:r>
          </w:p>
        </w:tc>
        <w:tc>
          <w:tcPr>
            <w:tcW w:w="832" w:type="dxa"/>
            <w:tcBorders>
              <w:top w:val="nil"/>
              <w:left w:val="nil"/>
              <w:bottom w:val="single" w:color="auto" w:sz="4" w:space="0"/>
              <w:right w:val="single" w:color="auto" w:sz="4" w:space="0"/>
            </w:tcBorders>
            <w:shd w:val="clear" w:color="auto" w:fill="auto"/>
            <w:noWrap/>
            <w:vAlign w:val="center"/>
          </w:tcPr>
          <w:p w14:paraId="6183DD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4B8E6C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50" w:type="dxa"/>
            <w:tcBorders>
              <w:top w:val="nil"/>
              <w:left w:val="nil"/>
              <w:bottom w:val="single" w:color="auto" w:sz="4" w:space="0"/>
              <w:right w:val="single" w:color="auto" w:sz="4" w:space="0"/>
            </w:tcBorders>
            <w:shd w:val="clear" w:color="auto" w:fill="auto"/>
            <w:noWrap/>
            <w:vAlign w:val="center"/>
          </w:tcPr>
          <w:p w14:paraId="73D53C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202C7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00F0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6E33D1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使用者满意度</w:t>
            </w:r>
          </w:p>
        </w:tc>
        <w:tc>
          <w:tcPr>
            <w:tcW w:w="800" w:type="dxa"/>
            <w:tcBorders>
              <w:top w:val="nil"/>
              <w:left w:val="nil"/>
              <w:bottom w:val="single" w:color="auto" w:sz="4" w:space="0"/>
              <w:right w:val="single" w:color="auto" w:sz="4" w:space="0"/>
            </w:tcBorders>
            <w:shd w:val="clear" w:color="auto" w:fill="auto"/>
            <w:noWrap/>
            <w:vAlign w:val="center"/>
          </w:tcPr>
          <w:p w14:paraId="3E9188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7" w:type="dxa"/>
            <w:tcBorders>
              <w:top w:val="nil"/>
              <w:left w:val="nil"/>
              <w:bottom w:val="single" w:color="auto" w:sz="4" w:space="0"/>
              <w:right w:val="single" w:color="auto" w:sz="4" w:space="0"/>
            </w:tcBorders>
            <w:shd w:val="clear" w:color="auto" w:fill="auto"/>
            <w:noWrap/>
            <w:vAlign w:val="center"/>
          </w:tcPr>
          <w:p w14:paraId="40E160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094805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84" w:type="dxa"/>
            <w:tcBorders>
              <w:top w:val="nil"/>
              <w:left w:val="nil"/>
              <w:bottom w:val="single" w:color="auto" w:sz="4" w:space="0"/>
              <w:right w:val="single" w:color="auto" w:sz="4" w:space="0"/>
            </w:tcBorders>
            <w:shd w:val="clear" w:color="auto" w:fill="auto"/>
            <w:noWrap/>
            <w:vAlign w:val="center"/>
          </w:tcPr>
          <w:p w14:paraId="1D1CC6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68" w:type="dxa"/>
            <w:tcBorders>
              <w:top w:val="nil"/>
              <w:left w:val="nil"/>
              <w:bottom w:val="single" w:color="auto" w:sz="4" w:space="0"/>
              <w:right w:val="single" w:color="auto" w:sz="4" w:space="0"/>
            </w:tcBorders>
            <w:shd w:val="clear" w:color="auto" w:fill="auto"/>
            <w:noWrap/>
            <w:vAlign w:val="center"/>
          </w:tcPr>
          <w:p w14:paraId="60FC21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832" w:type="dxa"/>
            <w:tcBorders>
              <w:top w:val="nil"/>
              <w:left w:val="nil"/>
              <w:bottom w:val="single" w:color="auto" w:sz="4" w:space="0"/>
              <w:right w:val="single" w:color="auto" w:sz="4" w:space="0"/>
            </w:tcBorders>
            <w:shd w:val="clear" w:color="auto" w:fill="auto"/>
            <w:noWrap/>
            <w:vAlign w:val="center"/>
          </w:tcPr>
          <w:p w14:paraId="65E2F4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6ADD6A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nil"/>
              <w:left w:val="nil"/>
              <w:bottom w:val="single" w:color="auto" w:sz="4" w:space="0"/>
              <w:right w:val="single" w:color="auto" w:sz="4" w:space="0"/>
            </w:tcBorders>
            <w:shd w:val="clear" w:color="auto" w:fill="auto"/>
            <w:noWrap/>
            <w:vAlign w:val="center"/>
          </w:tcPr>
          <w:p w14:paraId="0D750D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1AFC8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bl>
    <w:p w14:paraId="271541D6">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jc w:val="left"/>
        <w:textAlignment w:val="auto"/>
        <w:rPr>
          <w:rStyle w:val="10"/>
          <w:rFonts w:hint="eastAsia" w:ascii="宋体" w:hAnsi="宋体" w:eastAsia="方正仿宋_GBK" w:cs="方正仿宋_GBK"/>
          <w:b w:val="0"/>
          <w:bCs/>
          <w:vanish w:val="0"/>
          <w:sz w:val="32"/>
          <w:szCs w:val="32"/>
          <w:shd w:val="clear" w:color="auto" w:fill="auto"/>
          <w:lang w:val="en-US" w:eastAsia="zh-CN"/>
        </w:rPr>
      </w:pPr>
    </w:p>
    <w:p w14:paraId="5156B6A3">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仿宋_GBK" w:cs="方正仿宋_GBK"/>
          <w:b w:val="0"/>
          <w:bCs/>
          <w:vanish w:val="0"/>
          <w:sz w:val="32"/>
          <w:szCs w:val="32"/>
          <w:shd w:val="clear" w:color="auto" w:fill="auto"/>
        </w:rPr>
      </w:pPr>
      <w:r>
        <w:rPr>
          <w:rStyle w:val="10"/>
          <w:rFonts w:hint="eastAsia" w:ascii="宋体" w:hAnsi="宋体" w:eastAsia="方正仿宋_GBK" w:cs="方正仿宋_GBK"/>
          <w:b w:val="0"/>
          <w:bCs/>
          <w:vanish w:val="0"/>
          <w:sz w:val="32"/>
          <w:szCs w:val="32"/>
          <w:shd w:val="clear" w:color="auto" w:fill="auto"/>
          <w:lang w:val="en-US" w:eastAsia="zh-CN"/>
        </w:rPr>
        <w:t>2.</w:t>
      </w:r>
      <w:r>
        <w:rPr>
          <w:rStyle w:val="10"/>
          <w:rFonts w:hint="eastAsia" w:ascii="宋体" w:hAnsi="宋体" w:eastAsia="方正仿宋_GBK" w:cs="方正仿宋_GBK"/>
          <w:b w:val="0"/>
          <w:bCs/>
          <w:vanish w:val="0"/>
          <w:sz w:val="32"/>
          <w:szCs w:val="32"/>
          <w:shd w:val="clear" w:color="auto" w:fill="auto"/>
        </w:rPr>
        <w:t>绩效自评报告或案例</w:t>
      </w:r>
    </w:p>
    <w:p w14:paraId="182351C4">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i w:val="0"/>
          <w:iCs w:val="0"/>
          <w:caps w:val="0"/>
          <w:spacing w:val="0"/>
          <w:sz w:val="32"/>
          <w:szCs w:val="32"/>
          <w:shd w:val="clear" w:color="auto" w:fill="auto"/>
        </w:rPr>
      </w:pPr>
      <w:r>
        <w:rPr>
          <w:rFonts w:hint="eastAsia" w:ascii="宋体" w:hAnsi="宋体" w:eastAsia="方正仿宋_GBK" w:cs="方正仿宋_GBK"/>
          <w:i w:val="0"/>
          <w:iCs w:val="0"/>
          <w:caps w:val="0"/>
          <w:spacing w:val="0"/>
          <w:sz w:val="32"/>
          <w:szCs w:val="32"/>
          <w:shd w:val="clear" w:color="auto" w:fill="auto"/>
        </w:rPr>
        <w:t>本年度我</w:t>
      </w:r>
      <w:r>
        <w:rPr>
          <w:rFonts w:hint="eastAsia" w:eastAsia="方正仿宋_GBK" w:cs="方正仿宋_GBK"/>
          <w:i w:val="0"/>
          <w:iCs w:val="0"/>
          <w:caps w:val="0"/>
          <w:spacing w:val="0"/>
          <w:sz w:val="32"/>
          <w:szCs w:val="32"/>
          <w:shd w:val="clear" w:color="auto" w:fill="auto"/>
          <w:lang w:eastAsia="zh-CN"/>
        </w:rPr>
        <w:t>单位</w:t>
      </w:r>
      <w:r>
        <w:rPr>
          <w:rFonts w:hint="eastAsia" w:ascii="宋体" w:hAnsi="宋体" w:eastAsia="方正仿宋_GBK" w:cs="方正仿宋_GBK"/>
          <w:i w:val="0"/>
          <w:iCs w:val="0"/>
          <w:caps w:val="0"/>
          <w:spacing w:val="0"/>
          <w:sz w:val="32"/>
          <w:szCs w:val="32"/>
          <w:shd w:val="clear" w:color="auto" w:fill="auto"/>
        </w:rPr>
        <w:t>未委托第三方开展绩效自评</w:t>
      </w:r>
      <w:r>
        <w:rPr>
          <w:rFonts w:hint="eastAsia" w:ascii="宋体" w:hAnsi="宋体" w:eastAsia="方正仿宋_GBK" w:cs="方正仿宋_GBK"/>
          <w:i w:val="0"/>
          <w:iCs w:val="0"/>
          <w:caps w:val="0"/>
          <w:spacing w:val="0"/>
          <w:sz w:val="32"/>
          <w:szCs w:val="32"/>
          <w:shd w:val="clear" w:color="auto" w:fill="auto"/>
          <w:lang w:eastAsia="zh-CN"/>
        </w:rPr>
        <w:t>。</w:t>
      </w:r>
    </w:p>
    <w:p w14:paraId="591CA88F">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仿宋_GBK" w:cs="方正仿宋_GBK"/>
          <w:b w:val="0"/>
          <w:bCs/>
          <w:vanish w:val="0"/>
          <w:sz w:val="32"/>
          <w:szCs w:val="32"/>
          <w:shd w:val="clear" w:color="auto" w:fill="auto"/>
        </w:rPr>
      </w:pPr>
      <w:r>
        <w:rPr>
          <w:rStyle w:val="10"/>
          <w:rFonts w:hint="eastAsia" w:ascii="宋体" w:hAnsi="宋体" w:eastAsia="方正仿宋_GBK" w:cs="方正仿宋_GBK"/>
          <w:b w:val="0"/>
          <w:bCs/>
          <w:vanish w:val="0"/>
          <w:sz w:val="32"/>
          <w:szCs w:val="32"/>
          <w:shd w:val="clear" w:color="auto" w:fill="auto"/>
          <w:lang w:val="en-US" w:eastAsia="zh-CN"/>
        </w:rPr>
        <w:t>3.</w:t>
      </w:r>
      <w:r>
        <w:rPr>
          <w:rStyle w:val="10"/>
          <w:rFonts w:hint="eastAsia" w:ascii="宋体" w:hAnsi="宋体" w:eastAsia="方正仿宋_GBK" w:cs="方正仿宋_GBK"/>
          <w:b w:val="0"/>
          <w:bCs/>
          <w:vanish w:val="0"/>
          <w:sz w:val="32"/>
          <w:szCs w:val="32"/>
          <w:shd w:val="clear" w:color="auto" w:fill="auto"/>
        </w:rPr>
        <w:t>关于绩效自评结果的说明</w:t>
      </w:r>
    </w:p>
    <w:p w14:paraId="1E238CCF">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vanish w:val="0"/>
          <w:shd w:val="clear" w:color="auto" w:fill="auto"/>
        </w:rPr>
      </w:pPr>
      <w:r>
        <w:rPr>
          <w:rFonts w:hint="eastAsia" w:ascii="宋体" w:hAnsi="宋体" w:eastAsia="方正仿宋_GBK" w:cs="方正仿宋_GBK"/>
          <w:i w:val="0"/>
          <w:iCs w:val="0"/>
          <w:caps w:val="0"/>
          <w:spacing w:val="0"/>
          <w:sz w:val="32"/>
          <w:szCs w:val="32"/>
          <w:shd w:val="clear" w:color="auto" w:fill="auto"/>
        </w:rPr>
        <w:t>从评价情况来看，总体目标完成较好，立项依据充分，资金管理到位，产生的社会效益、经济效益、社会可持续影响好。</w:t>
      </w:r>
    </w:p>
    <w:p w14:paraId="102F6820">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宋体" w:hAnsi="宋体" w:eastAsia="方正楷体_GBK" w:cs="方正楷体_GBK"/>
          <w:b w:val="0"/>
          <w:bCs/>
          <w:sz w:val="32"/>
          <w:szCs w:val="32"/>
          <w:shd w:val="clear" w:color="auto" w:fill="FFFFFF"/>
        </w:rPr>
      </w:pPr>
      <w:r>
        <w:rPr>
          <w:rStyle w:val="10"/>
          <w:rFonts w:hint="eastAsia" w:ascii="宋体" w:hAnsi="宋体" w:eastAsia="方正楷体_GBK" w:cs="方正楷体_GBK"/>
          <w:b w:val="0"/>
          <w:bCs/>
          <w:sz w:val="32"/>
          <w:szCs w:val="32"/>
          <w:shd w:val="clear" w:color="auto" w:fill="FFFFFF"/>
        </w:rPr>
        <w:t>（三）重点绩效评价结果</w:t>
      </w:r>
    </w:p>
    <w:p w14:paraId="120A948C">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20" w:firstLineChars="200"/>
        <w:jc w:val="left"/>
        <w:textAlignment w:val="auto"/>
        <w:rPr>
          <w:rFonts w:ascii="宋体" w:hAnsi="宋体" w:eastAsia="方正仿宋_GBK" w:cs="方正仿宋_GBK"/>
          <w:i w:val="0"/>
          <w:iCs w:val="0"/>
          <w:caps w:val="0"/>
          <w:spacing w:val="0"/>
          <w:sz w:val="31"/>
          <w:szCs w:val="31"/>
          <w:shd w:val="clear" w:color="auto" w:fill="auto"/>
        </w:rPr>
      </w:pPr>
      <w:r>
        <w:rPr>
          <w:rFonts w:ascii="宋体" w:hAnsi="宋体" w:eastAsia="方正仿宋_GBK" w:cs="方正仿宋_GBK"/>
          <w:i w:val="0"/>
          <w:iCs w:val="0"/>
          <w:caps w:val="0"/>
          <w:spacing w:val="0"/>
          <w:sz w:val="31"/>
          <w:szCs w:val="31"/>
          <w:shd w:val="clear" w:color="auto" w:fill="auto"/>
        </w:rPr>
        <w:t>本年度</w:t>
      </w:r>
      <w:r>
        <w:rPr>
          <w:rFonts w:hint="eastAsia" w:ascii="宋体" w:hAnsi="宋体" w:eastAsia="方正仿宋_GBK" w:cs="方正仿宋_GBK"/>
          <w:i w:val="0"/>
          <w:iCs w:val="0"/>
          <w:caps w:val="0"/>
          <w:spacing w:val="0"/>
          <w:sz w:val="31"/>
          <w:szCs w:val="31"/>
          <w:shd w:val="clear" w:color="auto" w:fill="auto"/>
          <w:lang w:eastAsia="zh-CN"/>
        </w:rPr>
        <w:t>本</w:t>
      </w:r>
      <w:r>
        <w:rPr>
          <w:rFonts w:hint="eastAsia" w:eastAsia="方正仿宋_GBK" w:cs="方正仿宋_GBK"/>
          <w:i w:val="0"/>
          <w:iCs w:val="0"/>
          <w:caps w:val="0"/>
          <w:spacing w:val="0"/>
          <w:sz w:val="31"/>
          <w:szCs w:val="31"/>
          <w:shd w:val="clear" w:color="auto" w:fill="auto"/>
          <w:lang w:eastAsia="zh-CN"/>
        </w:rPr>
        <w:t>单位</w:t>
      </w:r>
      <w:r>
        <w:rPr>
          <w:rFonts w:ascii="宋体" w:hAnsi="宋体" w:eastAsia="方正仿宋_GBK" w:cs="方正仿宋_GBK"/>
          <w:i w:val="0"/>
          <w:iCs w:val="0"/>
          <w:caps w:val="0"/>
          <w:spacing w:val="0"/>
          <w:sz w:val="31"/>
          <w:szCs w:val="31"/>
          <w:shd w:val="clear" w:color="auto" w:fill="auto"/>
        </w:rPr>
        <w:t>无重点绩效评价项目。</w:t>
      </w:r>
    </w:p>
    <w:p w14:paraId="3D96BD02">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3" w:firstLineChars="200"/>
        <w:textAlignment w:val="auto"/>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宋体" w:hAnsi="宋体" w:eastAsia="方正仿宋_GBK" w:cs="方正仿宋_GBK"/>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lang w:val="en-US" w:eastAsia="zh-CN"/>
        </w:rPr>
        <w:t>六、专业名词解释</w:t>
      </w:r>
    </w:p>
    <w:p w14:paraId="6C57A626">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sz w:val="32"/>
          <w:szCs w:val="32"/>
        </w:rPr>
      </w:pPr>
      <w:r>
        <w:rPr>
          <w:rFonts w:hint="eastAsia" w:ascii="宋体" w:hAnsi="宋体" w:eastAsia="楷体" w:cs="楷体"/>
          <w:b w:val="0"/>
          <w:bCs w:val="0"/>
          <w:kern w:val="0"/>
          <w:sz w:val="32"/>
          <w:szCs w:val="32"/>
          <w:shd w:val="clear" w:color="auto" w:fill="FFFFFF"/>
          <w:lang w:val="en-US" w:eastAsia="zh-CN" w:bidi="ar"/>
        </w:rPr>
        <w:t>（一）财政拨款收入：</w:t>
      </w:r>
      <w:r>
        <w:rPr>
          <w:rFonts w:hint="eastAsia" w:ascii="宋体" w:hAnsi="宋体" w:eastAsia="方正仿宋_GBK" w:cs="方正仿宋_GBK"/>
          <w:b w:val="0"/>
          <w:bCs w:val="0"/>
          <w:sz w:val="32"/>
          <w:szCs w:val="32"/>
          <w:shd w:val="clear" w:color="auto" w:fill="FFFFFF"/>
        </w:rPr>
        <w:t>指本年度从本级财政部门取得的财政拨款，包括一般公共预算财政拨款和政府性基金预算财政拨款。</w:t>
      </w:r>
    </w:p>
    <w:p w14:paraId="7633480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sz w:val="32"/>
          <w:szCs w:val="32"/>
        </w:rPr>
      </w:pPr>
      <w:r>
        <w:rPr>
          <w:rStyle w:val="10"/>
          <w:rFonts w:hint="eastAsia" w:ascii="宋体" w:hAnsi="宋体" w:eastAsia="楷体" w:cs="楷体"/>
          <w:b w:val="0"/>
          <w:bCs w:val="0"/>
          <w:sz w:val="32"/>
          <w:szCs w:val="32"/>
          <w:shd w:val="clear" w:color="auto" w:fill="FFFFFF"/>
        </w:rPr>
        <w:t>（</w:t>
      </w:r>
      <w:r>
        <w:rPr>
          <w:rStyle w:val="10"/>
          <w:rFonts w:hint="eastAsia" w:ascii="宋体" w:hAnsi="宋体" w:eastAsia="楷体" w:cs="楷体"/>
          <w:b w:val="0"/>
          <w:bCs w:val="0"/>
          <w:sz w:val="32"/>
          <w:szCs w:val="32"/>
          <w:shd w:val="clear" w:color="auto" w:fill="FFFFFF"/>
          <w:lang w:eastAsia="zh-CN"/>
        </w:rPr>
        <w:t>二</w:t>
      </w:r>
      <w:r>
        <w:rPr>
          <w:rStyle w:val="10"/>
          <w:rFonts w:hint="eastAsia" w:ascii="宋体" w:hAnsi="宋体" w:eastAsia="楷体" w:cs="楷体"/>
          <w:b w:val="0"/>
          <w:bCs w:val="0"/>
          <w:sz w:val="32"/>
          <w:szCs w:val="32"/>
          <w:shd w:val="clear" w:color="auto" w:fill="FFFFFF"/>
        </w:rPr>
        <w:t>）基本支出</w:t>
      </w:r>
      <w:r>
        <w:rPr>
          <w:rFonts w:hint="eastAsia" w:ascii="宋体" w:hAnsi="宋体" w:eastAsia="楷体" w:cs="楷体"/>
          <w:b w:val="0"/>
          <w:bCs w:val="0"/>
          <w:sz w:val="32"/>
          <w:szCs w:val="32"/>
          <w:shd w:val="clear" w:color="auto" w:fill="FFFFFF"/>
        </w:rPr>
        <w:t>：</w:t>
      </w:r>
      <w:r>
        <w:rPr>
          <w:rFonts w:hint="eastAsia" w:ascii="宋体" w:hAnsi="宋体"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73F52C0">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sz w:val="32"/>
          <w:szCs w:val="32"/>
        </w:rPr>
      </w:pPr>
      <w:r>
        <w:rPr>
          <w:rStyle w:val="10"/>
          <w:rFonts w:hint="eastAsia" w:ascii="宋体" w:hAnsi="宋体" w:eastAsia="楷体" w:cs="楷体"/>
          <w:b w:val="0"/>
          <w:bCs w:val="0"/>
          <w:sz w:val="32"/>
          <w:szCs w:val="32"/>
          <w:shd w:val="clear" w:color="auto" w:fill="FFFFFF"/>
        </w:rPr>
        <w:t>（</w:t>
      </w:r>
      <w:r>
        <w:rPr>
          <w:rStyle w:val="10"/>
          <w:rFonts w:hint="eastAsia" w:ascii="宋体" w:hAnsi="宋体" w:eastAsia="楷体" w:cs="楷体"/>
          <w:b w:val="0"/>
          <w:bCs w:val="0"/>
          <w:sz w:val="32"/>
          <w:szCs w:val="32"/>
          <w:shd w:val="clear" w:color="auto" w:fill="FFFFFF"/>
          <w:lang w:eastAsia="zh-CN"/>
        </w:rPr>
        <w:t>三</w:t>
      </w:r>
      <w:r>
        <w:rPr>
          <w:rStyle w:val="10"/>
          <w:rFonts w:hint="eastAsia" w:ascii="宋体" w:hAnsi="宋体" w:eastAsia="楷体" w:cs="楷体"/>
          <w:b w:val="0"/>
          <w:bCs w:val="0"/>
          <w:sz w:val="32"/>
          <w:szCs w:val="32"/>
          <w:shd w:val="clear" w:color="auto" w:fill="FFFFFF"/>
        </w:rPr>
        <w:t>）项目支出</w:t>
      </w:r>
      <w:r>
        <w:rPr>
          <w:rFonts w:hint="eastAsia" w:ascii="宋体" w:hAnsi="宋体" w:eastAsia="楷体" w:cs="楷体"/>
          <w:b w:val="0"/>
          <w:bCs w:val="0"/>
          <w:sz w:val="32"/>
          <w:szCs w:val="32"/>
          <w:shd w:val="clear" w:color="auto" w:fill="FFFFFF"/>
        </w:rPr>
        <w:t>：</w:t>
      </w:r>
      <w:r>
        <w:rPr>
          <w:rFonts w:hint="eastAsia" w:ascii="宋体" w:hAnsi="宋体" w:eastAsia="方正仿宋_GBK" w:cs="方正仿宋_GBK"/>
          <w:b w:val="0"/>
          <w:bCs w:val="0"/>
          <w:sz w:val="32"/>
          <w:szCs w:val="32"/>
          <w:shd w:val="clear" w:color="auto" w:fill="FFFFFF"/>
        </w:rPr>
        <w:t>指在基本支出之外为完成特定行政任务和事业发展目标所发生的支出。</w:t>
      </w:r>
    </w:p>
    <w:p w14:paraId="3594DF2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Style w:val="10"/>
          <w:rFonts w:hint="eastAsia" w:ascii="宋体" w:hAnsi="宋体" w:eastAsia="楷体" w:cs="楷体"/>
          <w:b w:val="0"/>
          <w:bCs w:val="0"/>
          <w:sz w:val="32"/>
          <w:szCs w:val="32"/>
          <w:shd w:val="clear" w:color="auto" w:fill="FFFFFF"/>
        </w:rPr>
        <w:t>（</w:t>
      </w:r>
      <w:r>
        <w:rPr>
          <w:rStyle w:val="10"/>
          <w:rFonts w:hint="eastAsia" w:eastAsia="楷体" w:cs="楷体"/>
          <w:b w:val="0"/>
          <w:bCs w:val="0"/>
          <w:sz w:val="32"/>
          <w:szCs w:val="32"/>
          <w:shd w:val="clear" w:color="auto" w:fill="FFFFFF"/>
          <w:lang w:eastAsia="zh-CN"/>
        </w:rPr>
        <w:t>四</w:t>
      </w:r>
      <w:r>
        <w:rPr>
          <w:rStyle w:val="10"/>
          <w:rFonts w:hint="eastAsia" w:ascii="宋体" w:hAnsi="宋体" w:eastAsia="楷体" w:cs="楷体"/>
          <w:b w:val="0"/>
          <w:bCs w:val="0"/>
          <w:sz w:val="32"/>
          <w:szCs w:val="32"/>
          <w:shd w:val="clear" w:color="auto" w:fill="FFFFFF"/>
        </w:rPr>
        <w:t>）工资福利支出（支出经济分类科目类级）</w:t>
      </w:r>
      <w:r>
        <w:rPr>
          <w:rFonts w:hint="eastAsia" w:ascii="宋体" w:hAnsi="宋体" w:eastAsia="楷体" w:cs="楷体"/>
          <w:b w:val="0"/>
          <w:bCs w:val="0"/>
          <w:sz w:val="32"/>
          <w:szCs w:val="32"/>
          <w:shd w:val="clear" w:color="auto" w:fill="FFFFFF"/>
        </w:rPr>
        <w:t>：</w:t>
      </w:r>
      <w:r>
        <w:rPr>
          <w:rFonts w:hint="eastAsia" w:ascii="宋体" w:hAnsi="宋体" w:eastAsia="方正仿宋_GBK" w:cs="方正仿宋_GBK"/>
          <w:b w:val="0"/>
          <w:bCs w:val="0"/>
          <w:sz w:val="32"/>
          <w:szCs w:val="32"/>
          <w:shd w:val="clear" w:color="auto" w:fill="FFFFFF"/>
        </w:rPr>
        <w:t>反映</w:t>
      </w:r>
      <w:r>
        <w:rPr>
          <w:rFonts w:hint="eastAsia" w:ascii="宋体" w:hAnsi="宋体" w:eastAsia="方正仿宋_GBK" w:cs="方正仿宋_GBK"/>
          <w:sz w:val="32"/>
          <w:szCs w:val="32"/>
          <w:shd w:val="clear" w:color="auto" w:fill="FFFFFF"/>
        </w:rPr>
        <w:t>单位开支的在职职工和编制外长期聘用人员的各类劳动报酬，以及为上述人员缴纳的各项社会保险费等。</w:t>
      </w:r>
    </w:p>
    <w:p w14:paraId="6F6089FF">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textAlignment w:val="auto"/>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宋体" w:hAnsi="宋体" w:eastAsia="方正仿宋_GBK" w:cs="方正仿宋_GBK"/>
          <w:sz w:val="32"/>
          <w:szCs w:val="32"/>
          <w:shd w:val="clear" w:color="auto" w:fill="FFFFFF"/>
          <w:lang w:val="en-US" w:eastAsia="zh-CN"/>
        </w:rPr>
        <w:t> </w:t>
      </w:r>
      <w:r>
        <w:rPr>
          <w:rStyle w:val="10"/>
          <w:rFonts w:hint="eastAsia" w:ascii="方正黑体_GBK" w:hAnsi="方正黑体_GBK" w:eastAsia="方正黑体_GBK" w:cs="方正黑体_GBK"/>
          <w:b w:val="0"/>
          <w:bCs/>
          <w:sz w:val="32"/>
          <w:szCs w:val="32"/>
          <w:shd w:val="clear" w:color="auto" w:fill="FFFFFF"/>
          <w:lang w:val="en-US" w:eastAsia="zh-CN"/>
        </w:rPr>
        <w:t xml:space="preserve"> 七、决算公开联系方式及信息反馈渠道</w:t>
      </w:r>
    </w:p>
    <w:p w14:paraId="2E4CD082">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0" w:firstLineChars="200"/>
        <w:textAlignment w:val="auto"/>
        <w:rPr>
          <w:rFonts w:hint="eastAsia" w:ascii="宋体" w:hAnsi="宋体" w:eastAsia="方正仿宋_GBK" w:cs="方正仿宋_GBK"/>
          <w:sz w:val="32"/>
          <w:szCs w:val="32"/>
          <w:shd w:val="clear" w:color="auto" w:fill="FFFFFF"/>
        </w:rPr>
      </w:pPr>
      <w:r>
        <w:rPr>
          <w:rFonts w:hint="eastAsia" w:ascii="宋体" w:hAnsi="宋体" w:eastAsia="方正仿宋_GBK" w:cs="方正仿宋_GBK"/>
          <w:sz w:val="32"/>
          <w:szCs w:val="32"/>
          <w:shd w:val="clear" w:color="auto" w:fill="FFFFFF"/>
        </w:rPr>
        <w:t>本单位决算公开信息反馈和联系方式：</w:t>
      </w:r>
    </w:p>
    <w:p w14:paraId="07585959">
      <w:pPr>
        <w:pStyle w:val="11"/>
        <w:keepNext w:val="0"/>
        <w:keepLines w:val="0"/>
        <w:pageBreakBefore w:val="0"/>
        <w:kinsoku/>
        <w:wordWrap/>
        <w:overflowPunct/>
        <w:topLinePunct w:val="0"/>
        <w:autoSpaceDE w:val="0"/>
        <w:autoSpaceDN/>
        <w:bidi w:val="0"/>
        <w:adjustRightInd/>
        <w:spacing w:beforeAutospacing="0" w:afterAutospacing="0" w:line="579" w:lineRule="exact"/>
        <w:textAlignment w:val="auto"/>
        <w:rPr>
          <w:rStyle w:val="10"/>
          <w:rFonts w:hint="default" w:ascii="宋体" w:hAnsi="宋体" w:eastAsia="方正仿宋_GBK" w:cs="方正仿宋_GBK"/>
          <w:sz w:val="32"/>
          <w:szCs w:val="32"/>
          <w:shd w:val="clear" w:color="auto" w:fill="FFFF00"/>
          <w:lang w:val="en-US" w:eastAsia="zh-CN"/>
        </w:rPr>
      </w:pPr>
      <w:r>
        <w:rPr>
          <w:rFonts w:hint="eastAsia" w:eastAsia="方正仿宋_GBK" w:cs="方正仿宋_GBK"/>
          <w:sz w:val="32"/>
          <w:szCs w:val="32"/>
          <w:shd w:val="clear" w:color="auto" w:fill="FFFFFF"/>
          <w:lang w:val="en-US" w:eastAsia="zh-CN"/>
        </w:rPr>
        <w:t>联系人：董 莉      联系电话：</w:t>
      </w:r>
      <w:r>
        <w:rPr>
          <w:rFonts w:hint="eastAsia" w:ascii="宋体" w:hAnsi="宋体" w:eastAsia="方正仿宋_GBK" w:cs="方正仿宋_GBK"/>
          <w:sz w:val="32"/>
          <w:szCs w:val="32"/>
          <w:shd w:val="clear" w:color="auto" w:fill="FFFFFF"/>
          <w:lang w:val="en-US" w:eastAsia="zh-CN"/>
        </w:rPr>
        <w:t>023-47569101</w:t>
      </w:r>
    </w:p>
    <w:p w14:paraId="53E911C3">
      <w:pPr>
        <w:pStyle w:val="11"/>
        <w:keepNext w:val="0"/>
        <w:keepLines w:val="0"/>
        <w:pageBreakBefore w:val="0"/>
        <w:kinsoku/>
        <w:wordWrap/>
        <w:overflowPunct/>
        <w:topLinePunct w:val="0"/>
        <w:autoSpaceDE w:val="0"/>
        <w:autoSpaceDN/>
        <w:bidi w:val="0"/>
        <w:adjustRightInd/>
        <w:spacing w:beforeAutospacing="0" w:afterAutospacing="0" w:line="579" w:lineRule="exact"/>
        <w:ind w:firstLine="0" w:firstLineChars="0"/>
        <w:textAlignment w:val="auto"/>
        <w:rPr>
          <w:rStyle w:val="10"/>
          <w:rFonts w:ascii="宋体" w:hAnsi="宋体" w:eastAsia="方正仿宋_GBK" w:cs="方正仿宋_GBK"/>
          <w:sz w:val="32"/>
          <w:szCs w:val="32"/>
          <w:shd w:val="clear" w:color="auto" w:fill="FFFF00"/>
        </w:rPr>
      </w:pPr>
    </w:p>
    <w:p w14:paraId="281D4D51">
      <w:pPr>
        <w:pStyle w:val="11"/>
        <w:keepNext w:val="0"/>
        <w:keepLines w:val="0"/>
        <w:pageBreakBefore w:val="0"/>
        <w:kinsoku/>
        <w:wordWrap/>
        <w:overflowPunct/>
        <w:topLinePunct w:val="0"/>
        <w:autoSpaceDE w:val="0"/>
        <w:autoSpaceDN/>
        <w:bidi w:val="0"/>
        <w:adjustRightInd/>
        <w:spacing w:beforeAutospacing="0" w:afterAutospacing="0" w:line="579" w:lineRule="exact"/>
        <w:ind w:firstLine="0" w:firstLineChars="0"/>
        <w:textAlignment w:val="auto"/>
        <w:rPr>
          <w:rStyle w:val="10"/>
          <w:rFonts w:ascii="宋体" w:hAnsi="宋体" w:eastAsia="方正仿宋_GBK" w:cs="方正仿宋_GBK"/>
          <w:sz w:val="32"/>
          <w:szCs w:val="32"/>
          <w:shd w:val="clear" w:color="auto" w:fill="FFFF00"/>
        </w:rPr>
      </w:pPr>
    </w:p>
    <w:p w14:paraId="3FAFDED9">
      <w:pPr>
        <w:pStyle w:val="11"/>
        <w:keepNext w:val="0"/>
        <w:keepLines w:val="0"/>
        <w:pageBreakBefore w:val="0"/>
        <w:kinsoku/>
        <w:wordWrap/>
        <w:overflowPunct/>
        <w:topLinePunct w:val="0"/>
        <w:autoSpaceDE w:val="0"/>
        <w:autoSpaceDN/>
        <w:bidi w:val="0"/>
        <w:adjustRightInd/>
        <w:spacing w:beforeAutospacing="0" w:afterAutospacing="0" w:line="579" w:lineRule="exact"/>
        <w:ind w:firstLine="0" w:firstLineChars="0"/>
        <w:textAlignment w:val="auto"/>
        <w:rPr>
          <w:rStyle w:val="10"/>
          <w:rFonts w:hint="eastAsia" w:ascii="宋体" w:hAnsi="宋体" w:eastAsia="方正仿宋_GBK" w:cs="方正仿宋_GBK"/>
          <w:sz w:val="32"/>
          <w:szCs w:val="32"/>
          <w:shd w:val="clear" w:color="auto" w:fill="FFFF00"/>
        </w:rPr>
        <w:sectPr>
          <w:footerReference r:id="rId3" w:type="default"/>
          <w:pgSz w:w="11915" w:h="16840"/>
          <w:pgMar w:top="2098" w:right="1474" w:bottom="1984" w:left="1587" w:header="851" w:footer="1474" w:gutter="0"/>
          <w:pgNumType w:fmt="numberInDash"/>
          <w:cols w:space="0" w:num="1"/>
          <w:rtlGutter w:val="0"/>
          <w:docGrid w:type="lines" w:linePitch="312" w:charSpace="0"/>
        </w:sectPr>
      </w:pPr>
    </w:p>
    <w:p w14:paraId="51ADFC09">
      <w:pPr>
        <w:rPr>
          <w:rFonts w:hint="eastAsia" w:ascii="宋体" w:hAnsi="宋体" w:eastAsia="宋体" w:cs="宋体"/>
          <w:sz w:val="21"/>
          <w:szCs w:val="21"/>
        </w:rPr>
      </w:pPr>
    </w:p>
    <w:tbl>
      <w:tblPr>
        <w:tblStyle w:val="7"/>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53B682F6">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3F5E058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29DC904B">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0CE900B1">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19F33E50">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7B57FCB4">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75E514B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69C1A2C6">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4C695480">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重庆市江津区防震减灾中心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20CCE36D">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9F86360">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5BB2DB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2DF6998">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544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DAE8D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2423AA1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B97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8AC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1A31E9">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34D2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81B52C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CE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3531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B52C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6B74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72E871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536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68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2229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8837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B00EA3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783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3E8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AB0A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626F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9B99E4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E69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818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2329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154D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4E86BE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5AA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697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9AB1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015F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0.36</w:t>
            </w:r>
            <w:r>
              <w:rPr>
                <w:rFonts w:hint="eastAsia" w:cs="宋体"/>
                <w:b w:val="0"/>
                <w:bCs w:val="0"/>
                <w:color w:val="000000"/>
                <w:sz w:val="21"/>
                <w:szCs w:val="21"/>
                <w:lang w:val="en-US" w:eastAsia="zh-CN" w:bidi="ar"/>
              </w:rPr>
              <w:t xml:space="preserve"> </w:t>
            </w:r>
          </w:p>
        </w:tc>
      </w:tr>
      <w:tr w14:paraId="62605E0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B9D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CA8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E95A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7B0B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61.43</w:t>
            </w:r>
            <w:r>
              <w:rPr>
                <w:rFonts w:hint="eastAsia" w:cs="宋体"/>
                <w:b w:val="0"/>
                <w:bCs w:val="0"/>
                <w:color w:val="000000"/>
                <w:sz w:val="21"/>
                <w:szCs w:val="21"/>
                <w:lang w:val="en-US" w:eastAsia="zh-CN" w:bidi="ar"/>
              </w:rPr>
              <w:t xml:space="preserve"> </w:t>
            </w:r>
          </w:p>
        </w:tc>
      </w:tr>
      <w:tr w14:paraId="3B381B6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FB3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FA1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B17F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508A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FAEA6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03F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107623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B553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9D8C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5.79</w:t>
            </w:r>
            <w:r>
              <w:rPr>
                <w:rFonts w:hint="eastAsia" w:cs="宋体"/>
                <w:b w:val="0"/>
                <w:bCs w:val="0"/>
                <w:color w:val="000000"/>
                <w:sz w:val="21"/>
                <w:szCs w:val="21"/>
                <w:lang w:val="en-US" w:eastAsia="zh-CN" w:bidi="ar"/>
              </w:rPr>
              <w:t xml:space="preserve"> </w:t>
            </w:r>
          </w:p>
        </w:tc>
      </w:tr>
      <w:tr w14:paraId="7105423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A53A1">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E5B88A">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A769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2CBE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3.34</w:t>
            </w:r>
            <w:r>
              <w:rPr>
                <w:rFonts w:hint="eastAsia" w:cs="宋体"/>
                <w:b w:val="0"/>
                <w:bCs w:val="0"/>
                <w:color w:val="000000"/>
                <w:sz w:val="21"/>
                <w:szCs w:val="21"/>
                <w:lang w:val="en-US" w:eastAsia="zh-CN" w:bidi="ar"/>
              </w:rPr>
              <w:t xml:space="preserve"> </w:t>
            </w:r>
          </w:p>
        </w:tc>
      </w:tr>
      <w:tr w14:paraId="7848F6F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0005F">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3167AD">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53CE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D77D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B59527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7301C">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62AF3">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1524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0AB3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0BE262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DBE6A">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2A1452">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1B14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1B5B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66C8DF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B21A3">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3FC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3C3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ED47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B374E3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5631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6BBB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E5C8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3D75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E25A16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A7EE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1CD1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4ED3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5138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4E9D12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8E29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1DA4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31C2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21E0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45659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FB6C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B717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6612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CF35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1BC9D3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86DE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8CD1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AAF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D0EE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C7120D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0A06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FD5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5388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E31C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2.90</w:t>
            </w:r>
            <w:r>
              <w:rPr>
                <w:rFonts w:hint="eastAsia" w:cs="宋体"/>
                <w:b w:val="0"/>
                <w:bCs w:val="0"/>
                <w:color w:val="000000"/>
                <w:sz w:val="21"/>
                <w:szCs w:val="21"/>
                <w:lang w:val="en-US" w:eastAsia="zh-CN" w:bidi="ar"/>
              </w:rPr>
              <w:t xml:space="preserve"> </w:t>
            </w:r>
          </w:p>
        </w:tc>
      </w:tr>
      <w:tr w14:paraId="4707EAF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0BB2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706C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7DE6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25C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1EA05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87AE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9E57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AA4B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2CF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F7A7A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501E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03E4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925B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5154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r>
      <w:tr w14:paraId="5D12E37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7E80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ECF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7F8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B55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22736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80909">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EBA2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7C6A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7B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CCCF2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99BF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F4D5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462C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0E8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9119C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3985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E6B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5F05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292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2571C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E0A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EF4C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E9CD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D1618">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r>
      <w:tr w14:paraId="343B649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6AD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F64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EDBC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A95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99E7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AC3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2B2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FF79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4BFED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D67880">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3BD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1A4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C4533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924E8">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r>
    </w:tbl>
    <w:p w14:paraId="6CD4F09C">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B8B19C8">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5103ABB">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5FFBD4ED">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7D6593E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127B1EFC">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73925FBB">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重庆市江津区防震减灾中心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05D46C86">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9947823">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E5FECAC">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5ED3B80">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53AC986">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704D682">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23149E3">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62B3662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471A31EB">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4D55D647">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6180649F">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0925EE30">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53E9DB9">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058193D">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3F2F83A">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EA51CFB">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7D91286">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A3ACC5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D4C938A">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9BCE2BD">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17B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5B2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19E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FB7175">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E18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ED5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22E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32823C18">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A2D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DE6E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8D63F">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4F0B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4DCE9">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8EE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A9B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C267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0DC95">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480B0">
            <w:pPr>
              <w:jc w:val="center"/>
              <w:rPr>
                <w:rFonts w:hint="eastAsia" w:ascii="宋体" w:hAnsi="宋体" w:eastAsia="宋体" w:cs="宋体"/>
                <w:b/>
                <w:i w:val="0"/>
                <w:color w:val="000000"/>
                <w:sz w:val="22"/>
                <w:szCs w:val="22"/>
                <w:u w:val="none"/>
              </w:rPr>
            </w:pPr>
          </w:p>
        </w:tc>
      </w:tr>
      <w:tr w14:paraId="529284DD">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A9881">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625CC9">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01D6A">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CF04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B201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4331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3C04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7763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C942C">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D6B39">
            <w:pPr>
              <w:jc w:val="center"/>
              <w:rPr>
                <w:rFonts w:hint="eastAsia" w:ascii="宋体" w:hAnsi="宋体" w:eastAsia="宋体" w:cs="宋体"/>
                <w:b/>
                <w:i w:val="0"/>
                <w:color w:val="000000"/>
                <w:sz w:val="22"/>
                <w:szCs w:val="22"/>
                <w:u w:val="none"/>
              </w:rPr>
            </w:pPr>
          </w:p>
        </w:tc>
      </w:tr>
      <w:tr w14:paraId="1B07D5A8">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055FA">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2CB787D">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852F4">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715F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C894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C981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CDBE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B70E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F2DF3">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A5700">
            <w:pPr>
              <w:jc w:val="center"/>
              <w:rPr>
                <w:rFonts w:hint="eastAsia" w:ascii="宋体" w:hAnsi="宋体" w:eastAsia="宋体" w:cs="宋体"/>
                <w:b/>
                <w:i w:val="0"/>
                <w:color w:val="000000"/>
                <w:sz w:val="22"/>
                <w:szCs w:val="22"/>
                <w:u w:val="none"/>
              </w:rPr>
            </w:pPr>
          </w:p>
        </w:tc>
      </w:tr>
      <w:tr w14:paraId="45AD981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0EE5F">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6792AF">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004BC">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FC5F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F1FD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ACEA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9ACF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63C7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4C4D3">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5FB07">
            <w:pPr>
              <w:jc w:val="center"/>
              <w:rPr>
                <w:rFonts w:hint="eastAsia" w:ascii="宋体" w:hAnsi="宋体" w:eastAsia="宋体" w:cs="宋体"/>
                <w:b/>
                <w:i w:val="0"/>
                <w:color w:val="000000"/>
                <w:sz w:val="22"/>
                <w:szCs w:val="22"/>
                <w:u w:val="none"/>
              </w:rPr>
            </w:pPr>
          </w:p>
        </w:tc>
      </w:tr>
      <w:tr w14:paraId="7380E80E">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008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166B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106.07</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BA03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106.07</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4FFD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A749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B2C9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56A7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423A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374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291A3F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80E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AC1F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040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15F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E2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6A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16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20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22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DD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F251E5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FB8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8AB2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759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6D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14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99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E9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23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3B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05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7992E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91A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D0D0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419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70C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94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EE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74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5B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6F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97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9F24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816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8D07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E4C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61.43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DA0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61.43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36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15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42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CF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79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13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F179C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C7C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0B37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基础研究</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B4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61.43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B4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61.43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19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CE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B5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D4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9E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7F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3633C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C52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5DC4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机构运行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18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61.43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05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61.43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72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7C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0D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66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6F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0F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75C27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E71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C4AC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7B2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C6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2F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96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54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F4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D6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E0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95F3E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371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11E5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7D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494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B6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26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66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B5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47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33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9F372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8FCF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1352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9AA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091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FE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68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A9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D3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89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9D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31844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42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A74A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DC1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3C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D5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1D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7B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47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1D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10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F3E67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D99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3065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DB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151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14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CE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39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E7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1E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F7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92FD33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7C8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9CDD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6EA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7D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F4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D0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E2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A2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16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3D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500B7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23A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3D6C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B41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24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04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47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5C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A4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15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99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38E98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446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F3F0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D3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1CA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B5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66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F6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5D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CD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D1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6C3C8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3C1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D535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0F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1F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3C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06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57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7A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1A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32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F56F3B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50C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CFA9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7B9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B6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F5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F9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17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18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F2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C4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E139C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188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B3AA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002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22A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18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51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A9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B8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C6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39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9E48D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73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6C5A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25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320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D7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3F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A3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A1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D3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FB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935DA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81E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F05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地震事务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40D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23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15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27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D4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0D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54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66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1445E7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822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9919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地震监测</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CE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ABB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79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26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8D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F5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5F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EC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5DB59FA">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5BB7B6C1">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9AE71C0">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4B148F07">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18423AD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1A5161B3">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3ABB0A04">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重庆市江津区防震减灾中心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3C5F60CA">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FC0CF5E">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359D061">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A667A57">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207919E">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F91967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175D0DF5">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00FCD405">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444D471">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879BFE9">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04FB12B">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8FCB0C7">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CA751EA">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4AF4B4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6389936">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8F85B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5FA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705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5EC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C5F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838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32B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354808BD">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88B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8B58A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B825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3B5D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30AF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D16B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D4A9F">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75456">
            <w:pPr>
              <w:jc w:val="center"/>
              <w:rPr>
                <w:rFonts w:hint="eastAsia" w:ascii="宋体" w:hAnsi="宋体" w:eastAsia="宋体" w:cs="宋体"/>
                <w:b/>
                <w:i w:val="0"/>
                <w:color w:val="000000"/>
                <w:sz w:val="22"/>
                <w:szCs w:val="22"/>
                <w:u w:val="none"/>
              </w:rPr>
            </w:pPr>
          </w:p>
        </w:tc>
      </w:tr>
      <w:tr w14:paraId="11680885">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E4DB1">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2E72CF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00F1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3FBC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4BC0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A920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65BB9">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AD74B">
            <w:pPr>
              <w:jc w:val="center"/>
              <w:rPr>
                <w:rFonts w:hint="eastAsia" w:ascii="宋体" w:hAnsi="宋体" w:eastAsia="宋体" w:cs="宋体"/>
                <w:b/>
                <w:i w:val="0"/>
                <w:color w:val="000000"/>
                <w:sz w:val="22"/>
                <w:szCs w:val="22"/>
                <w:u w:val="none"/>
              </w:rPr>
            </w:pPr>
          </w:p>
        </w:tc>
      </w:tr>
      <w:tr w14:paraId="14D44D79">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413EF">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8C8966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54AD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2758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DF29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332E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D539C">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3A5D1">
            <w:pPr>
              <w:jc w:val="center"/>
              <w:rPr>
                <w:rFonts w:hint="eastAsia" w:ascii="宋体" w:hAnsi="宋体" w:eastAsia="宋体" w:cs="宋体"/>
                <w:b/>
                <w:i w:val="0"/>
                <w:color w:val="000000"/>
                <w:sz w:val="22"/>
                <w:szCs w:val="22"/>
                <w:u w:val="none"/>
              </w:rPr>
            </w:pPr>
          </w:p>
        </w:tc>
      </w:tr>
      <w:tr w14:paraId="6DD97D43">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14C43">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AEA45A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5A10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0315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E026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0934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E4DDE">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DCE06">
            <w:pPr>
              <w:jc w:val="center"/>
              <w:rPr>
                <w:rFonts w:hint="eastAsia" w:ascii="宋体" w:hAnsi="宋体" w:eastAsia="宋体" w:cs="宋体"/>
                <w:b/>
                <w:i w:val="0"/>
                <w:color w:val="000000"/>
                <w:sz w:val="22"/>
                <w:szCs w:val="22"/>
                <w:u w:val="none"/>
              </w:rPr>
            </w:pPr>
          </w:p>
        </w:tc>
      </w:tr>
      <w:tr w14:paraId="1140CE67">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595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0283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106.07</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822E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73.82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BC92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32.25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097C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D73D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2E59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8DB6C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63D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E27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3A5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CA2C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28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D4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03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9F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613B2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9D9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0B4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2A2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0DC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D2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80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76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B3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936AE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0C5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F1A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A23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412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D2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A4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25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77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56483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57B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B7C0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CFA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61.43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6F1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61.43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4D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8B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DE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94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33C039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5BF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BC83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基础研究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42E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61.43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E3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61.43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6A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5D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07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CD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A0BF1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5C6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9D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机构运行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34A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61.43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F3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61.43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84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36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0D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06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17433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DF9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2894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3A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9AE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E4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71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5F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F3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CACE76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586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42A7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43B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04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2E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34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81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D5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BE91F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539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1F82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FE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3F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5B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D7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B0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84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B5F0D0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CC1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D2C3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AC0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A2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8D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DB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3C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C7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9D8D4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B9B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EB1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D6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4B3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8A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C3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E5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1B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CB4783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865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2378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6FB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AC7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0C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81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A6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17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FC53E0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3F3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ACC8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F64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A0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4E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74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A4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B2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5DA1E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BC1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14CF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ED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F55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AB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4E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75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01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82D13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563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C101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07F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F9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5E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AD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4B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96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78B15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FE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8204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CA7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A0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41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6F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95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A0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21DB9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7E0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87A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E9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68C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EC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8E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A0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41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948B1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443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5433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83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9F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CA5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E3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DF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83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D3C93E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990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ECEC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地震事务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63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D0F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AFA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6A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94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D8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66415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55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1CDF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地震监测</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48F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69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3DA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15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1A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F0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7F5AD057">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A7FD09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FDDDA82">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71514E9B">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5331B00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53F5E217">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5B9EEFA0">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重庆市江津区防震减灾中心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60ECD65E">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0AECCED">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C0B08F7">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73E3AB7">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1F1965E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6B698C9C">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5E44B3C5">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63FAB5F5">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8322F1A">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AE4BF75">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2E005F4">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758414B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7C88F6B">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54C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D8F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416EE410">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143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9DD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F46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3EA5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2917E2D">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6AD68">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C8183">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DE90E9">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561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0C8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FE3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32C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4F69618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614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EFD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5C0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D2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83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46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73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10AF9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A2B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3B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99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DA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A5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DD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BD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DE572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CEC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41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08F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BA6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95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66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7E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C115F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F9BA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8651F4">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CA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E0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16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32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1A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638E8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19BD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E1C4D">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9FA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02C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64A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33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31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22926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5721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EDBA95">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4D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C42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61.43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17F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61.43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AC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C4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6DD2B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85F8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BA2681">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937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B0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8B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4C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58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1D684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3274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F1DF60">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86E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98D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803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43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1F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F11785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8747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8E27CE">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90F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D14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E66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E8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CA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63FB7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B986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4DE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150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9F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1E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D5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91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BF302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DF88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CA0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08B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C4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E7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47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33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336BD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8EAF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25D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98D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42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3A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0E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49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16AD0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4010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705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05E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F2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05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42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1C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B25A8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D497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3BE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C96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7C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3E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09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B6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2B17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EF4B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FA9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DD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77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AB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79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AE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56D76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707F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3E1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E7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6F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F9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9A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D63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162D1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30D4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647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D10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38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29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28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99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78976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7342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5FD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F6A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B8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77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6D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62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38E9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E8F3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EAF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099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6F1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7E7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D4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48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FFFC8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3210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131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C0A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48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5B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42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A62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B7AD7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ECDD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95E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569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22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A6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17B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6B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3582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753D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BFF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958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4B2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83D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63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27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C249D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3EA7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068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8D5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53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54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60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66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ADC89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93FC17">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A477">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516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E9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5C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AA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DA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47E9F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CD983A">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CDD9">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C85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BB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AB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495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C2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955BA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65173A">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DAD3">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895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07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BB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89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76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99F35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EDD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BAA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3FA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5B6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9FC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AD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99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20CE8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AB8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54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978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FE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80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2D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5F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A8D32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B95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4E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DCC4A3">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1859FD">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0DB34">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8C682A">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F6916E">
            <w:pPr>
              <w:rPr>
                <w:rFonts w:hint="default" w:ascii="Arial" w:hAnsi="Arial" w:eastAsia="宋体" w:cs="Arial"/>
                <w:i w:val="0"/>
                <w:color w:val="000000"/>
                <w:sz w:val="20"/>
                <w:szCs w:val="20"/>
                <w:u w:val="none"/>
              </w:rPr>
            </w:pPr>
          </w:p>
        </w:tc>
      </w:tr>
      <w:tr w14:paraId="7EBB75F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076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5F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75114">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2BC2">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E102">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4735">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6B30">
            <w:pPr>
              <w:jc w:val="right"/>
              <w:rPr>
                <w:rFonts w:hint="eastAsia" w:ascii="宋体" w:hAnsi="宋体" w:eastAsia="宋体" w:cs="宋体"/>
                <w:i w:val="0"/>
                <w:color w:val="000000"/>
                <w:sz w:val="22"/>
                <w:szCs w:val="22"/>
                <w:u w:val="none"/>
              </w:rPr>
            </w:pPr>
          </w:p>
        </w:tc>
      </w:tr>
      <w:tr w14:paraId="2FF979A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1BD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D6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76F2B">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0340">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00F8">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1774">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E751">
            <w:pPr>
              <w:jc w:val="right"/>
              <w:rPr>
                <w:rFonts w:hint="eastAsia" w:ascii="宋体" w:hAnsi="宋体" w:eastAsia="宋体" w:cs="宋体"/>
                <w:i w:val="0"/>
                <w:color w:val="000000"/>
                <w:sz w:val="22"/>
                <w:szCs w:val="22"/>
                <w:u w:val="none"/>
              </w:rPr>
            </w:pPr>
          </w:p>
        </w:tc>
      </w:tr>
      <w:tr w14:paraId="60F3D71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83A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EDD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9DD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93A5">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C3DD">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106.07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9698">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80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6848C9D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E946CEF">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173364AA">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7D14398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106ACB28">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722FD07E">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重庆市江津区防震减灾中心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3CAD2582">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595BA535">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5751B4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3DA02FE2">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1FEFCB21">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026DB22">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2E314C0">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5162349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44A464D">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E82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476F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033E680E">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5A1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5B37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520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747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8E5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653C0CE">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28BCD">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5969A">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C18215">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54FA35">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5DDE7">
            <w:pPr>
              <w:jc w:val="center"/>
              <w:rPr>
                <w:rFonts w:hint="eastAsia" w:ascii="宋体" w:hAnsi="宋体" w:eastAsia="宋体" w:cs="宋体"/>
                <w:b/>
                <w:i w:val="0"/>
                <w:color w:val="000000"/>
                <w:sz w:val="22"/>
                <w:szCs w:val="22"/>
                <w:u w:val="none"/>
              </w:rPr>
            </w:pPr>
          </w:p>
        </w:tc>
      </w:tr>
      <w:tr w14:paraId="4EF70F42">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941D8">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7EEFA">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AA79B">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824C08">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5EB2D3">
            <w:pPr>
              <w:jc w:val="center"/>
              <w:rPr>
                <w:rFonts w:hint="eastAsia" w:ascii="宋体" w:hAnsi="宋体" w:eastAsia="宋体" w:cs="宋体"/>
                <w:b/>
                <w:i w:val="0"/>
                <w:color w:val="000000"/>
                <w:sz w:val="22"/>
                <w:szCs w:val="22"/>
                <w:u w:val="none"/>
              </w:rPr>
            </w:pPr>
          </w:p>
        </w:tc>
      </w:tr>
      <w:tr w14:paraId="7949DC1A">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FF4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4607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106.07</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6168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73.82</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75B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32.25</w:t>
            </w:r>
            <w:r>
              <w:rPr>
                <w:rFonts w:hint="eastAsia" w:cs="宋体"/>
                <w:b/>
                <w:bCs/>
                <w:color w:val="000000"/>
                <w:sz w:val="21"/>
                <w:szCs w:val="21"/>
                <w:lang w:val="en-US" w:eastAsia="zh-CN" w:bidi="ar"/>
              </w:rPr>
              <w:t xml:space="preserve"> </w:t>
            </w:r>
          </w:p>
        </w:tc>
      </w:tr>
      <w:tr w14:paraId="28BAD17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F1A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D07A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B18A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0.36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0979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0.36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B88A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1D38C1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AFC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9907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BF5A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0.36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EBB9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0.36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1322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75E4AA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D69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FC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D96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0.36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A248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0.36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1BCA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29224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383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58EB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7106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61.43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E742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61.43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B832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1F0104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24A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82A1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基础研究</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6354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61.43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79C4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61.43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A8D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3DD625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ECB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FB2C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机构运行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BC26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61.43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3E5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61.43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6A4C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437D5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F31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BB0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9227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9CAA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4CE4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205A68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9FA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8C49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E845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E45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538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60B6C0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61E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424D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23B8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1257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B8CE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E65064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CBE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C20A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A135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11F8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0A93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F1DB0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898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D150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4A3B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6390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90A0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01986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2A5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2408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F557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32A2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5A47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F91CBD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7AF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5C78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DA26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6DB5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8BA6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F326D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6C2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8444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C380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789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0CDE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10F52C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F2C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894B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E389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DB7E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8772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B40A93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6E3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9BBA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E5B8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A80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CF79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DB12EE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56A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DFF8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BDC3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2.90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D1E9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2.90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EE6E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2A03E3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61D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DFEA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2407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B349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23E0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r>
      <w:tr w14:paraId="5A9850C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84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552E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地震事务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8FCD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6E37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4A7F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r>
      <w:tr w14:paraId="7C68093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2AE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DD8C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地震监测</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3736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32.25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0B3B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D7BF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32.25</w:t>
            </w:r>
            <w:r>
              <w:rPr>
                <w:rFonts w:hint="eastAsia" w:cs="宋体"/>
                <w:b w:val="0"/>
                <w:bCs w:val="0"/>
                <w:color w:val="000000"/>
                <w:sz w:val="21"/>
                <w:szCs w:val="21"/>
                <w:lang w:val="en-US" w:eastAsia="zh-CN" w:bidi="ar"/>
              </w:rPr>
              <w:t xml:space="preserve"> </w:t>
            </w:r>
          </w:p>
        </w:tc>
      </w:tr>
    </w:tbl>
    <w:p w14:paraId="4369936F">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ACD19AB">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6A8F92BD">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5E25B70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7206DB0F">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57169164">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重庆市江津区防震减灾中心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100C1B2F">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4661A28A">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0ADA351D">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35012581">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65434F48">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1B02A145">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1CFD5A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6B649340">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37F88C00">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3BE646C7">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1B07C313">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65BE27CE">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737AFA06">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974DE74">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DB00CCF">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9A2E00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C4F7A75">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6CF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59407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0472B53D">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763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44D7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1FE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876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BBBB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8277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A5B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1600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4E25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19FA12DE">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1CC47">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D169F2">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475EEF">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8766A">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2A0E9">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AE350">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3A6C8">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023C0">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4777D">
            <w:pPr>
              <w:jc w:val="center"/>
              <w:rPr>
                <w:rFonts w:hint="eastAsia" w:ascii="宋体" w:hAnsi="宋体" w:eastAsia="宋体" w:cs="宋体"/>
                <w:b/>
                <w:i w:val="0"/>
                <w:color w:val="000000"/>
                <w:sz w:val="22"/>
                <w:szCs w:val="22"/>
                <w:u w:val="none"/>
              </w:rPr>
            </w:pPr>
          </w:p>
        </w:tc>
      </w:tr>
      <w:tr w14:paraId="77338D0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1A4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6F8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4BB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60.56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AE7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342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39A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12.36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314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40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44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35055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2ED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211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82A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13.90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E2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04C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A39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40E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04D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9B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0C913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12E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F6E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231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D99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8A5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77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E33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4D5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96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E7EF3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044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62D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3C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AFA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1F8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95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A45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88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D5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3E0D6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2EA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32B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0FE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E5A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F06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D1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73D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0F5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E0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2E636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993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492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FB5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A9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DA6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A6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48F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DB0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43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0C4700">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F45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D7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4A1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9DE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FFC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50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730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98B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C3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AE5CB4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8F2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039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0DF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69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9F2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59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032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234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7B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B88441">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F3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B1D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AD8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292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340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FC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85B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2E7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A0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CC925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20C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54C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18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0E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830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C6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19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AE4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C4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796865">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200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920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D5A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DFC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79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5B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68D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7B9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0E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FBF91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1FE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78D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E32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3D3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366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3B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03D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AA1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9B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D4359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012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AF0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486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A8D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8A9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79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D3D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B36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80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4D06E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F9B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7B0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AA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B0F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599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9E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D5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186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DC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74FEC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31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F78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DF3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434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EB4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F5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F93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B41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A3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A6E92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C79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7F7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33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B36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E54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BA8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C2E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B54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AB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ECF2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0CF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7D5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1E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E0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52F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3F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B58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28B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B8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DA26D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F68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BFD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4C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8F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4F5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4E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E7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E8D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4E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D56AB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ED3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C7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01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C3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508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31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287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F1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76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A3D16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000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125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532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B9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764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F1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DF7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109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8D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0FB8D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A11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43B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E2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BB2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836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831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192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744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DD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D6BA9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DF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80A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2E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E10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671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94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914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B9F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95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DCCFD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C35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DF0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F7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904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0A2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A86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D96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680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CA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E5629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7F1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71B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B1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22F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E6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C8A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0BC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1C4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66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78A8A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9C2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443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DE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DA0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7C5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A3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4E1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408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C3A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55800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398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12E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093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E8E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FDF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BC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75B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26C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57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EEFD7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894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291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4A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A6B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1C3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E4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942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09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DCB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B1031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CB98F">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8A48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4380E3">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E8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DE4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8CD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16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E3B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E54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91F54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3F43B">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B3788">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6591B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FB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416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7FB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6B6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553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DDE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C877A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3BD09">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BB670">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603A7A">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FC1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904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FCE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2B707">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89986">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EFA9">
            <w:pPr>
              <w:jc w:val="right"/>
              <w:rPr>
                <w:rFonts w:hint="eastAsia" w:ascii="宋体" w:hAnsi="宋体" w:eastAsia="宋体" w:cs="宋体"/>
                <w:i w:val="0"/>
                <w:color w:val="000000"/>
                <w:sz w:val="22"/>
                <w:szCs w:val="22"/>
                <w:u w:val="none"/>
              </w:rPr>
            </w:pPr>
          </w:p>
        </w:tc>
      </w:tr>
      <w:tr w14:paraId="5324FE4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9740E">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20899">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1C0BE5">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D79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9FB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ED4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E1B72">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79466">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D640">
            <w:pPr>
              <w:jc w:val="right"/>
              <w:rPr>
                <w:rFonts w:hint="eastAsia" w:ascii="宋体" w:hAnsi="宋体" w:eastAsia="宋体" w:cs="宋体"/>
                <w:i w:val="0"/>
                <w:color w:val="000000"/>
                <w:sz w:val="22"/>
                <w:szCs w:val="22"/>
                <w:u w:val="none"/>
              </w:rPr>
            </w:pPr>
          </w:p>
        </w:tc>
      </w:tr>
      <w:tr w14:paraId="3093547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22C0F">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30946">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73F76">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E40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BB0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2E8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D6B4A">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91FE0">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E68D">
            <w:pPr>
              <w:jc w:val="right"/>
              <w:rPr>
                <w:rFonts w:hint="eastAsia" w:ascii="宋体" w:hAnsi="宋体" w:eastAsia="宋体" w:cs="宋体"/>
                <w:i w:val="0"/>
                <w:color w:val="000000"/>
                <w:sz w:val="22"/>
                <w:szCs w:val="22"/>
                <w:u w:val="none"/>
              </w:rPr>
            </w:pPr>
          </w:p>
        </w:tc>
      </w:tr>
      <w:tr w14:paraId="2B6C777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3C9AA">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83822">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66FFB">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2F5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86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20E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EA106">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5B2ED">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5505">
            <w:pPr>
              <w:jc w:val="right"/>
              <w:rPr>
                <w:rFonts w:hint="eastAsia" w:ascii="宋体" w:hAnsi="宋体" w:eastAsia="宋体" w:cs="宋体"/>
                <w:i w:val="0"/>
                <w:color w:val="000000"/>
                <w:sz w:val="22"/>
                <w:szCs w:val="22"/>
                <w:u w:val="none"/>
              </w:rPr>
            </w:pPr>
          </w:p>
        </w:tc>
      </w:tr>
      <w:tr w14:paraId="497AD137">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66D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E46EB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61.46</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17FE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8B1D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12.36</w:t>
            </w:r>
            <w:r>
              <w:rPr>
                <w:rFonts w:hint="eastAsia" w:cs="宋体"/>
                <w:color w:val="000000"/>
                <w:sz w:val="21"/>
                <w:szCs w:val="21"/>
                <w:lang w:val="en-US" w:eastAsia="zh-CN" w:bidi="ar"/>
              </w:rPr>
              <w:t xml:space="preserve"> </w:t>
            </w:r>
          </w:p>
        </w:tc>
      </w:tr>
    </w:tbl>
    <w:p w14:paraId="266330E3">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D2A29DD">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354750E1">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07DED65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4425B5C0">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148341DF">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重庆市江津区防震减灾中心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7ACA22D3">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D279BFE">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A283D41">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6B48E4D">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3A12FA55">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4B9F957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3D058797">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73F4D12F">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F29EF49">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277197F">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2EA30CB">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5A30C7D">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55AE1DF4">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E0CEF4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A8D1687">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32C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B1DC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AA9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A655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E06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7F905266">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77F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9FF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449C7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3DC12">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E78B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431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D692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D6E24">
            <w:pPr>
              <w:jc w:val="center"/>
              <w:rPr>
                <w:rFonts w:hint="eastAsia" w:ascii="宋体" w:hAnsi="宋体" w:eastAsia="宋体" w:cs="宋体"/>
                <w:b/>
                <w:i w:val="0"/>
                <w:color w:val="000000"/>
                <w:sz w:val="22"/>
                <w:szCs w:val="22"/>
                <w:u w:val="none"/>
              </w:rPr>
            </w:pPr>
          </w:p>
        </w:tc>
      </w:tr>
      <w:tr w14:paraId="74D53656">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AFF8C">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2ECB7">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0E926E">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C747F">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45C5A0">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8334FC">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9B7AA">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13145">
            <w:pPr>
              <w:jc w:val="center"/>
              <w:rPr>
                <w:rFonts w:hint="eastAsia" w:ascii="宋体" w:hAnsi="宋体" w:eastAsia="宋体" w:cs="宋体"/>
                <w:b/>
                <w:i w:val="0"/>
                <w:color w:val="000000"/>
                <w:sz w:val="22"/>
                <w:szCs w:val="22"/>
                <w:u w:val="none"/>
              </w:rPr>
            </w:pPr>
          </w:p>
        </w:tc>
      </w:tr>
      <w:tr w14:paraId="3ED0AFC0">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1D57C">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F813E">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0AF67E">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D3323">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CD2CC">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307C62">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0062F">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4C475">
            <w:pPr>
              <w:jc w:val="center"/>
              <w:rPr>
                <w:rFonts w:hint="eastAsia" w:ascii="宋体" w:hAnsi="宋体" w:eastAsia="宋体" w:cs="宋体"/>
                <w:b/>
                <w:i w:val="0"/>
                <w:color w:val="000000"/>
                <w:sz w:val="22"/>
                <w:szCs w:val="22"/>
                <w:u w:val="none"/>
              </w:rPr>
            </w:pPr>
          </w:p>
        </w:tc>
      </w:tr>
      <w:tr w14:paraId="2CD2BF5A">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21E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E10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E53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CDA2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A28E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BCDC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013D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4E6777E8">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409EFC2">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355B8371">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418506B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0E6CD33F">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49B64BC6">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重庆市江津区防震减灾中心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7189C53E">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262A886E">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70C8AD6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12CE797E">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08FB570E">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0F070DEC">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ECE0383">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5AF42B2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E06B475">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C89054">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5D7503">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6B26DA0">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748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94DA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270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CCFA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8E17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70FF8E5">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7B136">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C35541">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5C64E">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38B2D">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317732">
            <w:pPr>
              <w:jc w:val="center"/>
              <w:rPr>
                <w:rFonts w:hint="eastAsia" w:ascii="宋体" w:hAnsi="宋体" w:eastAsia="宋体" w:cs="宋体"/>
                <w:b/>
                <w:i w:val="0"/>
                <w:color w:val="000000"/>
                <w:sz w:val="22"/>
                <w:szCs w:val="22"/>
                <w:u w:val="none"/>
              </w:rPr>
            </w:pPr>
          </w:p>
        </w:tc>
      </w:tr>
      <w:tr w14:paraId="10CF74E9">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ED780">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2563CD">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E8BDE">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A4241A">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F2F370">
            <w:pPr>
              <w:jc w:val="center"/>
              <w:rPr>
                <w:rFonts w:hint="eastAsia" w:ascii="宋体" w:hAnsi="宋体" w:eastAsia="宋体" w:cs="宋体"/>
                <w:b/>
                <w:i w:val="0"/>
                <w:color w:val="000000"/>
                <w:sz w:val="22"/>
                <w:szCs w:val="22"/>
                <w:u w:val="none"/>
              </w:rPr>
            </w:pPr>
          </w:p>
        </w:tc>
      </w:tr>
      <w:tr w14:paraId="5E7DD389">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774D1">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C92CBA">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2308E">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F6AF8">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1C8933">
            <w:pPr>
              <w:jc w:val="center"/>
              <w:rPr>
                <w:rFonts w:hint="eastAsia" w:ascii="宋体" w:hAnsi="宋体" w:eastAsia="宋体" w:cs="宋体"/>
                <w:b/>
                <w:i w:val="0"/>
                <w:color w:val="000000"/>
                <w:sz w:val="22"/>
                <w:szCs w:val="22"/>
                <w:u w:val="none"/>
              </w:rPr>
            </w:pPr>
          </w:p>
        </w:tc>
      </w:tr>
      <w:tr w14:paraId="7C35C1D0">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67C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6950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89C6D">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2743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72F5292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1E953F0">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78ACF918">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1F9722C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4B7A6CEE">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193D1B3">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011F706D">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56C5970">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11FE9817">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67FB33E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363976AB">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6A2DED19">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重庆市江津区防震减灾中心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2C9F97A1">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3CED3A7">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2D9AE0A">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819478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AA8B313">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7DAEB7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2E8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029BA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56A11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4F084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8EE317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573A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9AD6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F3C4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EC5F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AE8A2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EBA544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9851F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73BDFD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43B975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C549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9FF59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B44EC9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B138E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3C30FB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F7C840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B003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C02EE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31F0DC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FFD86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8572AE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DB6D88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0CF5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0C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48398A4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7FA30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3BB897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C433D6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EBA38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F6EEA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87250B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5BC98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14C713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6F0339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B0082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F5698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C50D8E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FBDB3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7FF54A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792E09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675D0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A701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47D74D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DC5D3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A50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8FE54A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E611A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825D6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3820DE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0A976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556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AB2FD3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C1309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6B3EB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ECEEB6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56E43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309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54D7A6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2FAE5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48634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BA5969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1B047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F10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CC3E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8BB51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5E023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3A92A9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8F8C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09F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CD7E71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2E6ED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49BD6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682418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398F9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A0A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815AF9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AC27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1AED5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B42702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7A40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3B9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710DA0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BA27A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369F4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0C0117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10E47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87E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87EEF6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D073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E0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6C35665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399F2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6F1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6A0FD3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E153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7819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54970D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DBA5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232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58B326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D4FD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C9CC5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0EF3C1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13266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4DD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9A847F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B809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6AF27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38DF32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299E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EBD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922743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4EF0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B760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A3A41F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D898E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D0B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1DE59E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492D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9C835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8EEE56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D8520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3F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66BC9C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F15B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60642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18A4F9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3FBE3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3DD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674642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74F769">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77BD8">
            <w:pPr>
              <w:jc w:val="right"/>
              <w:rPr>
                <w:rFonts w:hint="default" w:ascii="Arial" w:hAnsi="Arial" w:eastAsia="宋体" w:cs="Arial"/>
                <w:i w:val="0"/>
                <w:color w:val="000000"/>
                <w:sz w:val="20"/>
                <w:szCs w:val="20"/>
                <w:u w:val="none"/>
              </w:rPr>
            </w:pPr>
          </w:p>
        </w:tc>
      </w:tr>
      <w:tr w14:paraId="6962223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14F71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327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6159D99">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1669EB">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BDA90">
            <w:pPr>
              <w:jc w:val="right"/>
              <w:rPr>
                <w:rFonts w:hint="default" w:ascii="Arial" w:hAnsi="Arial" w:eastAsia="宋体" w:cs="Arial"/>
                <w:i w:val="0"/>
                <w:color w:val="000000"/>
                <w:sz w:val="20"/>
                <w:szCs w:val="20"/>
                <w:u w:val="none"/>
              </w:rPr>
            </w:pPr>
          </w:p>
        </w:tc>
      </w:tr>
    </w:tbl>
    <w:p w14:paraId="377E826A">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4E06158">
      <w:pPr>
        <w:rPr>
          <w:rFonts w:hint="eastAsia" w:ascii="宋体" w:hAnsi="宋体" w:eastAsia="宋体" w:cs="宋体"/>
          <w:color w:val="000000"/>
          <w:sz w:val="21"/>
          <w:szCs w:val="21"/>
          <w:lang w:bidi="ar"/>
        </w:rPr>
      </w:pPr>
    </w:p>
    <w:p w14:paraId="2F63A571">
      <w:pPr>
        <w:rPr>
          <w:rFonts w:hint="eastAsia" w:ascii="宋体" w:hAnsi="宋体" w:eastAsia="宋体" w:cs="宋体"/>
          <w:color w:val="000000"/>
          <w:sz w:val="21"/>
          <w:szCs w:val="21"/>
          <w:lang w:bidi="ar"/>
        </w:rPr>
      </w:pPr>
    </w:p>
    <w:p w14:paraId="45664E1C">
      <w:pPr>
        <w:rPr>
          <w:rFonts w:hint="eastAsia" w:ascii="宋体" w:hAnsi="宋体" w:eastAsia="宋体" w:cs="宋体"/>
          <w:color w:val="000000"/>
          <w:sz w:val="21"/>
          <w:szCs w:val="21"/>
          <w:lang w:bidi="ar"/>
        </w:rPr>
      </w:pPr>
    </w:p>
    <w:p w14:paraId="4940AAF3">
      <w:pPr>
        <w:rPr>
          <w:rFonts w:hint="eastAsia" w:ascii="宋体" w:hAnsi="宋体" w:eastAsia="宋体" w:cs="宋体"/>
          <w:color w:val="000000"/>
          <w:sz w:val="21"/>
          <w:szCs w:val="21"/>
          <w:lang w:bidi="ar"/>
        </w:rPr>
      </w:pPr>
    </w:p>
    <w:p w14:paraId="50D01AB9">
      <w:pPr>
        <w:rPr>
          <w:rFonts w:hint="eastAsia" w:ascii="宋体" w:hAnsi="宋体" w:eastAsia="宋体" w:cs="宋体"/>
          <w:color w:val="000000"/>
          <w:sz w:val="21"/>
          <w:szCs w:val="21"/>
          <w:lang w:bidi="ar"/>
        </w:rPr>
      </w:pPr>
    </w:p>
    <w:p w14:paraId="6A44B891">
      <w:pPr>
        <w:rPr>
          <w:rFonts w:hint="eastAsia" w:ascii="宋体" w:hAnsi="宋体" w:eastAsia="宋体" w:cs="宋体"/>
          <w:color w:val="000000"/>
          <w:sz w:val="21"/>
          <w:szCs w:val="21"/>
          <w:lang w:bidi="ar"/>
        </w:rPr>
      </w:pPr>
    </w:p>
    <w:p w14:paraId="05B9E492">
      <w:pPr>
        <w:rPr>
          <w:rFonts w:hint="eastAsia" w:ascii="宋体" w:hAnsi="宋体" w:eastAsia="宋体" w:cs="宋体"/>
          <w:color w:val="000000"/>
          <w:sz w:val="21"/>
          <w:szCs w:val="21"/>
          <w:lang w:bidi="ar"/>
        </w:rPr>
      </w:pPr>
    </w:p>
    <w:p w14:paraId="5B9288CC">
      <w:pPr>
        <w:rPr>
          <w:rFonts w:hint="eastAsia" w:ascii="宋体" w:hAnsi="宋体" w:eastAsia="宋体" w:cs="宋体"/>
          <w:color w:val="000000"/>
          <w:sz w:val="21"/>
          <w:szCs w:val="21"/>
          <w:lang w:bidi="ar"/>
        </w:rPr>
      </w:pPr>
    </w:p>
    <w:p w14:paraId="1D1A70E7">
      <w:pPr>
        <w:rPr>
          <w:rFonts w:hint="eastAsia" w:ascii="宋体" w:hAnsi="宋体" w:eastAsia="宋体" w:cs="宋体"/>
          <w:color w:val="000000"/>
          <w:sz w:val="21"/>
          <w:szCs w:val="21"/>
          <w:lang w:bidi="ar"/>
        </w:rPr>
      </w:pPr>
    </w:p>
    <w:p w14:paraId="129DA0CF">
      <w:pPr>
        <w:pStyle w:val="11"/>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52FB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8F595">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58F595">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4BEA7">
    <w:pPr>
      <w:pStyle w:val="3"/>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934A4">
                          <w:pPr>
                            <w:pStyle w:val="3"/>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4934A4">
                    <w:pPr>
                      <w:pStyle w:val="3"/>
                    </w:pPr>
                    <w:r>
                      <w:fldChar w:fldCharType="begin"/>
                    </w:r>
                    <w:r>
                      <w:instrText xml:space="preserve"> PAGE  \* MERGEFORMAT </w:instrText>
                    </w:r>
                    <w:r>
                      <w:fldChar w:fldCharType="separate"/>
                    </w:r>
                    <w:r>
                      <w:t>- 10 -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3EDC49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3EDC49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BC1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D46DD"/>
    <w:multiLevelType w:val="singleLevel"/>
    <w:tmpl w:val="C3DD46D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WJkMTFmOTUwMGY3OTI2YWNlNjFhM2I2YmI3Y2QifQ=="/>
  </w:docVars>
  <w:rsids>
    <w:rsidRoot w:val="00B03CCD"/>
    <w:rsid w:val="00550ABE"/>
    <w:rsid w:val="007B419D"/>
    <w:rsid w:val="009B67B8"/>
    <w:rsid w:val="00B03CCD"/>
    <w:rsid w:val="00DB20F7"/>
    <w:rsid w:val="00F73F90"/>
    <w:rsid w:val="01474EBF"/>
    <w:rsid w:val="01F3521E"/>
    <w:rsid w:val="03B87EA0"/>
    <w:rsid w:val="03E3214F"/>
    <w:rsid w:val="044C50BA"/>
    <w:rsid w:val="05BC6D49"/>
    <w:rsid w:val="06194FF1"/>
    <w:rsid w:val="06A2550B"/>
    <w:rsid w:val="06F80EE2"/>
    <w:rsid w:val="07001CCA"/>
    <w:rsid w:val="075678DB"/>
    <w:rsid w:val="079C3C62"/>
    <w:rsid w:val="079D7CC7"/>
    <w:rsid w:val="08051BCA"/>
    <w:rsid w:val="086C12F4"/>
    <w:rsid w:val="08705944"/>
    <w:rsid w:val="08BA052C"/>
    <w:rsid w:val="08DB07BA"/>
    <w:rsid w:val="0969353F"/>
    <w:rsid w:val="098305D0"/>
    <w:rsid w:val="09C6146A"/>
    <w:rsid w:val="0A3317EA"/>
    <w:rsid w:val="0A5C4B69"/>
    <w:rsid w:val="0A86124A"/>
    <w:rsid w:val="0AB54CC0"/>
    <w:rsid w:val="0B9335CE"/>
    <w:rsid w:val="0BF2311A"/>
    <w:rsid w:val="0C7927C4"/>
    <w:rsid w:val="0C9B098C"/>
    <w:rsid w:val="0D673E11"/>
    <w:rsid w:val="0DC21F49"/>
    <w:rsid w:val="0DDA54E4"/>
    <w:rsid w:val="0E3A5F83"/>
    <w:rsid w:val="0F836721"/>
    <w:rsid w:val="0FA25D96"/>
    <w:rsid w:val="107B59E5"/>
    <w:rsid w:val="10EC0126"/>
    <w:rsid w:val="10F70B9A"/>
    <w:rsid w:val="111445C7"/>
    <w:rsid w:val="111F7DDE"/>
    <w:rsid w:val="114278C6"/>
    <w:rsid w:val="1158083A"/>
    <w:rsid w:val="11643A4B"/>
    <w:rsid w:val="11ED0F98"/>
    <w:rsid w:val="11F03528"/>
    <w:rsid w:val="12C921C4"/>
    <w:rsid w:val="13871C70"/>
    <w:rsid w:val="13A71CB4"/>
    <w:rsid w:val="13AF1D43"/>
    <w:rsid w:val="13CE1647"/>
    <w:rsid w:val="13FD55AB"/>
    <w:rsid w:val="14200702"/>
    <w:rsid w:val="14C842E9"/>
    <w:rsid w:val="15A05265"/>
    <w:rsid w:val="163A6CEE"/>
    <w:rsid w:val="173708E3"/>
    <w:rsid w:val="17C374FC"/>
    <w:rsid w:val="182E4AB6"/>
    <w:rsid w:val="189079DC"/>
    <w:rsid w:val="189B0D0B"/>
    <w:rsid w:val="18B43F7C"/>
    <w:rsid w:val="194A1770"/>
    <w:rsid w:val="19722A75"/>
    <w:rsid w:val="19B906A4"/>
    <w:rsid w:val="1A444411"/>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2F346E"/>
    <w:rsid w:val="20642787"/>
    <w:rsid w:val="21556F04"/>
    <w:rsid w:val="22403BD3"/>
    <w:rsid w:val="24B92327"/>
    <w:rsid w:val="24C14514"/>
    <w:rsid w:val="2533755C"/>
    <w:rsid w:val="25791755"/>
    <w:rsid w:val="25965D3D"/>
    <w:rsid w:val="26396DF4"/>
    <w:rsid w:val="263B7010"/>
    <w:rsid w:val="27167136"/>
    <w:rsid w:val="27B23302"/>
    <w:rsid w:val="29310A5F"/>
    <w:rsid w:val="29C37A35"/>
    <w:rsid w:val="2A076083"/>
    <w:rsid w:val="2A73162E"/>
    <w:rsid w:val="2B167953"/>
    <w:rsid w:val="2B200583"/>
    <w:rsid w:val="2B8209DE"/>
    <w:rsid w:val="2C1C15C5"/>
    <w:rsid w:val="2C636760"/>
    <w:rsid w:val="2C6762A3"/>
    <w:rsid w:val="2EF266DA"/>
    <w:rsid w:val="2FCA4B37"/>
    <w:rsid w:val="2FE029D7"/>
    <w:rsid w:val="2FF06E00"/>
    <w:rsid w:val="30586FEC"/>
    <w:rsid w:val="315F0B22"/>
    <w:rsid w:val="31D84415"/>
    <w:rsid w:val="32285F6F"/>
    <w:rsid w:val="32770556"/>
    <w:rsid w:val="329C0913"/>
    <w:rsid w:val="32AA0460"/>
    <w:rsid w:val="3337290D"/>
    <w:rsid w:val="33E31118"/>
    <w:rsid w:val="33EF7674"/>
    <w:rsid w:val="3411315F"/>
    <w:rsid w:val="342D7BC6"/>
    <w:rsid w:val="34945B3E"/>
    <w:rsid w:val="352930DB"/>
    <w:rsid w:val="355669BD"/>
    <w:rsid w:val="35573069"/>
    <w:rsid w:val="355F6038"/>
    <w:rsid w:val="358C217E"/>
    <w:rsid w:val="36C9128A"/>
    <w:rsid w:val="37841E99"/>
    <w:rsid w:val="37BF1123"/>
    <w:rsid w:val="383C3F15"/>
    <w:rsid w:val="38493B59"/>
    <w:rsid w:val="38BE4696"/>
    <w:rsid w:val="3939115E"/>
    <w:rsid w:val="39B82A39"/>
    <w:rsid w:val="39C42CA8"/>
    <w:rsid w:val="39DC4FD6"/>
    <w:rsid w:val="39F03D7A"/>
    <w:rsid w:val="39F33306"/>
    <w:rsid w:val="3A2C1C67"/>
    <w:rsid w:val="3ADD7F09"/>
    <w:rsid w:val="3B1705E5"/>
    <w:rsid w:val="3B18334B"/>
    <w:rsid w:val="3B36794F"/>
    <w:rsid w:val="3B497682"/>
    <w:rsid w:val="3B6F6EE0"/>
    <w:rsid w:val="3C566AD6"/>
    <w:rsid w:val="3C594871"/>
    <w:rsid w:val="3C6A5B02"/>
    <w:rsid w:val="3C700C3E"/>
    <w:rsid w:val="3CFD6976"/>
    <w:rsid w:val="3D2757A1"/>
    <w:rsid w:val="3D3D4FC4"/>
    <w:rsid w:val="3DDF3AB1"/>
    <w:rsid w:val="3E1D0952"/>
    <w:rsid w:val="3E42660A"/>
    <w:rsid w:val="3E7555B1"/>
    <w:rsid w:val="3E787ED9"/>
    <w:rsid w:val="3EC86B10"/>
    <w:rsid w:val="3F032E93"/>
    <w:rsid w:val="3F0527E5"/>
    <w:rsid w:val="3F694D83"/>
    <w:rsid w:val="3F885DCC"/>
    <w:rsid w:val="3FCD675E"/>
    <w:rsid w:val="4004000C"/>
    <w:rsid w:val="411B6CE5"/>
    <w:rsid w:val="412070D7"/>
    <w:rsid w:val="41314E40"/>
    <w:rsid w:val="41E0734B"/>
    <w:rsid w:val="421D3616"/>
    <w:rsid w:val="426C1EA8"/>
    <w:rsid w:val="42736402"/>
    <w:rsid w:val="42E86A87"/>
    <w:rsid w:val="43307B09"/>
    <w:rsid w:val="439A3EB9"/>
    <w:rsid w:val="43BB152F"/>
    <w:rsid w:val="43D63A7D"/>
    <w:rsid w:val="44C37687"/>
    <w:rsid w:val="45CB699A"/>
    <w:rsid w:val="465B470D"/>
    <w:rsid w:val="469D6AD4"/>
    <w:rsid w:val="46F661E4"/>
    <w:rsid w:val="471E6C84"/>
    <w:rsid w:val="4748792B"/>
    <w:rsid w:val="475D719D"/>
    <w:rsid w:val="47674801"/>
    <w:rsid w:val="48225EF7"/>
    <w:rsid w:val="488F422B"/>
    <w:rsid w:val="48E36915"/>
    <w:rsid w:val="48EB6572"/>
    <w:rsid w:val="495C4A24"/>
    <w:rsid w:val="497135DF"/>
    <w:rsid w:val="4A263DF2"/>
    <w:rsid w:val="4A6F6675"/>
    <w:rsid w:val="4AB368C6"/>
    <w:rsid w:val="4B135857"/>
    <w:rsid w:val="4B7951CB"/>
    <w:rsid w:val="4B7C315C"/>
    <w:rsid w:val="4DAC4ACA"/>
    <w:rsid w:val="4DBE01D2"/>
    <w:rsid w:val="4F0C6BA3"/>
    <w:rsid w:val="4F186D58"/>
    <w:rsid w:val="505622BB"/>
    <w:rsid w:val="50F06B6E"/>
    <w:rsid w:val="50FF40F9"/>
    <w:rsid w:val="51D21804"/>
    <w:rsid w:val="52234D33"/>
    <w:rsid w:val="522F6E0C"/>
    <w:rsid w:val="52463BA1"/>
    <w:rsid w:val="52F163D4"/>
    <w:rsid w:val="531A2DB4"/>
    <w:rsid w:val="53C0244D"/>
    <w:rsid w:val="53DD4D4E"/>
    <w:rsid w:val="53E26A7D"/>
    <w:rsid w:val="53E578CE"/>
    <w:rsid w:val="541330F0"/>
    <w:rsid w:val="54272666"/>
    <w:rsid w:val="543B029D"/>
    <w:rsid w:val="54861779"/>
    <w:rsid w:val="5495703C"/>
    <w:rsid w:val="552256E1"/>
    <w:rsid w:val="554E5773"/>
    <w:rsid w:val="555A3CBC"/>
    <w:rsid w:val="5582012B"/>
    <w:rsid w:val="558E4E05"/>
    <w:rsid w:val="55BE2E85"/>
    <w:rsid w:val="56530F5D"/>
    <w:rsid w:val="567700D3"/>
    <w:rsid w:val="56F712B0"/>
    <w:rsid w:val="56FF7E9E"/>
    <w:rsid w:val="578867FC"/>
    <w:rsid w:val="5842572D"/>
    <w:rsid w:val="5A3B59D6"/>
    <w:rsid w:val="5AD134D8"/>
    <w:rsid w:val="5B1433B1"/>
    <w:rsid w:val="5BA87F9D"/>
    <w:rsid w:val="5C225659"/>
    <w:rsid w:val="5C263CE4"/>
    <w:rsid w:val="5C5D2777"/>
    <w:rsid w:val="5CF66BF3"/>
    <w:rsid w:val="5D290C69"/>
    <w:rsid w:val="5DA14CA4"/>
    <w:rsid w:val="5F2D4A41"/>
    <w:rsid w:val="5FCB6008"/>
    <w:rsid w:val="604469B5"/>
    <w:rsid w:val="609D5BF6"/>
    <w:rsid w:val="60C74F6C"/>
    <w:rsid w:val="60D063EC"/>
    <w:rsid w:val="61025A59"/>
    <w:rsid w:val="613D5BBC"/>
    <w:rsid w:val="61536C39"/>
    <w:rsid w:val="626A1B08"/>
    <w:rsid w:val="62944DD7"/>
    <w:rsid w:val="6319381F"/>
    <w:rsid w:val="633B5253"/>
    <w:rsid w:val="63716EC6"/>
    <w:rsid w:val="63C25DC5"/>
    <w:rsid w:val="63C62057"/>
    <w:rsid w:val="64571EF5"/>
    <w:rsid w:val="64FB113D"/>
    <w:rsid w:val="6549634D"/>
    <w:rsid w:val="656152C6"/>
    <w:rsid w:val="6587477F"/>
    <w:rsid w:val="658C3A08"/>
    <w:rsid w:val="65C031CA"/>
    <w:rsid w:val="65CE6852"/>
    <w:rsid w:val="66267C04"/>
    <w:rsid w:val="663F505A"/>
    <w:rsid w:val="66EE5541"/>
    <w:rsid w:val="67924660"/>
    <w:rsid w:val="67B812FE"/>
    <w:rsid w:val="67BB560C"/>
    <w:rsid w:val="682E5386"/>
    <w:rsid w:val="68407834"/>
    <w:rsid w:val="687731D1"/>
    <w:rsid w:val="6883293E"/>
    <w:rsid w:val="688412AD"/>
    <w:rsid w:val="68EB1B71"/>
    <w:rsid w:val="6AAD2300"/>
    <w:rsid w:val="6B474EF5"/>
    <w:rsid w:val="6C0A5AC5"/>
    <w:rsid w:val="6C2C7E2E"/>
    <w:rsid w:val="6C560CAE"/>
    <w:rsid w:val="6C576495"/>
    <w:rsid w:val="6CB0280D"/>
    <w:rsid w:val="6CCA7D73"/>
    <w:rsid w:val="6D903FF5"/>
    <w:rsid w:val="6DA955B8"/>
    <w:rsid w:val="6DE346AB"/>
    <w:rsid w:val="6DE5391A"/>
    <w:rsid w:val="6E9A19C7"/>
    <w:rsid w:val="6EFD1324"/>
    <w:rsid w:val="6F5A53AC"/>
    <w:rsid w:val="6FAC003D"/>
    <w:rsid w:val="6FE55E12"/>
    <w:rsid w:val="6FFB0243"/>
    <w:rsid w:val="6FFB2E76"/>
    <w:rsid w:val="708F6F7F"/>
    <w:rsid w:val="70D94BD3"/>
    <w:rsid w:val="716D6F1F"/>
    <w:rsid w:val="71C34D91"/>
    <w:rsid w:val="72DB435C"/>
    <w:rsid w:val="72E2613A"/>
    <w:rsid w:val="72F771F4"/>
    <w:rsid w:val="738D1AFA"/>
    <w:rsid w:val="73934AD2"/>
    <w:rsid w:val="73D21CBF"/>
    <w:rsid w:val="750837F0"/>
    <w:rsid w:val="754758CF"/>
    <w:rsid w:val="762C55FB"/>
    <w:rsid w:val="764F62AB"/>
    <w:rsid w:val="765C45EC"/>
    <w:rsid w:val="768A7619"/>
    <w:rsid w:val="772E1EBA"/>
    <w:rsid w:val="77BC4882"/>
    <w:rsid w:val="781926BC"/>
    <w:rsid w:val="784C3D32"/>
    <w:rsid w:val="78AC2A23"/>
    <w:rsid w:val="796D60A4"/>
    <w:rsid w:val="79A031D5"/>
    <w:rsid w:val="7A1525F7"/>
    <w:rsid w:val="7AAD2A82"/>
    <w:rsid w:val="7B420052"/>
    <w:rsid w:val="7BD06A28"/>
    <w:rsid w:val="7BE40725"/>
    <w:rsid w:val="7C3A7C0B"/>
    <w:rsid w:val="7C5248E4"/>
    <w:rsid w:val="7C566698"/>
    <w:rsid w:val="7C5866A3"/>
    <w:rsid w:val="7D7406BB"/>
    <w:rsid w:val="7DE94331"/>
    <w:rsid w:val="7F264BB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5">
    <w:name w:val="msolistparagraph"/>
    <w:next w:val="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21"/>
      <w:szCs w:val="20"/>
      <w:u w:val="none" w:color="auto"/>
      <w:vertAlign w:val="baseli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6907</Words>
  <Characters>8720</Characters>
  <Lines>161</Lines>
  <Paragraphs>45</Paragraphs>
  <TotalTime>132</TotalTime>
  <ScaleCrop>false</ScaleCrop>
  <LinksUpToDate>false</LinksUpToDate>
  <CharactersWithSpaces>9849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企业用户_741294171</cp:lastModifiedBy>
  <dcterms:modified xsi:type="dcterms:W3CDTF">2024-08-21T07:54:03Z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BB46EABDBB2749749395447164B066B3_12</vt:lpwstr>
  </property>
</Properties>
</file>